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Chapter 4: Implementation and Empirical Results</w:t>
      </w:r>
    </w:p>
    <w:p>
      <w:pPr>
        <w:spacing w:after="160" w:before="100" w:line="276"/>
        <w:jc w:val="both"/>
      </w:pPr>
      <w:r>
        <w:rPr>
          <w:rFonts w:ascii="Arial" w:cs="Arial" w:eastAsia="Arial" w:hAnsi="Arial"/>
          <w:sz w:val="22"/>
          <w:szCs w:val="22"/>
        </w:rPr>
        <w:t xml:space="preserve">This chapter presents the empirical findings generated by the ESG ABSA pipeline across six Indonesian sustainability reports. Results are organised by research question, proceeding from the foundational pipeline output (RQ1) through the tone and aspect annotation findings (RQ2), the cross-system comparison with ClimateBERT (RQ3), and concluding with the prompt and model stability evidence that anchors the reproducibility claims of later chapters. Each section reports both what the data shows and, where relevant, how performance compares against established benchmarks in the ABSA and ESG NLP literature.</w:t>
      </w:r>
    </w:p>
    <w:p>
      <w:pPr>
        <w:spacing w:after="80" w:before="80"/>
      </w:pPr>
      <w:r>
        <w:t xml:space="preserve"/>
      </w:r>
    </w:p>
    <w:p>
      <w:pPr>
        <w:pStyle w:val="Heading2"/>
      </w:pPr>
      <w:r>
        <w:rPr>
          <w:rFonts w:ascii="Arial" w:cs="Arial" w:eastAsia="Arial" w:hAnsi="Arial"/>
          <w:b/>
          <w:bCs/>
          <w:color w:val="2E5496"/>
          <w:sz w:val="28"/>
          <w:szCs w:val="28"/>
        </w:rPr>
        <w:t xml:space="preserve">4.1  Pipeline Coverage and Document Structure (RQ1)</w:t>
      </w:r>
    </w:p>
    <w:p>
      <w:pPr>
        <w:spacing w:after="160" w:before="100" w:line="276"/>
        <w:jc w:val="both"/>
      </w:pPr>
      <w:r>
        <w:rPr>
          <w:rFonts w:ascii="Arial" w:cs="Arial" w:eastAsia="Arial" w:hAnsi="Arial"/>
          <w:sz w:val="22"/>
          <w:szCs w:val="22"/>
        </w:rPr>
        <w:t xml:space="preserve">The PDF-to-structured-ESG transformation pipeline processed sixteen Indonesian sustainability report files across six companies, producing 332 tone records, 5,444 silver-dataset rows, and 1,104 structured artefacts. The scaffold completeness rate exceeded 99.9% across all extraction fields: tone predictions were non-empty for 5,442 of 5,444 rows (99.96%), ESG pillar assignments for 5,436 rows (99.85%), and aspect labels for 5,441 rows (99.94%). Against the production-quality NLP threshold of 95% field completeness, and the excellent threshold of 99%, these rates constitute the strongest outperformance finding in the pipeline evaluation (Figure A.17).</w:t>
      </w:r>
    </w:p>
    <w:p>
      <w:pPr>
        <w:spacing w:after="200" w:before="80" w:line="276"/>
        <w:jc w:val="both"/>
      </w:pPr>
      <w:r>
        <w:rPr>
          <w:rFonts w:ascii="Arial" w:cs="Arial" w:eastAsia="Arial" w:hAnsi="Arial"/>
          <w:i/>
          <w:iCs/>
          <w:color w:val="666666"/>
          <w:sz w:val="20"/>
          <w:szCs w:val="20"/>
        </w:rPr>
        <w:t xml:space="preserve">[Figure A.17: Ground truth scaffold coverage]</w:t>
      </w:r>
    </w:p>
    <w:p>
      <w:pPr>
        <w:spacing w:after="160" w:before="100" w:line="276"/>
        <w:jc w:val="both"/>
      </w:pPr>
      <w:r>
        <w:rPr>
          <w:rFonts w:ascii="Arial" w:cs="Arial" w:eastAsia="Arial" w:hAnsi="Arial"/>
          <w:sz w:val="22"/>
          <w:szCs w:val="22"/>
        </w:rPr>
        <w:t xml:space="preserve">The PDF-by-prompt coverage matrix (Figure A.21) reveals, however, that record volume is highly unequal across source documents. Alfamart's sustainability report contributes 1,444 records while Indonet contributes only 60, a ratio of approximately 24:1. This degree of concentration — well above the 50% coefficient of variation threshold for cross-entity comparability — means that corpus-level statistics are weighted toward a small number of high-coverage documents. This is an important caveat for interpreting the distributions reported in the remainder of this chapter: they reflect the aggregate of an unequal corpus, not a balanced sample of Indonesian ESG disclosure practice.</w:t>
      </w:r>
    </w:p>
    <w:p>
      <w:pPr>
        <w:spacing w:after="200" w:before="80" w:line="276"/>
        <w:jc w:val="both"/>
      </w:pPr>
      <w:r>
        <w:rPr>
          <w:rFonts w:ascii="Arial" w:cs="Arial" w:eastAsia="Arial" w:hAnsi="Arial"/>
          <w:i/>
          <w:iCs/>
          <w:color w:val="666666"/>
          <w:sz w:val="20"/>
          <w:szCs w:val="20"/>
        </w:rPr>
        <w:t xml:space="preserve">[Figure A.21: PDF x Prompt coverage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line="260"/>
            </w:pPr>
            <w:r>
              <w:rPr>
                <w:rFonts w:ascii="Arial" w:cs="Arial" w:eastAsia="Arial" w:hAnsi="Arial"/>
                <w:i/>
                <w:iCs/>
                <w:color w:val="1F4E79"/>
                <w:sz w:val="20"/>
                <w:szCs w:val="20"/>
              </w:rPr>
              <w:t xml:space="preserve">Benchmark note (A.17): Field completeness exceeds the 99% 'excellent' threshold across all three core fields, validating that the extraction pipeline operates reliably on the available corpus. This is one of the clearest positive findings in the empirical evaluation.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2" w:val="clear"/>
            <w:tcMar>
              <w:top w:type="dxa" w:w="120"/>
              <w:left w:type="dxa" w:w="180"/>
              <w:bottom w:type="dxa" w:w="120"/>
              <w:right w:type="dxa" w:w="180"/>
            </w:tcMar>
          </w:tcPr>
          <w:p>
            <w:pPr>
              <w:spacing w:after="60" w:before="60" w:line="260"/>
            </w:pPr>
            <w:r>
              <w:rPr>
                <w:rFonts w:ascii="Arial" w:cs="Arial" w:eastAsia="Arial" w:hAnsi="Arial"/>
                <w:i/>
                <w:iCs/>
                <w:color w:val="7F3F00"/>
                <w:sz w:val="20"/>
                <w:szCs w:val="20"/>
              </w:rPr>
              <w:t xml:space="preserve">Limitation (RQ1 – OCR quality): The pipeline evaluation required by Objective 1 includes character error rate (CER) and word error rate (WER) measurements on a sample of 60–100 document pages. These measurements were not completed in the current study (0 of 100 target pages sampled). Accordingly, claims about OCR quality are based on the high field completeness proxy rather than direct CER/WER measurement. The pipeline should be understood as a proof-of-concept transformation stage whose OCR accuracy has been validated structurally but not metrically. Direct OCR benchmarking remains as a recommended extension of this work.</w:t>
            </w:r>
          </w:p>
        </w:tc>
      </w:tr>
    </w:tbl>
    <w:p>
      <w:pPr>
        <w:spacing w:after="80" w:before="80"/>
      </w:pPr>
      <w:r>
        <w:t xml:space="preserve"/>
      </w:r>
    </w:p>
    <w:p>
      <w:pPr>
        <w:pStyle w:val="Heading2"/>
      </w:pPr>
      <w:r>
        <w:rPr>
          <w:rFonts w:ascii="Arial" w:cs="Arial" w:eastAsia="Arial" w:hAnsi="Arial"/>
          <w:b/>
          <w:bCs/>
          <w:color w:val="2E5496"/>
          <w:sz w:val="28"/>
          <w:szCs w:val="28"/>
        </w:rPr>
        <w:t xml:space="preserve">4.2  Tone Distribution and ESG Pillar Cross-Tabulation (RQ2)</w:t>
      </w:r>
    </w:p>
    <w:p>
      <w:pPr>
        <w:pStyle w:val="Heading3"/>
      </w:pPr>
      <w:r>
        <w:rPr>
          <w:rFonts w:ascii="Arial" w:cs="Arial" w:eastAsia="Arial" w:hAnsi="Arial"/>
          <w:b/>
          <w:bCs/>
          <w:color w:val="2E5496"/>
          <w:sz w:val="24"/>
          <w:szCs w:val="24"/>
        </w:rPr>
        <w:t xml:space="preserve">4.2.1  Full Tone Distribution</w:t>
      </w:r>
    </w:p>
    <w:p>
      <w:pPr>
        <w:spacing w:after="160" w:before="100" w:line="276"/>
        <w:jc w:val="both"/>
      </w:pPr>
      <w:r>
        <w:rPr>
          <w:rFonts w:ascii="Arial" w:cs="Arial" w:eastAsia="Arial" w:hAnsi="Arial"/>
          <w:sz w:val="22"/>
          <w:szCs w:val="22"/>
        </w:rPr>
        <w:t xml:space="preserve">Across the full 3,444-record corpus, the tone distribution breaks down as follows: none (1,929 records, 56.0%), action (1,347, 39.1%), outcome (1,141, 33.1%), commitment (1,020, 29.6%), and unknown (7, 0.2%). The seven unknown records indicate near-complete schema coverage. The dominant category is none, representing more than half of all classified records (Figure A.1).</w:t>
      </w:r>
    </w:p>
    <w:p>
      <w:pPr>
        <w:spacing w:after="200" w:before="80" w:line="276"/>
        <w:jc w:val="both"/>
      </w:pPr>
      <w:r>
        <w:rPr>
          <w:rFonts w:ascii="Arial" w:cs="Arial" w:eastAsia="Arial" w:hAnsi="Arial"/>
          <w:i/>
          <w:iCs/>
          <w:color w:val="666666"/>
          <w:sz w:val="20"/>
          <w:szCs w:val="20"/>
        </w:rPr>
        <w:t xml:space="preserve">[Figure A.1: Full tone distribution]</w:t>
      </w:r>
    </w:p>
    <w:p>
      <w:pPr>
        <w:spacing w:after="160" w:before="100" w:line="276"/>
        <w:jc w:val="both"/>
      </w:pPr>
      <w:r>
        <w:rPr>
          <w:rFonts w:ascii="Arial" w:cs="Arial" w:eastAsia="Arial" w:hAnsi="Arial"/>
          <w:sz w:val="22"/>
          <w:szCs w:val="22"/>
        </w:rPr>
        <w:t xml:space="preserve">The prevalence of the none category — descriptive, non-performative language — deserves substantive interpretation rather than dismissal as a pipeline artefact. Two explanations are plausible. First, a calibration artefact: the classifier may be defaulting to the none category when uncertain rather than committing to a tone label. Second, a genuine corpus property: Indonesian sustainability reports in this sample may be structurally more descriptive than substantive, presenting contextual and background narrative more frequently than action pledges or outcome disclosures. Against the benchmark from supervised ABSA literature, where neutral class typically represents 30–40% of well-curated corpora, the 56% none rate does exceed expectation. However, ESG-specific studies of Indonesian regulatory filings suggest that OJK-compliance sections and background narrative constitute a larger-than-average proportion of report length — making the second explanation at least partially credible. The resolution of this question requires comparison against human-annotated gold-standard records, which this study has not yet completed. The finding is therefore reported as a hypothesis-generating result rather than a definitive characterisation of Indonesian ESG disclosure.</w:t>
      </w:r>
    </w:p>
    <w:p>
      <w:pPr>
        <w:pStyle w:val="Heading3"/>
      </w:pPr>
      <w:r>
        <w:rPr>
          <w:rFonts w:ascii="Arial" w:cs="Arial" w:eastAsia="Arial" w:hAnsi="Arial"/>
          <w:b/>
          <w:bCs/>
          <w:color w:val="2E5496"/>
          <w:sz w:val="24"/>
          <w:szCs w:val="24"/>
        </w:rPr>
        <w:t xml:space="preserve">4.2.2  ESG Pillar by Tone</w:t>
      </w:r>
    </w:p>
    <w:p>
      <w:pPr>
        <w:spacing w:after="160" w:before="100" w:line="276"/>
        <w:jc w:val="both"/>
      </w:pPr>
      <w:r>
        <w:rPr>
          <w:rFonts w:ascii="Arial" w:cs="Arial" w:eastAsia="Arial" w:hAnsi="Arial"/>
          <w:sz w:val="22"/>
          <w:szCs w:val="22"/>
        </w:rPr>
        <w:t xml:space="preserve">Cross-tabulating ESG pillar against tone category reveals that the Governance pillar carries the highest tone density across most tone rows (Figure A.2). This finding inverts the pattern observed in English-language ESG corpora, where the Environmental pillar typically carries the highest action and commitment density while Governance tends toward outcome-oriented compliance reporting.</w:t>
      </w:r>
    </w:p>
    <w:p>
      <w:pPr>
        <w:spacing w:after="200" w:before="80" w:line="276"/>
        <w:jc w:val="both"/>
      </w:pPr>
      <w:r>
        <w:rPr>
          <w:rFonts w:ascii="Arial" w:cs="Arial" w:eastAsia="Arial" w:hAnsi="Arial"/>
          <w:i/>
          <w:iCs/>
          <w:color w:val="666666"/>
          <w:sz w:val="20"/>
          <w:szCs w:val="20"/>
        </w:rPr>
        <w:t xml:space="preserve">[Figure A.2: Full ESG by tone]</w:t>
      </w:r>
    </w:p>
    <w:p>
      <w:pPr>
        <w:spacing w:after="160" w:before="100" w:line="276"/>
        <w:jc w:val="both"/>
      </w:pPr>
      <w:r>
        <w:rPr>
          <w:rFonts w:ascii="Arial" w:cs="Arial" w:eastAsia="Arial" w:hAnsi="Arial"/>
          <w:sz w:val="22"/>
          <w:szCs w:val="22"/>
        </w:rPr>
        <w:t xml:space="preserve">The Indonesian context provides a plausible explanation. The Otoritas Jasa Keuangan (OJK) sustainability reporting regulations require detailed narrative disclosure of governance structures, board oversight mechanisms, and compliance frameworks. These mandatory disclosures generate tonally labelled sentences at higher volume than comparably regulated environmental or social sections. The dominance of Governance tone density is therefore not a pipeline artefact but a domain-specific finding reflecting the regulatory environment of Indonesian listed companies. Conversely, the relative under-representation of Social pillar records across tone categories suggests possible extraction bias, where the pipeline may be assigning fewer aspect labels to social-content passages. This is flagged as a diagnostic concern in Chapter 5.</w:t>
      </w:r>
    </w:p>
    <w:p>
      <w:pPr>
        <w:pStyle w:val="Heading3"/>
      </w:pPr>
      <w:r>
        <w:rPr>
          <w:rFonts w:ascii="Arial" w:cs="Arial" w:eastAsia="Arial" w:hAnsi="Arial"/>
          <w:b/>
          <w:bCs/>
          <w:color w:val="2E5496"/>
          <w:sz w:val="24"/>
          <w:szCs w:val="24"/>
        </w:rPr>
        <w:t xml:space="preserve">4.2.3  Aspect-Tone Heatmap</w:t>
      </w:r>
    </w:p>
    <w:p>
      <w:pPr>
        <w:spacing w:after="160" w:before="100" w:line="276"/>
        <w:jc w:val="both"/>
      </w:pPr>
      <w:r>
        <w:rPr>
          <w:rFonts w:ascii="Arial" w:cs="Arial" w:eastAsia="Arial" w:hAnsi="Arial"/>
          <w:sz w:val="22"/>
          <w:szCs w:val="22"/>
        </w:rPr>
        <w:t xml:space="preserve">The aspect-tone heatmap (Figure A.3) reveals that several aspects carry near-deterministic tone signatures — a key validation of the three-tier commitment/action/outcome taxonomy proposed in Contribution 3. The most striking associations are: komitmen keberlanjutan at 97% commitment-toned (70 of 72 records), kinerja esg at 91% outcome-toned (60 of 66 records), and praktik bisnis ramah lingkungan at 51% action-toned (71 of 140 records). Against the 60% concentration threshold from ABSA validation literature, the first two aspects strongly outperform; the third is above threshold but weaker.</w:t>
      </w:r>
    </w:p>
    <w:p>
      <w:pPr>
        <w:spacing w:after="200" w:before="80" w:line="276"/>
        <w:jc w:val="both"/>
      </w:pPr>
      <w:r>
        <w:rPr>
          <w:rFonts w:ascii="Arial" w:cs="Arial" w:eastAsia="Arial" w:hAnsi="Arial"/>
          <w:i/>
          <w:iCs/>
          <w:color w:val="666666"/>
          <w:sz w:val="20"/>
          <w:szCs w:val="20"/>
        </w:rPr>
        <w:t xml:space="preserve">[Figure A.3: Full aspect by tone heatmap]</w:t>
      </w:r>
    </w:p>
    <w:p>
      <w:pPr>
        <w:spacing w:after="160" w:before="100" w:line="276"/>
        <w:jc w:val="both"/>
      </w:pPr>
      <w:r>
        <w:rPr>
          <w:rFonts w:ascii="Arial" w:cs="Arial" w:eastAsia="Arial" w:hAnsi="Arial"/>
          <w:sz w:val="22"/>
          <w:szCs w:val="22"/>
        </w:rPr>
        <w:t xml:space="preserve">These patterns are semantically coherent: sustainability commitment language is prospective by definition and correctly attracts the commitment label; ESG performance language reports backward-looking results and correctly attracts the outcome label; environmentally friendly business practice language describes ongoing activities and correctly attracts the action label. The pipeline is not generating these associations randomly — they reflect genuine lexical properties of the text. Aspects with near-equal tone splits are the diagnostic concern: these represent cases where the pipeline's lexical triggers are insufficient for confident classification, either because the language is genuinely ambiguous or because the trigger vocabulary is incomplete. These mixed-signal aspects are priority targets for the lexical trigger refinement proposed in Contribution 6.</w:t>
      </w:r>
    </w:p>
    <w:p>
      <w:pPr>
        <w:spacing w:after="160" w:before="100" w:line="276"/>
        <w:jc w:val="both"/>
      </w:pPr>
      <w:r>
        <w:rPr>
          <w:rFonts w:ascii="Arial" w:cs="Arial" w:eastAsia="Arial" w:hAnsi="Arial"/>
          <w:sz w:val="22"/>
          <w:szCs w:val="22"/>
        </w:rPr>
        <w:t xml:space="preserve">The heatmap also carries a greenwashing-detection implication. Anti-corruption aspects show high commitment rates with near-zero outcome records — a commitment-to-outcome asymmetry that, per the framework of Gonzalez and Monterroso (2024), is a structural red flag for selective disclosure. This pattern is returned to in Chapter 6's discussion of greenwashing signals.</w:t>
      </w:r>
    </w:p>
    <w:p>
      <w:pPr>
        <w:spacing w:after="80" w:before="80"/>
      </w:pPr>
      <w:r>
        <w:t xml:space="preserve"/>
      </w:r>
    </w:p>
    <w:p>
      <w:pPr>
        <w:pStyle w:val="Heading2"/>
      </w:pPr>
      <w:r>
        <w:rPr>
          <w:rFonts w:ascii="Arial" w:cs="Arial" w:eastAsia="Arial" w:hAnsi="Arial"/>
          <w:b/>
          <w:bCs/>
          <w:color w:val="2E5496"/>
          <w:sz w:val="28"/>
          <w:szCs w:val="28"/>
        </w:rPr>
        <w:t xml:space="preserve">4.3  Ground Truth Comparison: T1 and T2 Pipeline Outputs (RQ2)</w:t>
      </w:r>
    </w:p>
    <w:p>
      <w:pPr>
        <w:pStyle w:val="Heading3"/>
      </w:pPr>
      <w:r>
        <w:rPr>
          <w:rFonts w:ascii="Arial" w:cs="Arial" w:eastAsia="Arial" w:hAnsi="Arial"/>
          <w:b/>
          <w:bCs/>
          <w:color w:val="2E5496"/>
          <w:sz w:val="24"/>
          <w:szCs w:val="24"/>
        </w:rPr>
        <w:t xml:space="preserve">4.3.1  T1 ClimateBERT Classification on Ground Truth Records</w:t>
      </w:r>
    </w:p>
    <w:p>
      <w:pPr>
        <w:spacing w:after="160" w:before="100" w:line="276"/>
        <w:jc w:val="both"/>
      </w:pPr>
      <w:r>
        <w:rPr>
          <w:rFonts w:ascii="Arial" w:cs="Arial" w:eastAsia="Arial" w:hAnsi="Arial"/>
          <w:sz w:val="22"/>
          <w:szCs w:val="22"/>
        </w:rPr>
        <w:t xml:space="preserve">When the local ClimateBERT model was applied to the 136,091 ground-truth candidate records in the T1 stage, 52,990 records (38.9%) produced failures — no output was returned. Among the records that did return outputs (Figure A.22, A.23), the prediction label distribution is dominated by missing (43,846, 32%) followed by LABEL_0 (18,829) and LABEL_1 (12,576). The semantic mapping of LABEL_0 and LABEL_1 to substantive ESG categories was not resolved during the current evaluation, rendering these outputs effectively opaque for downstream ABSA use.</w:t>
      </w:r>
    </w:p>
    <w:p>
      <w:pPr>
        <w:spacing w:after="200" w:before="80" w:line="276"/>
        <w:jc w:val="both"/>
      </w:pPr>
      <w:r>
        <w:rPr>
          <w:rFonts w:ascii="Arial" w:cs="Arial" w:eastAsia="Arial" w:hAnsi="Arial"/>
          <w:i/>
          <w:iCs/>
          <w:color w:val="666666"/>
          <w:sz w:val="20"/>
          <w:szCs w:val="20"/>
        </w:rPr>
        <w:t xml:space="preserve">[Figure A.22: ground_truth.py T1 status]</w:t>
      </w:r>
    </w:p>
    <w:p>
      <w:pPr>
        <w:spacing w:after="200" w:before="80" w:line="276"/>
        <w:jc w:val="both"/>
      </w:pPr>
      <w:r>
        <w:rPr>
          <w:rFonts w:ascii="Arial" w:cs="Arial" w:eastAsia="Arial" w:hAnsi="Arial"/>
          <w:i/>
          <w:iCs/>
          <w:color w:val="666666"/>
          <w:sz w:val="20"/>
          <w:szCs w:val="20"/>
        </w:rPr>
        <w:t xml:space="preserve">[Figure A.23: ground_truth.py T1 prediction labels]</w:t>
      </w:r>
    </w:p>
    <w:p>
      <w:pPr>
        <w:spacing w:after="160" w:before="100" w:line="276"/>
        <w:jc w:val="both"/>
      </w:pPr>
      <w:r>
        <w:rPr>
          <w:rFonts w:ascii="Arial" w:cs="Arial" w:eastAsia="Arial" w:hAnsi="Arial"/>
          <w:sz w:val="22"/>
          <w:szCs w:val="22"/>
        </w:rPr>
        <w:t xml:space="preserve">The 38.9% failure rate — nearly four times the 10% acceptable threshold for deployed NLP classifiers — reflects an expected domain mismatch: the ClimateBERT model was trained on English climate policy texts and encounters Indonesian/bilingual sustainability report language that is substantially outside its training distribution. This failure rate is not incidental to the thesis's argument; it is foundational to it. It quantifies the domain gap that motivates Contribution 4's ontology extension and Contribution 5's cross-model validation framework. A model that worked reliably on Indonesian ESG text without adaptation would not require the validation architecture this thesis proposes.</w:t>
      </w:r>
    </w:p>
    <w:p>
      <w:pPr>
        <w:pStyle w:val="Heading3"/>
      </w:pPr>
      <w:r>
        <w:rPr>
          <w:rFonts w:ascii="Arial" w:cs="Arial" w:eastAsia="Arial" w:hAnsi="Arial"/>
          <w:b/>
          <w:bCs/>
          <w:color w:val="2E5496"/>
          <w:sz w:val="24"/>
          <w:szCs w:val="24"/>
        </w:rPr>
        <w:t xml:space="preserve">4.3.2  T2 Rule-Based and Hybrid Tone Classification</w:t>
      </w:r>
    </w:p>
    <w:p>
      <w:pPr>
        <w:spacing w:after="160" w:before="100" w:line="276"/>
        <w:jc w:val="both"/>
      </w:pPr>
      <w:r>
        <w:rPr>
          <w:rFonts w:ascii="Arial" w:cs="Arial" w:eastAsia="Arial" w:hAnsi="Arial"/>
          <w:sz w:val="22"/>
          <w:szCs w:val="22"/>
        </w:rPr>
        <w:t xml:space="preserve">The T2 stage applied both a rule-based classifier and a hybrid ABSA resolver to a 2,074-record subset. The rule-based component (Figure A.24) returned: Unknown (1,285, 61.9%), Commitment (451, 21.8%), Action (177, 8.5%), Outcome (161, 7.8%). The 61.9% unknown rate exceeds the 40% threshold above which a rule-based classifier is considered insufficient as a standalone system. This indicates the rule lexicon does not cover enough of the Indonesian ESG vocabulary to classify the majority of records, confirming that a hybrid approach is necessary.</w:t>
      </w:r>
    </w:p>
    <w:p>
      <w:pPr>
        <w:spacing w:after="200" w:before="80" w:line="276"/>
        <w:jc w:val="both"/>
      </w:pPr>
      <w:r>
        <w:rPr>
          <w:rFonts w:ascii="Arial" w:cs="Arial" w:eastAsia="Arial" w:hAnsi="Arial"/>
          <w:i/>
          <w:iCs/>
          <w:color w:val="666666"/>
          <w:sz w:val="20"/>
          <w:szCs w:val="20"/>
        </w:rPr>
        <w:t xml:space="preserve">[Figure A.24: ground_truth.py T2 rule tone]</w:t>
      </w:r>
    </w:p>
    <w:p>
      <w:pPr>
        <w:spacing w:after="200" w:before="80" w:line="276"/>
        <w:jc w:val="both"/>
      </w:pPr>
      <w:r>
        <w:rPr>
          <w:rFonts w:ascii="Arial" w:cs="Arial" w:eastAsia="Arial" w:hAnsi="Arial"/>
          <w:i/>
          <w:iCs/>
          <w:color w:val="666666"/>
          <w:sz w:val="20"/>
          <w:szCs w:val="20"/>
        </w:rPr>
        <w:t xml:space="preserve">[Figure A.25: ground_truth.py T2 hybrid tone]</w:t>
      </w:r>
    </w:p>
    <w:p>
      <w:pPr>
        <w:spacing w:after="160" w:before="100" w:line="276"/>
        <w:jc w:val="both"/>
      </w:pPr>
      <w:r>
        <w:rPr>
          <w:rFonts w:ascii="Arial" w:cs="Arial" w:eastAsia="Arial" w:hAnsi="Arial"/>
          <w:sz w:val="22"/>
          <w:szCs w:val="22"/>
        </w:rPr>
        <w:t xml:space="preserve">The hybrid resolver (Figure A.25) produced: Unknown (1,770, 85.3%), Commitment (117, 5.6%), Action (95, 4.6%), Outcome (89, 4.3%). The hybrid classifier thus increases the abstention rate by 23.4 percentage points relative to the rule-only baseline — the opposite direction from the expected improvement. The rule-by-hybrid crosstab (Figure A.27) illuminates the mechanism: of the 451 records labelled Commitment by the rule system, the hybrid reclassifies 395 as Unknown (87.6%). This means the hybrid is systematically overriding the rule system's highest-confidence label — the category where the rule system is most decisive — with abstention.</w:t>
      </w:r>
    </w:p>
    <w:p>
      <w:pPr>
        <w:spacing w:after="200" w:before="80" w:line="276"/>
        <w:jc w:val="both"/>
      </w:pPr>
      <w:r>
        <w:rPr>
          <w:rFonts w:ascii="Arial" w:cs="Arial" w:eastAsia="Arial" w:hAnsi="Arial"/>
          <w:i/>
          <w:iCs/>
          <w:color w:val="666666"/>
          <w:sz w:val="20"/>
          <w:szCs w:val="20"/>
        </w:rPr>
        <w:t xml:space="preserve">[Figure A.27: ground_truth.py rule vs hybrid tone]</w:t>
      </w:r>
    </w:p>
    <w:p>
      <w:pPr>
        <w:spacing w:after="160" w:before="100" w:line="276"/>
        <w:jc w:val="both"/>
      </w:pPr>
      <w:r>
        <w:rPr>
          <w:rFonts w:ascii="Arial" w:cs="Arial" w:eastAsia="Arial" w:hAnsi="Arial"/>
          <w:sz w:val="22"/>
          <w:szCs w:val="22"/>
        </w:rPr>
        <w:t xml:space="preserve">The most probable explanation is a threshold calibration issue in the hybrid resolver: the LLM component's confidence threshold for overriding the rule signal may be set too high, causing it to abstain when it should either confirm or reclassify. This is a diagnostic finding for RQ4, returned to in Chapter 5. For the purposes of the Chapter 4 empirical results, the key conclusion is that the T2 hybrid system in its current configuration is not fit for purpose as a standalone tone classifier, and the silver dataset tone labels are produced via a separate pathway (the full pipeline rather than the T2 ground-truth evaluation subset).</w:t>
      </w:r>
    </w:p>
    <w:p>
      <w:pPr>
        <w:pStyle w:val="Heading3"/>
      </w:pPr>
      <w:r>
        <w:rPr>
          <w:rFonts w:ascii="Arial" w:cs="Arial" w:eastAsia="Arial" w:hAnsi="Arial"/>
          <w:b/>
          <w:bCs/>
          <w:color w:val="2E5496"/>
          <w:sz w:val="24"/>
          <w:szCs w:val="24"/>
        </w:rPr>
        <w:t xml:space="preserve">4.3.3  T2 Sentiment Distribution</w:t>
      </w:r>
    </w:p>
    <w:p>
      <w:pPr>
        <w:spacing w:after="160" w:before="100" w:line="276"/>
        <w:jc w:val="both"/>
      </w:pPr>
      <w:r>
        <w:rPr>
          <w:rFonts w:ascii="Arial" w:cs="Arial" w:eastAsia="Arial" w:hAnsi="Arial"/>
          <w:sz w:val="22"/>
          <w:szCs w:val="22"/>
        </w:rPr>
        <w:t xml:space="preserve">The T2 stage also produced sentiment predictions across the 2,074-record subset: Neutral (1,945, 93.8%), Positive (109, 5.3%), Negative (17, 0.8%), missing (3, 0.1%). The 93.8% neutral rate exceeds the 80% upper bound typically observed in well-calibrated sustainability report sentiment systems (Loughnan and McDonald framework, adapted to ESG). Two interpretations are plausible: the sentiment model is under-sensitive, defaulting to Neutral when uncertain; or Indonesian sustainability report text genuinely contains almost no sentiment, which would be consistent with the compliance-reporting character of OJK-mandated disclosures. The 17 negative records are too sparse to draw conclusions but are consistent with the expected distribution of acknowledged risk disclosures.</w:t>
      </w:r>
    </w:p>
    <w:p>
      <w:pPr>
        <w:spacing w:after="200" w:before="80" w:line="276"/>
        <w:jc w:val="both"/>
      </w:pPr>
      <w:r>
        <w:rPr>
          <w:rFonts w:ascii="Arial" w:cs="Arial" w:eastAsia="Arial" w:hAnsi="Arial"/>
          <w:i/>
          <w:iCs/>
          <w:color w:val="666666"/>
          <w:sz w:val="20"/>
          <w:szCs w:val="20"/>
        </w:rPr>
        <w:t xml:space="preserve">[Figure A.26: ground_truth.py T2 sentiment]</w:t>
      </w:r>
    </w:p>
    <w:p>
      <w:pPr>
        <w:spacing w:after="160" w:before="100" w:line="276"/>
        <w:jc w:val="both"/>
      </w:pPr>
      <w:r>
        <w:rPr>
          <w:rFonts w:ascii="Arial" w:cs="Arial" w:eastAsia="Arial" w:hAnsi="Arial"/>
          <w:sz w:val="22"/>
          <w:szCs w:val="22"/>
        </w:rPr>
        <w:t xml:space="preserve">The ground-truth tone comparison matrix (Figure A.19) provides the most direct accuracy evidence available, comparing pipeline tone predictions against the silver ground-truth labels. Per-class accuracy rates are: Action 94.8%, Commitment 90.3%, Outcome 85.8%, None 81.9%. All four classes meet or exceed the 70% per-class diagonal dominance threshold, with Action and Commitment strongly outperforming. The None class, at 81.9%, is the weakest and shows the most off-diagonal confusion with Action (223 misclassified) — consistent with the general difficulty of distinguishing neutral descriptive statements from weakly action-framed language in sustainability reporting.</w:t>
      </w:r>
    </w:p>
    <w:p>
      <w:pPr>
        <w:spacing w:after="200" w:before="80" w:line="276"/>
        <w:jc w:val="both"/>
      </w:pPr>
      <w:r>
        <w:rPr>
          <w:rFonts w:ascii="Arial" w:cs="Arial" w:eastAsia="Arial" w:hAnsi="Arial"/>
          <w:i/>
          <w:iCs/>
          <w:color w:val="666666"/>
          <w:sz w:val="20"/>
          <w:szCs w:val="20"/>
        </w:rPr>
        <w:t xml:space="preserve">[Figure A.19: Ground truth tone comparison]</w:t>
      </w:r>
    </w:p>
    <w:p>
      <w:pPr>
        <w:spacing w:after="80" w:before="80"/>
      </w:pPr>
      <w:r>
        <w:t xml:space="preserve"/>
      </w:r>
    </w:p>
    <w:p>
      <w:pPr>
        <w:pStyle w:val="Heading2"/>
      </w:pPr>
      <w:r>
        <w:rPr>
          <w:rFonts w:ascii="Arial" w:cs="Arial" w:eastAsia="Arial" w:hAnsi="Arial"/>
          <w:b/>
          <w:bCs/>
          <w:color w:val="2E5496"/>
          <w:sz w:val="28"/>
          <w:szCs w:val="28"/>
        </w:rPr>
        <w:t xml:space="preserve">4.4  ClimateBERT Cross-System Comparison (RQ3)</w:t>
      </w:r>
    </w:p>
    <w:p>
      <w:pPr>
        <w:spacing w:after="160" w:before="100" w:line="276"/>
        <w:jc w:val="both"/>
      </w:pPr>
      <w:r>
        <w:rPr>
          <w:rFonts w:ascii="Arial" w:cs="Arial" w:eastAsia="Arial" w:hAnsi="Arial"/>
          <w:sz w:val="22"/>
          <w:szCs w:val="22"/>
        </w:rPr>
        <w:t xml:space="preserve">A central research question of this thesis concerns whether the tone-based ABSA pipeline and ClimateBERT's label space capture the same construct or different ones. The empirical evidence from three sources — the tone-by-ClimateBERT-label crosstab (Figure A.4), the ClimateBERT baseline agreement analysis (Figure A.15), and the top-scoring ClimateBERT records (Figure A.5) — converges on a consistent finding: the two systems are measuring related but meaningfully distinct aspects of climate and sustainability language.</w:t>
      </w:r>
    </w:p>
    <w:p>
      <w:pPr>
        <w:pStyle w:val="Heading3"/>
      </w:pPr>
      <w:r>
        <w:rPr>
          <w:rFonts w:ascii="Arial" w:cs="Arial" w:eastAsia="Arial" w:hAnsi="Arial"/>
          <w:b/>
          <w:bCs/>
          <w:color w:val="2E5496"/>
          <w:sz w:val="24"/>
          <w:szCs w:val="24"/>
        </w:rPr>
        <w:t xml:space="preserve">4.4.1  Tone-by-ClimateBERT Label Crosstab</w:t>
      </w:r>
    </w:p>
    <w:p>
      <w:pPr>
        <w:spacing w:after="160" w:before="100" w:line="276"/>
        <w:jc w:val="both"/>
      </w:pPr>
      <w:r>
        <w:rPr>
          <w:rFonts w:ascii="Arial" w:cs="Arial" w:eastAsia="Arial" w:hAnsi="Arial"/>
          <w:sz w:val="22"/>
          <w:szCs w:val="22"/>
        </w:rPr>
        <w:t xml:space="preserve">The crosstab of pipeline tone against ClimateBERT label family (Figure A.4) reveals the most interpretable alignment and divergence patterns. The Commitment tone maps most cleanly to ClimateBERT's climate-commitment label (91 records), representing the strongest correspondence between the two systems. However, the same Commitment-tone records also map to climate-d (57 records), indicating that ClimateBERT's general-purpose climate-disclosure category captures a significant share of what the pipeline identifies as commitment language.</w:t>
      </w:r>
    </w:p>
    <w:p>
      <w:pPr>
        <w:spacing w:after="200" w:before="80" w:line="276"/>
        <w:jc w:val="both"/>
      </w:pPr>
      <w:r>
        <w:rPr>
          <w:rFonts w:ascii="Arial" w:cs="Arial" w:eastAsia="Arial" w:hAnsi="Arial"/>
          <w:i/>
          <w:iCs/>
          <w:color w:val="666666"/>
          <w:sz w:val="20"/>
          <w:szCs w:val="20"/>
        </w:rPr>
        <w:t xml:space="preserve">[Figure A.4: Tone by ClimateBERT label]</w:t>
      </w:r>
    </w:p>
    <w:p>
      <w:pPr>
        <w:spacing w:after="160" w:before="100" w:line="276"/>
        <w:jc w:val="both"/>
      </w:pPr>
      <w:r>
        <w:rPr>
          <w:rFonts w:ascii="Arial" w:cs="Arial" w:eastAsia="Arial" w:hAnsi="Arial"/>
          <w:sz w:val="22"/>
          <w:szCs w:val="22"/>
        </w:rPr>
        <w:t xml:space="preserve">The most theoretically significant mismatch is in the None-tone row: 22 records with None tone receive a climate-commitment label from ClimateBERT. This indicates that ClimateBERT classifies as commitment-language some text that the pipeline identifies as neutral/descriptive. This is precisely the conflation Gap 2 describes — ClimateBERT's document-level training may lead it to assign commitment labels to contextual or boilerplate language that surrounds commitment statements without being performative itself. The Action-tone row shows a similar pattern, spreading across climate-d (23), other (7), and multiple sub-labels without a dominant cluster, suggesting that ClimateBERT's taxonomy does not have a clean analogue for the action category as defined in this thesis.</w:t>
      </w:r>
    </w:p>
    <w:p>
      <w:pPr>
        <w:pStyle w:val="Heading3"/>
      </w:pPr>
      <w:r>
        <w:rPr>
          <w:rFonts w:ascii="Arial" w:cs="Arial" w:eastAsia="Arial" w:hAnsi="Arial"/>
          <w:b/>
          <w:bCs/>
          <w:color w:val="2E5496"/>
          <w:sz w:val="24"/>
          <w:szCs w:val="24"/>
        </w:rPr>
        <w:t xml:space="preserve">4.4.2  Cohen's Kappa and Agreement Metrics</w:t>
      </w:r>
    </w:p>
    <w:p>
      <w:pPr>
        <w:spacing w:after="160" w:before="100" w:line="276"/>
        <w:jc w:val="both"/>
      </w:pPr>
      <w:r>
        <w:rPr>
          <w:rFonts w:ascii="Arial" w:cs="Arial" w:eastAsia="Arial" w:hAnsi="Arial"/>
          <w:sz w:val="22"/>
          <w:szCs w:val="22"/>
        </w:rPr>
        <w:t xml:space="preserve">The ClimateBERT baseline analysis (Figure A.15) reports the following agreement metrics between the pipeline and ClimateBERT on the shared evaluation set: percent agreement 83.7%, Cohen's kappa 0.645, tone commitment rate 34.6%, ClimateBERT climate-commitment label rate 36.4%, and majority-baseline commitment binary 65.6%. The proxy kappa reported in the dashboard headline (0.645) falls in the moderate agreement range (0.60–0.79) by the Landis and Koch convention.</w:t>
      </w:r>
    </w:p>
    <w:p>
      <w:pPr>
        <w:spacing w:after="200" w:before="80" w:line="276"/>
        <w:jc w:val="both"/>
      </w:pPr>
      <w:r>
        <w:rPr>
          <w:rFonts w:ascii="Arial" w:cs="Arial" w:eastAsia="Arial" w:hAnsi="Arial"/>
          <w:i/>
          <w:iCs/>
          <w:color w:val="666666"/>
          <w:sz w:val="20"/>
          <w:szCs w:val="20"/>
        </w:rPr>
        <w:t xml:space="preserve">[Figure A.15: ClimateBERT baseline]</w:t>
      </w:r>
    </w:p>
    <w:p>
      <w:pPr>
        <w:spacing w:after="160" w:before="100" w:line="276"/>
        <w:jc w:val="both"/>
      </w:pPr>
      <w:r>
        <w:rPr>
          <w:rFonts w:ascii="Arial" w:cs="Arial" w:eastAsia="Arial" w:hAnsi="Arial"/>
          <w:sz w:val="22"/>
          <w:szCs w:val="22"/>
        </w:rPr>
        <w:t xml:space="preserve">Three numbers must be carefully distinguished here. First, the percent agreement of 83.7% reflects raw label co-occurrence and does not correct for chance. Second, Cohen's kappa of 0.645 is the chance-corrected agreement coefficient, and is the methodologically appropriate metric for comparing two classification systems. Third, the majority baseline of 65.6% — a naive classifier that always predicts commitment — provides essential context: a system would achieve 65.6% agreement with ClimateBERT by chance alone, making the adjusted kappa of 0.645 the genuinely informative number. Fourth, the 0.788 figure that appears in some pipeline documentation refers to a different comparison (pipeline tone agreement with the silver dataset labels) and should not be conflated with the ClimateBERT comparison kappa.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line="260"/>
            </w:pPr>
            <w:r>
              <w:rPr>
                <w:rFonts w:ascii="Arial" w:cs="Arial" w:eastAsia="Arial" w:hAnsi="Arial"/>
                <w:i/>
                <w:iCs/>
                <w:color w:val="1F4E79"/>
                <w:sz w:val="20"/>
                <w:szCs w:val="20"/>
              </w:rPr>
              <w:t xml:space="preserve">Methodological clarification: The kappa=0.645 is a proxy agreement between the ABSA pipeline tone labels and ClimateBERT-derived classification labels. It is not a human inter-annotator agreement coefficient. No dual-human annotation has been completed in this study. The distinction is critical: kappa in the IAA sense would require two independent human annotators labelling the same records; kappa in the proxy sense compares two automated systems. Both are valid analytical operations, but they answer different questions.</w:t>
            </w:r>
          </w:p>
        </w:tc>
      </w:tr>
    </w:tbl>
    <w:p>
      <w:pPr>
        <w:spacing w:after="160" w:before="100" w:line="276"/>
        <w:jc w:val="both"/>
      </w:pPr>
      <w:r>
        <w:rPr>
          <w:rFonts w:ascii="Arial" w:cs="Arial" w:eastAsia="Arial" w:hAnsi="Arial"/>
          <w:sz w:val="22"/>
          <w:szCs w:val="22"/>
        </w:rPr>
        <w:t xml:space="preserve">The moderate kappa is the novel finding this thesis argues for RQ3: not that the systems agree, but that they diverge in theoretically interpretable ways. A kappa of 0.645 with a majority baseline of 0.656 places the two systems in a regime where they are related — sharing some labelling of the most salient climate-commitment language — but not measuring the same construct. The pipeline is capturing tone as a property of individual sentences; ClimateBERT is assigning labels calibrated to document-level climate relevance. The divergence is the signal, not the noise.</w:t>
      </w:r>
    </w:p>
    <w:p>
      <w:pPr>
        <w:pStyle w:val="Heading3"/>
      </w:pPr>
      <w:r>
        <w:rPr>
          <w:rFonts w:ascii="Arial" w:cs="Arial" w:eastAsia="Arial" w:hAnsi="Arial"/>
          <w:b/>
          <w:bCs/>
          <w:color w:val="2E5496"/>
          <w:sz w:val="24"/>
          <w:szCs w:val="24"/>
        </w:rPr>
        <w:t xml:space="preserve">4.4.3  ClimateBERT Score Distribution</w:t>
      </w:r>
    </w:p>
    <w:p>
      <w:pPr>
        <w:spacing w:after="160" w:before="100" w:line="276"/>
        <w:jc w:val="both"/>
      </w:pPr>
      <w:r>
        <w:rPr>
          <w:rFonts w:ascii="Arial" w:cs="Arial" w:eastAsia="Arial" w:hAnsi="Arial"/>
          <w:sz w:val="22"/>
          <w:szCs w:val="22"/>
        </w:rPr>
        <w:t xml:space="preserve">The top-scoring ClimateBERT records (Figure A.5) show that high-confidence ClimateBERT outputs are concentrated on a narrow subset of records, with most records receiving low or missing confidence scores. This right-skewed distribution is inconsistent with a well-calibrated classifier applied to its target domain, where confidence scores would be expected to distribute more evenly. The practical implication is that ClimateBERT is recognising only a small fraction of the Indonesian/bilingual ESG corpus as clearly within its training distribution — reinforcing the domain-mismatch finding from the T1 failure rate.</w:t>
      </w:r>
    </w:p>
    <w:p>
      <w:pPr>
        <w:spacing w:after="200" w:before="80" w:line="276"/>
        <w:jc w:val="both"/>
      </w:pPr>
      <w:r>
        <w:rPr>
          <w:rFonts w:ascii="Arial" w:cs="Arial" w:eastAsia="Arial" w:hAnsi="Arial"/>
          <w:i/>
          <w:iCs/>
          <w:color w:val="666666"/>
          <w:sz w:val="20"/>
          <w:szCs w:val="20"/>
        </w:rPr>
        <w:t xml:space="preserve">[Figure A.5: Top-scoring ClimateBERT records]</w:t>
      </w:r>
    </w:p>
    <w:p>
      <w:pPr>
        <w:spacing w:after="80" w:before="80"/>
      </w:pPr>
      <w:r>
        <w:t xml:space="preserve"/>
      </w:r>
    </w:p>
    <w:p>
      <w:pPr>
        <w:pStyle w:val="Heading2"/>
      </w:pPr>
      <w:r>
        <w:rPr>
          <w:rFonts w:ascii="Arial" w:cs="Arial" w:eastAsia="Arial" w:hAnsi="Arial"/>
          <w:b/>
          <w:bCs/>
          <w:color w:val="2E5496"/>
          <w:sz w:val="28"/>
          <w:szCs w:val="28"/>
        </w:rPr>
        <w:t xml:space="preserve">4.5  Model and Prompt Stability (RQ6 – Preliminary Evidence)</w:t>
      </w:r>
    </w:p>
    <w:p>
      <w:pPr>
        <w:spacing w:after="160" w:before="100" w:line="276"/>
        <w:jc w:val="both"/>
      </w:pPr>
      <w:r>
        <w:rPr>
          <w:rFonts w:ascii="Arial" w:cs="Arial" w:eastAsia="Arial" w:hAnsi="Arial"/>
          <w:sz w:val="22"/>
          <w:szCs w:val="22"/>
        </w:rPr>
        <w:t xml:space="preserve">Stability analysis across six models and six prompt templates provides preliminary evidence for the RQ6 claims about cross-model and cross-prompt reliability. Full stability benchmarking is presented in Chapter 6; this section reports the core evidence generated during pipeline execution.</w:t>
      </w:r>
    </w:p>
    <w:p>
      <w:pPr>
        <w:spacing w:after="160" w:before="100" w:line="276"/>
        <w:jc w:val="both"/>
      </w:pPr>
      <w:r>
        <w:rPr>
          <w:rFonts w:ascii="Arial" w:cs="Arial" w:eastAsia="Arial" w:hAnsi="Arial"/>
          <w:sz w:val="22"/>
          <w:szCs w:val="22"/>
        </w:rPr>
        <w:t xml:space="preserve">JSON parse success rates (Figure A.10) vary substantially across models. arcee-ai/trinity-large-preview:free achieved a perfect 1.000 parse rate across 90 runs, and openai/gpt-oss-120b:free achieved 1.000 across 20 runs — both exceeding the 0.95 threshold for production-quality structured output. arcee-ai/trinity-large-thinking:free (89 runs) scored 0.899, just below the threshold. minimax/minimax-m2.5:free, the most frequently used model at 776 runs, achieved only 0.566 — well below the 0.90 threshold for research-quality use. The qwen3.5:0.8b model produced only 2 runs with a 0.0 parse rate, insufficient for any stability claim.</w:t>
      </w:r>
    </w:p>
    <w:p>
      <w:pPr>
        <w:spacing w:after="200" w:before="80" w:line="276"/>
        <w:jc w:val="both"/>
      </w:pPr>
      <w:r>
        <w:rPr>
          <w:rFonts w:ascii="Arial" w:cs="Arial" w:eastAsia="Arial" w:hAnsi="Arial"/>
          <w:i/>
          <w:iCs/>
          <w:color w:val="666666"/>
          <w:sz w:val="20"/>
          <w:szCs w:val="20"/>
        </w:rPr>
        <w:t xml:space="preserve">[Figure A.10: Model parse success benchmark]</w:t>
      </w:r>
    </w:p>
    <w:p>
      <w:pPr>
        <w:spacing w:after="200" w:before="80" w:line="276"/>
        <w:jc w:val="both"/>
      </w:pPr>
      <w:r>
        <w:rPr>
          <w:rFonts w:ascii="Arial" w:cs="Arial" w:eastAsia="Arial" w:hAnsi="Arial"/>
          <w:i/>
          <w:iCs/>
          <w:color w:val="666666"/>
          <w:sz w:val="20"/>
          <w:szCs w:val="20"/>
        </w:rPr>
        <w:t xml:space="preserve">[Figure A.14: Repeated LLM runs]</w:t>
      </w:r>
    </w:p>
    <w:p>
      <w:pPr>
        <w:spacing w:after="160" w:before="100" w:line="276"/>
        <w:jc w:val="both"/>
      </w:pPr>
      <w:r>
        <w:rPr>
          <w:rFonts w:ascii="Arial" w:cs="Arial" w:eastAsia="Arial" w:hAnsi="Arial"/>
          <w:sz w:val="22"/>
          <w:szCs w:val="22"/>
        </w:rPr>
        <w:t xml:space="preserve">Missing-tone rates across the six designed prompt templates (Figure A.11) are near-zero for all templates except data.md, which returns a 1.000 missing rate as expected — data.md is the raw data prompt not designed for tone classification and functions as a negative control. The six designed tone prompts (tone_chain_of_thought_english, tone_chain_of_thought_indonesian, tone_few_shot_english, tone_few_shot_indonesian, tone_zero_shot_english, tone_zero_shot_indonesian) all achieve 0.000 missing-tone rate. Against the 5% acceptable threshold for LLM-based extraction prompts, this outperformance is the strongest positive result in the prompt engineering evaluation.</w:t>
      </w:r>
    </w:p>
    <w:p>
      <w:pPr>
        <w:spacing w:after="200" w:before="80" w:line="276"/>
        <w:jc w:val="both"/>
      </w:pPr>
      <w:r>
        <w:rPr>
          <w:rFonts w:ascii="Arial" w:cs="Arial" w:eastAsia="Arial" w:hAnsi="Arial"/>
          <w:i/>
          <w:iCs/>
          <w:color w:val="666666"/>
          <w:sz w:val="20"/>
          <w:szCs w:val="20"/>
        </w:rPr>
        <w:t xml:space="preserve">[Figure A.11: Prompt missing-tone benchmark]</w:t>
      </w:r>
    </w:p>
    <w:p>
      <w:pPr>
        <w:spacing w:after="160" w:before="100" w:line="276"/>
        <w:jc w:val="both"/>
      </w:pPr>
      <w:r>
        <w:rPr>
          <w:rFonts w:ascii="Arial" w:cs="Arial" w:eastAsia="Arial" w:hAnsi="Arial"/>
          <w:sz w:val="22"/>
          <w:szCs w:val="22"/>
        </w:rPr>
        <w:t xml:space="preserve">The PDF-by-prompt coverage matrix confirms that all six tone prompts generated records across the document corpus, with prompt template contribution roughly proportional to run count. The data.md column returns zero records for all documents, confirming its role as a negative control rather than a contributing extraction pathway.</w:t>
      </w:r>
    </w:p>
    <w:p>
      <w:pPr>
        <w:spacing w:after="80" w:before="80"/>
      </w:pPr>
      <w:r>
        <w:t xml:space="preserve"/>
      </w:r>
    </w:p>
    <w:p>
      <w:r>
        <w:br w:type="page"/>
      </w:r>
    </w:p>
    <w:p>
      <w:pPr>
        <w:pStyle w:val="Heading1"/>
      </w:pPr>
      <w:r>
        <w:rPr>
          <w:rFonts w:ascii="Arial" w:cs="Arial" w:eastAsia="Arial" w:hAnsi="Arial"/>
          <w:b/>
          <w:bCs/>
          <w:color w:val="1F3864"/>
          <w:sz w:val="36"/>
          <w:szCs w:val="36"/>
        </w:rPr>
        <w:t xml:space="preserve">Chapter 5: Discussion and Diagnostic Analysis</w:t>
      </w:r>
    </w:p>
    <w:p>
      <w:pPr>
        <w:spacing w:after="160" w:before="100" w:line="276"/>
        <w:jc w:val="both"/>
      </w:pPr>
      <w:r>
        <w:rPr>
          <w:rFonts w:ascii="Arial" w:cs="Arial" w:eastAsia="Arial" w:hAnsi="Arial"/>
          <w:sz w:val="22"/>
          <w:szCs w:val="22"/>
        </w:rPr>
        <w:t xml:space="preserve">Chapter 5 interprets the empirical findings of Chapter 4 against the research questions, identifies systematic failure modes in the pipeline, and situates the results within the broader ESG NLP literature. The chapter proceeds through four themes: validation of the tone annotation schema and ontology (RQ2), deeper analysis of the ClimateBERT divergence finding (RQ3), diagnostics for extraction weaknesses (RQ4), and assessment of the human annotation gap (RQ2/RQ5).</w:t>
      </w:r>
    </w:p>
    <w:p>
      <w:pPr>
        <w:spacing w:after="80" w:before="80"/>
      </w:pPr>
      <w:r>
        <w:t xml:space="preserve"/>
      </w:r>
    </w:p>
    <w:p>
      <w:pPr>
        <w:pStyle w:val="Heading2"/>
      </w:pPr>
      <w:r>
        <w:rPr>
          <w:rFonts w:ascii="Arial" w:cs="Arial" w:eastAsia="Arial" w:hAnsi="Arial"/>
          <w:b/>
          <w:bCs/>
          <w:color w:val="2E5496"/>
          <w:sz w:val="28"/>
          <w:szCs w:val="28"/>
        </w:rPr>
        <w:t xml:space="preserve">5.1  Validation of the Tone Taxonomy and ESG Ontology (RQ2)</w:t>
      </w:r>
    </w:p>
    <w:p>
      <w:pPr>
        <w:pStyle w:val="Heading3"/>
      </w:pPr>
      <w:r>
        <w:rPr>
          <w:rFonts w:ascii="Arial" w:cs="Arial" w:eastAsia="Arial" w:hAnsi="Arial"/>
          <w:b/>
          <w:bCs/>
          <w:color w:val="2E5496"/>
          <w:sz w:val="24"/>
          <w:szCs w:val="24"/>
        </w:rPr>
        <w:t xml:space="preserve">5.1.1  Annotation Completion and Inter-Annotator Agreement Gap</w:t>
      </w:r>
    </w:p>
    <w:p>
      <w:pPr>
        <w:spacing w:after="160" w:before="100" w:line="276"/>
        <w:jc w:val="both"/>
      </w:pPr>
      <w:r>
        <w:rPr>
          <w:rFonts w:ascii="Arial" w:cs="Arial" w:eastAsia="Arial" w:hAnsi="Arial"/>
          <w:sz w:val="22"/>
          <w:szCs w:val="22"/>
        </w:rPr>
        <w:t xml:space="preserve">The human annotation completion analysis (Figure A.13, A.18) reveals the most significant validation gap in the current study. Of the 5,444 silver-dataset rows, ground-truth tone labels were completed for 4,853 rows (89.2%), with 591 rows pending review. The pilot annotation infrastructure was designed for 70 seed records — a sufficient sample for a reliable kappa estimate under standard NLP annotation study conventions. However, the 70 pilot records are at 100% needs_review status, meaning no human annotator has yet reviewed any pilot record. The annotator field is zero across all 5,444 rows.</w:t>
      </w:r>
    </w:p>
    <w:p>
      <w:pPr>
        <w:spacing w:after="200" w:before="80" w:line="276"/>
        <w:jc w:val="both"/>
      </w:pPr>
      <w:r>
        <w:rPr>
          <w:rFonts w:ascii="Arial" w:cs="Arial" w:eastAsia="Arial" w:hAnsi="Arial"/>
          <w:i/>
          <w:iCs/>
          <w:color w:val="666666"/>
          <w:sz w:val="20"/>
          <w:szCs w:val="20"/>
        </w:rPr>
        <w:t xml:space="preserve">[Figure A.13: Human annotation agreement]</w:t>
      </w:r>
    </w:p>
    <w:p>
      <w:pPr>
        <w:spacing w:after="200" w:before="80" w:line="276"/>
        <w:jc w:val="both"/>
      </w:pPr>
      <w:r>
        <w:rPr>
          <w:rFonts w:ascii="Arial" w:cs="Arial" w:eastAsia="Arial" w:hAnsi="Arial"/>
          <w:i/>
          <w:iCs/>
          <w:color w:val="666666"/>
          <w:sz w:val="20"/>
          <w:szCs w:val="20"/>
        </w:rPr>
        <w:t xml:space="preserve">[Figure A.18: Pilot annotation completion]</w:t>
      </w:r>
    </w:p>
    <w:p>
      <w:pPr>
        <w:spacing w:after="160" w:before="100" w:line="276"/>
        <w:jc w:val="both"/>
      </w:pPr>
      <w:r>
        <w:rPr>
          <w:rFonts w:ascii="Arial" w:cs="Arial" w:eastAsia="Arial" w:hAnsi="Arial"/>
          <w:sz w:val="22"/>
          <w:szCs w:val="22"/>
        </w:rPr>
        <w:t xml:space="preserve">The consequence is unambiguous: formal inter-annotator agreement cannot be computed from the current data. The kappa=0.645 figure reported in Chapter 4 is a proxy agreement between two automated systems, not a human IAA coefficient. While proxy kappa is a legitimate and frequently used validation tool in computational linguistics — particularly when constructing silver datasets via automated labelling — it answers a different question from human IAA. Proxy kappa measures system-to-system consistency; human IAA measures whether the annotation schema is interpretable and consistently applicable by human experts. The latter is the gold standard for NLP annotation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2" w:val="clear"/>
            <w:tcMar>
              <w:top w:type="dxa" w:w="120"/>
              <w:left w:type="dxa" w:w="180"/>
              <w:bottom w:type="dxa" w:w="120"/>
              <w:right w:type="dxa" w:w="180"/>
            </w:tcMar>
          </w:tcPr>
          <w:p>
            <w:pPr>
              <w:spacing w:after="60" w:before="60" w:line="260"/>
            </w:pPr>
            <w:r>
              <w:rPr>
                <w:rFonts w:ascii="Arial" w:cs="Arial" w:eastAsia="Arial" w:hAnsi="Arial"/>
                <w:i/>
                <w:iCs/>
                <w:color w:val="7F3F00"/>
                <w:sz w:val="20"/>
                <w:szCs w:val="20"/>
              </w:rPr>
              <w:t xml:space="preserve">Limitation: The absence of completed human annotation means the tone taxonomy cannot currently be validated against the IAA standards required for NLP publication (kappa &gt;= 0.70 by Landis and Koch). The infrastructure for this validation exists — the 70 pilot seed records are prepared and the annotation interface is built — but the human annotation step was not completed within the study period. This is the primary remaining validation task before the annotation schema can be claimed as formally validated.</w:t>
            </w:r>
          </w:p>
        </w:tc>
      </w:tr>
    </w:tbl>
    <w:p>
      <w:pPr>
        <w:spacing w:after="160" w:before="100" w:line="276"/>
        <w:jc w:val="both"/>
      </w:pPr>
      <w:r>
        <w:rPr>
          <w:rFonts w:ascii="Arial" w:cs="Arial" w:eastAsia="Arial" w:hAnsi="Arial"/>
          <w:sz w:val="22"/>
          <w:szCs w:val="22"/>
        </w:rPr>
        <w:t xml:space="preserve">It is important not to overstate this limitation. The silver dataset's high field completeness (A.17), the aspect-tone concentration patterns in A.3, and the tone comparison accuracy in A.19 collectively provide strong circumstantial evidence that the annotation schema is capturing semantically coherent structure. The schema is behaviourally validated by the pipeline; what is missing is independent human confirmation. This is a standard distinction in silver-dataset NLP work and should be framed accordingly in the thesis's contribution claims.</w:t>
      </w:r>
    </w:p>
    <w:p>
      <w:pPr>
        <w:pStyle w:val="Heading3"/>
      </w:pPr>
      <w:r>
        <w:rPr>
          <w:rFonts w:ascii="Arial" w:cs="Arial" w:eastAsia="Arial" w:hAnsi="Arial"/>
          <w:b/>
          <w:bCs/>
          <w:color w:val="2E5496"/>
          <w:sz w:val="24"/>
          <w:szCs w:val="24"/>
        </w:rPr>
        <w:t xml:space="preserve">5.1.2  Pilot Annotation: Ground Truth Tone Comparison</w:t>
      </w:r>
    </w:p>
    <w:p>
      <w:pPr>
        <w:spacing w:after="160" w:before="100" w:line="276"/>
        <w:jc w:val="both"/>
      </w:pPr>
      <w:r>
        <w:rPr>
          <w:rFonts w:ascii="Arial" w:cs="Arial" w:eastAsia="Arial" w:hAnsi="Arial"/>
          <w:sz w:val="22"/>
          <w:szCs w:val="22"/>
        </w:rPr>
        <w:t xml:space="preserve">The ground truth tone comparison (Figure A.19) provides the most direct accuracy measurement available. The confusion matrix shows strong diagonal dominance for Action (94.8%), Commitment (90.3%), and Outcome (85.8%), all well above the 70% minimum per-class threshold. The None class at 81.9% meets the threshold but is the weakest performer, with 223 none-labelled records misclassified as action. This none/action confusion is semantically interpretable: the boundary between descriptive context-setting and weakly action-framed statements is genuinely ambiguous in sustainability reporting language, where companies frequently describe what they are doing without explicitly characterising it as a commitment or outcome.</w:t>
      </w:r>
    </w:p>
    <w:p>
      <w:pPr>
        <w:spacing w:after="200" w:before="80" w:line="276"/>
        <w:jc w:val="both"/>
      </w:pPr>
      <w:r>
        <w:rPr>
          <w:rFonts w:ascii="Arial" w:cs="Arial" w:eastAsia="Arial" w:hAnsi="Arial"/>
          <w:i/>
          <w:iCs/>
          <w:color w:val="666666"/>
          <w:sz w:val="20"/>
          <w:szCs w:val="20"/>
        </w:rPr>
        <w:t xml:space="preserve">[Figure A.19: Ground truth tone comparison]</w:t>
      </w:r>
    </w:p>
    <w:p>
      <w:pPr>
        <w:spacing w:after="80" w:before="80"/>
      </w:pPr>
      <w:r>
        <w:t xml:space="preserve"/>
      </w:r>
    </w:p>
    <w:p>
      <w:pPr>
        <w:pStyle w:val="Heading2"/>
      </w:pPr>
      <w:r>
        <w:rPr>
          <w:rFonts w:ascii="Arial" w:cs="Arial" w:eastAsia="Arial" w:hAnsi="Arial"/>
          <w:b/>
          <w:bCs/>
          <w:color w:val="2E5496"/>
          <w:sz w:val="28"/>
          <w:szCs w:val="28"/>
        </w:rPr>
        <w:t xml:space="preserve">5.2  ClimateBERT Divergence: Mechanistic Interpretation (RQ3)</w:t>
      </w:r>
    </w:p>
    <w:p>
      <w:pPr>
        <w:spacing w:after="160" w:before="100" w:line="276"/>
        <w:jc w:val="both"/>
      </w:pPr>
      <w:r>
        <w:rPr>
          <w:rFonts w:ascii="Arial" w:cs="Arial" w:eastAsia="Arial" w:hAnsi="Arial"/>
          <w:sz w:val="22"/>
          <w:szCs w:val="22"/>
        </w:rPr>
        <w:t xml:space="preserve">The moderate kappa (0.645) between the pipeline and ClimateBERT deserves deeper interpretation than a performance metric alone provides. Three mechanistic factors contribute to the divergence.</w:t>
      </w:r>
    </w:p>
    <w:p>
      <w:pPr>
        <w:spacing w:after="160" w:before="100" w:line="276"/>
        <w:jc w:val="both"/>
      </w:pPr>
      <w:r>
        <w:rPr>
          <w:rFonts w:ascii="Arial" w:cs="Arial" w:eastAsia="Arial" w:hAnsi="Arial"/>
          <w:sz w:val="22"/>
          <w:szCs w:val="22"/>
        </w:rPr>
        <w:t xml:space="preserve">First, granularity mismatch: the pipeline assigns tone at the sentence level within a three-tier ontology (commitment, action, outcome); ClimateBERT was trained on passage-level labels in a binary or multi-class framework calibrated to English climate policy documents. Applying a passage-calibrated classifier to sentence-level records will systematically inflate ambiguity, because sentences frequently contain contextual information that is only interpretable as commitment or action at the passage level.</w:t>
      </w:r>
    </w:p>
    <w:p>
      <w:pPr>
        <w:spacing w:after="160" w:before="100" w:line="276"/>
        <w:jc w:val="both"/>
      </w:pPr>
      <w:r>
        <w:rPr>
          <w:rFonts w:ascii="Arial" w:cs="Arial" w:eastAsia="Arial" w:hAnsi="Arial"/>
          <w:sz w:val="22"/>
          <w:szCs w:val="22"/>
        </w:rPr>
        <w:t xml:space="preserve">Second, domain mismatch: ClimateBERT's training corpus is English climate policy text; the current corpus is Indonesian/bilingual sustainability reports under OJK regulation. The 38.9% T1 failure rate and the right-skewed confidence distribution (A.5) both quantify how far outside its training distribution ClimateBERT is operating. Records that ClimateBERT cannot confidently classify default to missing or LABEL_0/1 labels without semantic mapping, producing the opaque outputs noted in Chapter 4.</w:t>
      </w:r>
    </w:p>
    <w:p>
      <w:pPr>
        <w:spacing w:after="160" w:before="100" w:line="276"/>
        <w:jc w:val="both"/>
      </w:pPr>
      <w:r>
        <w:rPr>
          <w:rFonts w:ascii="Arial" w:cs="Arial" w:eastAsia="Arial" w:hAnsi="Arial"/>
          <w:sz w:val="22"/>
          <w:szCs w:val="22"/>
        </w:rPr>
        <w:t xml:space="preserve">Third, construct divergence: the most interpretable finding from the A.4 crosstab is that 22 None-tone records receive a climate-commitment ClimateBERT label. This is the construct divergence Gap 2 describes. ClimateBERT conflates commitment-adjacent language — sentences that mention commitments in a descriptive rather than performative context — with genuine commitment statements. The pipeline's sentence-level tone classification separates these: a sentence reporting that the company has made commitments is labelled None (descriptive) rather than Commitment (performative), because the sentence itself is not making a commitment. This distinction has direct implications for greenwashing detection: a company could pad its report with narrative descriptions of commitments without making any actual commitments, and a ClimateBERT-based system would credit these descriptions as commitment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line="260"/>
            </w:pPr>
            <w:r>
              <w:rPr>
                <w:rFonts w:ascii="Arial" w:cs="Arial" w:eastAsia="Arial" w:hAnsi="Arial"/>
                <w:i/>
                <w:iCs/>
                <w:color w:val="1F4E79"/>
                <w:sz w:val="20"/>
                <w:szCs w:val="20"/>
              </w:rPr>
              <w:t xml:space="preserve">Key finding (RQ3): The moderate kappa between the pipeline and ClimateBERT is not a validation failure — it is the empirical demonstration that the two systems are measuring different constructs. The pipeline captures performative tone at the sentence level; ClimateBERT captures climate-domain relevance at a document-calibrated granularity. Both are valid analytical lenses, but they should not be treated as interchangeable in ESG analytics pipelines.</w:t>
            </w:r>
          </w:p>
        </w:tc>
      </w:tr>
    </w:tbl>
    <w:p>
      <w:pPr>
        <w:spacing w:after="80" w:before="80"/>
      </w:pPr>
      <w:r>
        <w:t xml:space="preserve"/>
      </w:r>
    </w:p>
    <w:p>
      <w:pPr>
        <w:pStyle w:val="Heading2"/>
      </w:pPr>
      <w:r>
        <w:rPr>
          <w:rFonts w:ascii="Arial" w:cs="Arial" w:eastAsia="Arial" w:hAnsi="Arial"/>
          <w:b/>
          <w:bCs/>
          <w:color w:val="2E5496"/>
          <w:sz w:val="28"/>
          <w:szCs w:val="28"/>
        </w:rPr>
        <w:t xml:space="preserve">5.3  Ontology Coverage: Depth vs. Breadth (RQ4)</w:t>
      </w:r>
    </w:p>
    <w:p>
      <w:pPr>
        <w:pStyle w:val="Heading3"/>
      </w:pPr>
      <w:r>
        <w:rPr>
          <w:rFonts w:ascii="Arial" w:cs="Arial" w:eastAsia="Arial" w:hAnsi="Arial"/>
          <w:b/>
          <w:bCs/>
          <w:color w:val="2E5496"/>
          <w:sz w:val="24"/>
          <w:szCs w:val="24"/>
        </w:rPr>
        <w:t xml:space="preserve">5.3.1  Ontology Mapping Rate and Novel Aspects</w:t>
      </w:r>
    </w:p>
    <w:p>
      <w:pPr>
        <w:spacing w:after="160" w:before="100" w:line="276"/>
        <w:jc w:val="both"/>
      </w:pPr>
      <w:r>
        <w:rPr>
          <w:rFonts w:ascii="Arial" w:cs="Arial" w:eastAsia="Arial" w:hAnsi="Arial"/>
          <w:sz w:val="22"/>
          <w:szCs w:val="22"/>
        </w:rPr>
        <w:t xml:space="preserve">The ontology coverage analysis (Figure A.12) shows that 194 of 333 unique aspect types (58.3%) were mapped to the existing ontology, with 139 designated as novel or unmapped. Against the 80% mapping threshold for good coverage in ontology studies of specialised domains, the 58% rate is below target. However, this underperformance is productive rather than incidental: the 139 novel aspects quantify the Indonesian-language ESG domain gap that Contribution 4's ontology extension is designed to address.</w:t>
      </w:r>
    </w:p>
    <w:p>
      <w:pPr>
        <w:spacing w:after="200" w:before="80" w:line="276"/>
        <w:jc w:val="both"/>
      </w:pPr>
      <w:r>
        <w:rPr>
          <w:rFonts w:ascii="Arial" w:cs="Arial" w:eastAsia="Arial" w:hAnsi="Arial"/>
          <w:i/>
          <w:iCs/>
          <w:color w:val="666666"/>
          <w:sz w:val="20"/>
          <w:szCs w:val="20"/>
        </w:rPr>
        <w:t xml:space="preserve">[Figure A.12: Ontology mapped vs novel aspects]</w:t>
      </w:r>
    </w:p>
    <w:p>
      <w:pPr>
        <w:spacing w:after="160" w:before="100" w:line="276"/>
        <w:jc w:val="both"/>
      </w:pPr>
      <w:r>
        <w:rPr>
          <w:rFonts w:ascii="Arial" w:cs="Arial" w:eastAsia="Arial" w:hAnsi="Arial"/>
          <w:sz w:val="22"/>
          <w:szCs w:val="22"/>
        </w:rPr>
        <w:t xml:space="preserve">The ontology extension candidates (Figure A.16) include genuine domain-specific Indonesian ESG terms: identifikasi risiko korupsi, kerja sama energi bersih, kebijakan konflik kepentingan, kebijakan antikorupsi, and implementasi antikorupsi. These are conceptually distinct from their nearest English-language counterparts and represent legitimate additions to an Indonesian ESG ontology. The limitation is frequency: most of these candidates appear only once across the corpus, below the minimum of five records typically required to justify formal formalisation. The high-frequency unmapped entries — missing (60) and none (23) — are pipeline artefacts rather than genuine extension candidates.</w:t>
      </w:r>
    </w:p>
    <w:p>
      <w:pPr>
        <w:spacing w:after="200" w:before="80" w:line="276"/>
        <w:jc w:val="both"/>
      </w:pPr>
      <w:r>
        <w:rPr>
          <w:rFonts w:ascii="Arial" w:cs="Arial" w:eastAsia="Arial" w:hAnsi="Arial"/>
          <w:i/>
          <w:iCs/>
          <w:color w:val="666666"/>
          <w:sz w:val="20"/>
          <w:szCs w:val="20"/>
        </w:rPr>
        <w:t xml:space="preserve">[Figure A.16: Ontology extension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E2" w:val="clear"/>
            <w:tcMar>
              <w:top w:type="dxa" w:w="120"/>
              <w:left w:type="dxa" w:w="180"/>
              <w:bottom w:type="dxa" w:w="120"/>
              <w:right w:type="dxa" w:w="180"/>
            </w:tcMar>
          </w:tcPr>
          <w:p>
            <w:pPr>
              <w:spacing w:after="60" w:before="60" w:line="260"/>
            </w:pPr>
            <w:r>
              <w:rPr>
                <w:rFonts w:ascii="Arial" w:cs="Arial" w:eastAsia="Arial" w:hAnsi="Arial"/>
                <w:i/>
                <w:iCs/>
                <w:color w:val="7F3F00"/>
                <w:sz w:val="20"/>
                <w:szCs w:val="20"/>
              </w:rPr>
              <w:t xml:space="preserve">Limitation (A.16): The most frequent 'unmapped' entries are pipeline artefacts (missing labels returned when no aspect was extracted) rather than genuine novel aspects. When these are excluded, the number of substantive extension candidates with sufficient frequency for formalisation is small. Ontology extension based on this corpus alone would be premature; the candidates should be validated against a larger bilingual corpus before formalisation.</w:t>
            </w:r>
          </w:p>
        </w:tc>
      </w:tr>
    </w:tbl>
    <w:p>
      <w:pPr>
        <w:pStyle w:val="Heading3"/>
      </w:pPr>
      <w:r>
        <w:rPr>
          <w:rFonts w:ascii="Arial" w:cs="Arial" w:eastAsia="Arial" w:hAnsi="Arial"/>
          <w:b/>
          <w:bCs/>
          <w:color w:val="2E5496"/>
          <w:sz w:val="24"/>
          <w:szCs w:val="24"/>
        </w:rPr>
        <w:t xml:space="preserve">5.3.2  Ontology Path Depth and Regulatory Specificity</w:t>
      </w:r>
    </w:p>
    <w:p>
      <w:pPr>
        <w:spacing w:after="160" w:before="100" w:line="276"/>
        <w:jc w:val="both"/>
      </w:pPr>
      <w:r>
        <w:rPr>
          <w:rFonts w:ascii="Arial" w:cs="Arial" w:eastAsia="Arial" w:hAnsi="Arial"/>
          <w:sz w:val="22"/>
          <w:szCs w:val="22"/>
        </w:rPr>
        <w:t xml:space="preserve">The ontology coverage paths analysis (Figure A.36) is the closing argument for the ontology contribution, and it requires honest interpretation. All 333 aspect types are flagged as mapped, which accurately describes whether each aspect was assigned a path in the ontology. However, the distribution of those paths reveals that mapping breadth and mapping depth are different things. The most frequent destinations are: ClimateBERT-&gt;climate-detection (79 records), Governance-&gt;General (66), missing (60), and none (23). Only 57 records across all aspect types reach genuinely framework-specific nodes: climate-action (19), climate-commitment (15), environmental-claims (11), climate-d (8), and netzero-reduction (4).</w:t>
      </w:r>
    </w:p>
    <w:p>
      <w:pPr>
        <w:spacing w:after="200" w:before="80" w:line="276"/>
        <w:jc w:val="both"/>
      </w:pPr>
      <w:r>
        <w:rPr>
          <w:rFonts w:ascii="Arial" w:cs="Arial" w:eastAsia="Arial" w:hAnsi="Arial"/>
          <w:i/>
          <w:iCs/>
          <w:color w:val="666666"/>
          <w:sz w:val="20"/>
          <w:szCs w:val="20"/>
        </w:rPr>
        <w:t xml:space="preserve">[Figure A.36: Aspect ontology coverage paths]</w:t>
      </w:r>
    </w:p>
    <w:p>
      <w:pPr>
        <w:spacing w:after="160" w:before="100" w:line="276"/>
        <w:jc w:val="both"/>
      </w:pPr>
      <w:r>
        <w:rPr>
          <w:rFonts w:ascii="Arial" w:cs="Arial" w:eastAsia="Arial" w:hAnsi="Arial"/>
          <w:sz w:val="22"/>
          <w:szCs w:val="22"/>
        </w:rPr>
        <w:t xml:space="preserve">Against the benchmark that 60% of records should route to framework-specific GRI/SASB/TCFD nodes for an ontology claiming regulatory alignment, the actual rate of 17% constitutes severe underperformance on regulatory specificity. The 52/52 headline mapping rate in the dashboard is technically accurate but substantively misleading if interpreted as deep regulatory alignment. ClimateBERT-&gt;climate-detection and Governance-&gt;General are coarse-grained placeholder categories that do not provide the regulatory traceability — linking textual claims to specific GRI indicators or TCFD disclosure requirements — that the ontology contribution targets.</w:t>
      </w:r>
    </w:p>
    <w:p>
      <w:pPr>
        <w:spacing w:after="160" w:before="100" w:line="276"/>
        <w:jc w:val="both"/>
      </w:pPr>
      <w:r>
        <w:rPr>
          <w:rFonts w:ascii="Arial" w:cs="Arial" w:eastAsia="Arial" w:hAnsi="Arial"/>
          <w:sz w:val="22"/>
          <w:szCs w:val="22"/>
        </w:rPr>
        <w:t xml:space="preserve">This finding has direct implications for Contribution 4's claims. The ontology layer exists, functions at a coarse level, and demonstrates the architecture of deep regulatory mapping. But the actual depth of regulatory linkage in the current implementation is limited to the 17% of aspects that reach specific sub-labels. Contribution 4 is therefore more accurately characterised as an ontology framework with demonstrated coarse coverage and identified deep-coverage gaps, rather than a fully operationalised GRI/SASB/TCFD alignment layer. This is an honest and appropriate scope for a master's thesis, and the identification of the gap is itself a contribution — but it must be clearly stated.</w:t>
      </w:r>
    </w:p>
    <w:p>
      <w:pPr>
        <w:pStyle w:val="Heading3"/>
      </w:pPr>
      <w:r>
        <w:rPr>
          <w:rFonts w:ascii="Arial" w:cs="Arial" w:eastAsia="Arial" w:hAnsi="Arial"/>
          <w:b/>
          <w:bCs/>
          <w:color w:val="2E5496"/>
          <w:sz w:val="24"/>
          <w:szCs w:val="24"/>
        </w:rPr>
        <w:t xml:space="preserve">5.3.3  Ontology Paths from T2 Ground Truth Records</w:t>
      </w:r>
    </w:p>
    <w:p>
      <w:pPr>
        <w:spacing w:after="160" w:before="100" w:line="276"/>
        <w:jc w:val="both"/>
      </w:pPr>
      <w:r>
        <w:rPr>
          <w:rFonts w:ascii="Arial" w:cs="Arial" w:eastAsia="Arial" w:hAnsi="Arial"/>
          <w:sz w:val="22"/>
          <w:szCs w:val="22"/>
        </w:rPr>
        <w:t xml:space="preserve">The T2 ontology path analysis (Figure A.28) provides a complementary view at the record level. Of 2,071 T2 records, 1,643 (79.3%) route to General-&gt;Misc — a placeholder path that provides no regulatory specificity. The next most specific paths — Environmental-&gt;Emission Reduction (101, 4.9%) and Governance-&gt;Compliance (42, 2.0%) — are the most meaningful regulatory destinations, but together account for only 6.9% of records. The economic and social paths (Economic-&gt;Operational-&gt;Supply Chain at 8 records, Social-&gt;Welfare at 17) are present but sparse.</w:t>
      </w:r>
    </w:p>
    <w:p>
      <w:pPr>
        <w:spacing w:after="200" w:before="80" w:line="276"/>
        <w:jc w:val="both"/>
      </w:pPr>
      <w:r>
        <w:rPr>
          <w:rFonts w:ascii="Arial" w:cs="Arial" w:eastAsia="Arial" w:hAnsi="Arial"/>
          <w:i/>
          <w:iCs/>
          <w:color w:val="666666"/>
          <w:sz w:val="20"/>
          <w:szCs w:val="20"/>
        </w:rPr>
        <w:t xml:space="preserve">[Figure A.28: ground_truth.py ontology paths]</w:t>
      </w:r>
    </w:p>
    <w:p>
      <w:pPr>
        <w:spacing w:after="160" w:before="100" w:line="276"/>
        <w:jc w:val="both"/>
      </w:pPr>
      <w:r>
        <w:rPr>
          <w:rFonts w:ascii="Arial" w:cs="Arial" w:eastAsia="Arial" w:hAnsi="Arial"/>
          <w:sz w:val="22"/>
          <w:szCs w:val="22"/>
        </w:rPr>
        <w:t xml:space="preserve">The numeric metrics from T2 records (Figure A.29) show a mean greenwashing index of 3,380 against a median of 0.0, confirming that the greenwashing signal is dominated by a small number of extreme records rather than distributed across the corpus. The near-zero ontology alignment score (mean 0.0015) across 2,071 records confirms that the T2 ground truth records are not being assigned meaningful regulatory alignment scores — consistent with the shallow ontology path finding.</w:t>
      </w:r>
    </w:p>
    <w:p>
      <w:pPr>
        <w:spacing w:after="200" w:before="80" w:line="276"/>
        <w:jc w:val="both"/>
      </w:pPr>
      <w:r>
        <w:rPr>
          <w:rFonts w:ascii="Arial" w:cs="Arial" w:eastAsia="Arial" w:hAnsi="Arial"/>
          <w:i/>
          <w:iCs/>
          <w:color w:val="666666"/>
          <w:sz w:val="20"/>
          <w:szCs w:val="20"/>
        </w:rPr>
        <w:t xml:space="preserve">[Figure A.29: ground_truth.py numeric metrics]</w:t>
      </w:r>
    </w:p>
    <w:p>
      <w:pPr>
        <w:spacing w:after="80" w:before="80"/>
      </w:pPr>
      <w:r>
        <w:t xml:space="preserve"/>
      </w:r>
    </w:p>
    <w:p>
      <w:pPr>
        <w:pStyle w:val="Heading2"/>
      </w:pPr>
      <w:r>
        <w:rPr>
          <w:rFonts w:ascii="Arial" w:cs="Arial" w:eastAsia="Arial" w:hAnsi="Arial"/>
          <w:b/>
          <w:bCs/>
          <w:color w:val="2E5496"/>
          <w:sz w:val="28"/>
          <w:szCs w:val="28"/>
        </w:rPr>
        <w:t xml:space="preserve">5.4  Aspect Network Analysis and Greenwashing Signals (RQ4)</w:t>
      </w:r>
    </w:p>
    <w:p>
      <w:pPr>
        <w:pStyle w:val="Heading3"/>
      </w:pPr>
      <w:r>
        <w:rPr>
          <w:rFonts w:ascii="Arial" w:cs="Arial" w:eastAsia="Arial" w:hAnsi="Arial"/>
          <w:b/>
          <w:bCs/>
          <w:color w:val="2E5496"/>
          <w:sz w:val="24"/>
          <w:szCs w:val="24"/>
        </w:rPr>
        <w:t xml:space="preserve">5.4.1  Co-occurrence and Network Centrality</w:t>
      </w:r>
    </w:p>
    <w:p>
      <w:pPr>
        <w:spacing w:after="160" w:before="100" w:line="276"/>
        <w:jc w:val="both"/>
      </w:pPr>
      <w:r>
        <w:rPr>
          <w:rFonts w:ascii="Arial" w:cs="Arial" w:eastAsia="Arial" w:hAnsi="Arial"/>
          <w:sz w:val="22"/>
          <w:szCs w:val="22"/>
        </w:rPr>
        <w:t xml:space="preserve">The aspect co-occurrence analysis (Figure A.30) identifies the most frequently co-occurring aspect pairs in the corpus. The top pairs — kepatuhan lingkungan with pengelolaan limbah, kinerja esg with pengelolaan limbah, kepatuhan lingkungan with manajemen risiko — are semantically coherent domain pairs. Environmental compliance co-occurring with waste management reflects the regulatory structure of OJK environmental reporting requirements; ESG performance co-occurring with risk management reflects the integrated reporting frameworks adopted by larger Indonesian listed companies.</w:t>
      </w:r>
    </w:p>
    <w:p>
      <w:pPr>
        <w:spacing w:after="200" w:before="80" w:line="276"/>
        <w:jc w:val="both"/>
      </w:pPr>
      <w:r>
        <w:rPr>
          <w:rFonts w:ascii="Arial" w:cs="Arial" w:eastAsia="Arial" w:hAnsi="Arial"/>
          <w:i/>
          <w:iCs/>
          <w:color w:val="666666"/>
          <w:sz w:val="20"/>
          <w:szCs w:val="20"/>
        </w:rPr>
        <w:t xml:space="preserve">[Figure A.30: Aspect co-occurrence graph]</w:t>
      </w:r>
    </w:p>
    <w:p>
      <w:pPr>
        <w:spacing w:after="200" w:before="80" w:line="276"/>
        <w:jc w:val="both"/>
      </w:pPr>
      <w:r>
        <w:rPr>
          <w:rFonts w:ascii="Arial" w:cs="Arial" w:eastAsia="Arial" w:hAnsi="Arial"/>
          <w:i/>
          <w:iCs/>
          <w:color w:val="666666"/>
          <w:sz w:val="20"/>
          <w:szCs w:val="20"/>
        </w:rPr>
        <w:t xml:space="preserve">[Figure A.31: Aspect network centrality]</w:t>
      </w:r>
    </w:p>
    <w:p>
      <w:pPr>
        <w:spacing w:after="160" w:before="100" w:line="276"/>
        <w:jc w:val="both"/>
      </w:pPr>
      <w:r>
        <w:rPr>
          <w:rFonts w:ascii="Arial" w:cs="Arial" w:eastAsia="Arial" w:hAnsi="Arial"/>
          <w:sz w:val="22"/>
          <w:szCs w:val="22"/>
        </w:rPr>
        <w:t xml:space="preserve">Network centrality analysis (Figure A.31) identifies kinerja esg (weighted degree 327), kepatuhan lingkungan (331), and pengelolaan limbah (325) as the three highest-centrality aspects. These hub aspects occupy structurally central positions in the Indonesian ESG discourse network: they appear in many contexts, co-occur with many other aspects, and are therefore the most likely candidates for ontology anchoring. That these are also domain-core concepts — ESG performance, environmental compliance, waste management — validates the centrality metric as a meaningful measure of conceptual importance rather than a frequency artefact.</w:t>
      </w:r>
    </w:p>
    <w:p>
      <w:pPr>
        <w:pStyle w:val="Heading3"/>
      </w:pPr>
      <w:r>
        <w:rPr>
          <w:rFonts w:ascii="Arial" w:cs="Arial" w:eastAsia="Arial" w:hAnsi="Arial"/>
          <w:b/>
          <w:bCs/>
          <w:color w:val="2E5496"/>
          <w:sz w:val="24"/>
          <w:szCs w:val="24"/>
        </w:rPr>
        <w:t xml:space="preserve">5.4.2  Aspect Importance and Tone Dynamics</w:t>
      </w:r>
    </w:p>
    <w:p>
      <w:pPr>
        <w:spacing w:after="160" w:before="100" w:line="276"/>
        <w:jc w:val="both"/>
      </w:pPr>
      <w:r>
        <w:rPr>
          <w:rFonts w:ascii="Arial" w:cs="Arial" w:eastAsia="Arial" w:hAnsi="Arial"/>
          <w:sz w:val="22"/>
          <w:szCs w:val="22"/>
        </w:rPr>
        <w:t xml:space="preserve">The aspect importance scoring (Figure A.32) and aspect-tone dynamics analysis (Figure A.33) together provide the most direct evidence for the greenwashing detection potential of the pipeline. Several patterns are interpretable as commitment-outcome asymmetries — the structural signature of selective ESG disclosure:</w:t>
      </w:r>
    </w:p>
    <w:p>
      <w:pPr>
        <w:spacing w:after="200" w:before="80" w:line="276"/>
        <w:jc w:val="both"/>
      </w:pPr>
      <w:r>
        <w:rPr>
          <w:rFonts w:ascii="Arial" w:cs="Arial" w:eastAsia="Arial" w:hAnsi="Arial"/>
          <w:i/>
          <w:iCs/>
          <w:color w:val="666666"/>
          <w:sz w:val="20"/>
          <w:szCs w:val="20"/>
        </w:rPr>
        <w:t xml:space="preserve">[Figure A.32: Aspect importance scoring]</w:t>
      </w:r>
    </w:p>
    <w:p>
      <w:pPr>
        <w:spacing w:after="200" w:before="80" w:line="276"/>
        <w:jc w:val="both"/>
      </w:pPr>
      <w:r>
        <w:rPr>
          <w:rFonts w:ascii="Arial" w:cs="Arial" w:eastAsia="Arial" w:hAnsi="Arial"/>
          <w:i/>
          <w:iCs/>
          <w:color w:val="666666"/>
          <w:sz w:val="20"/>
          <w:szCs w:val="20"/>
        </w:rPr>
        <w:t xml:space="preserve">[Figure A.33: Aspect-tone dynamics]</w:t>
      </w:r>
    </w:p>
    <w:p>
      <w:pPr>
        <w:pStyle w:val="ListParagraph"/>
        <w:numPr>
          <w:ilvl w:val="0"/>
          <w:numId w:val="2"/>
        </w:numPr>
        <w:spacing w:after="80" w:before="80" w:line="260"/>
      </w:pPr>
      <w:r>
        <w:rPr>
          <w:rFonts w:ascii="Arial" w:cs="Arial" w:eastAsia="Arial" w:hAnsi="Arial"/>
          <w:sz w:val="22"/>
          <w:szCs w:val="22"/>
        </w:rPr>
        <w:t xml:space="preserve">Tata kelola perusahaan (corporate governance): high commitment count, low outcome count — governance is being pledged more than demonstrated.</w:t>
      </w:r>
    </w:p>
    <w:p>
      <w:pPr>
        <w:pStyle w:val="ListParagraph"/>
        <w:numPr>
          <w:ilvl w:val="0"/>
          <w:numId w:val="2"/>
        </w:numPr>
        <w:spacing w:after="80" w:before="80" w:line="260"/>
      </w:pPr>
      <w:r>
        <w:rPr>
          <w:rFonts w:ascii="Arial" w:cs="Arial" w:eastAsia="Arial" w:hAnsi="Arial"/>
          <w:sz w:val="22"/>
          <w:szCs w:val="22"/>
        </w:rPr>
        <w:t xml:space="preserve">Kontribusi keberlanjutan (sustainability contribution): dominated by commitment tone — sustainability is framed as future-oriented aspiration rather than present achievement.</w:t>
      </w:r>
    </w:p>
    <w:p>
      <w:pPr>
        <w:pStyle w:val="ListParagraph"/>
        <w:numPr>
          <w:ilvl w:val="0"/>
          <w:numId w:val="2"/>
        </w:numPr>
        <w:spacing w:after="80" w:before="80" w:line="260"/>
      </w:pPr>
      <w:r>
        <w:rPr>
          <w:rFonts w:ascii="Arial" w:cs="Arial" w:eastAsia="Arial" w:hAnsi="Arial"/>
          <w:sz w:val="22"/>
          <w:szCs w:val="22"/>
        </w:rPr>
        <w:t xml:space="preserve">Antikorupsi aspects: commitment-dominant with near-zero action or outcome — anti-corruption policies are being stated but not operationalised or reported as outcomes in the text.</w:t>
      </w:r>
    </w:p>
    <w:p>
      <w:pPr>
        <w:pStyle w:val="ListParagraph"/>
        <w:numPr>
          <w:ilvl w:val="0"/>
          <w:numId w:val="2"/>
        </w:numPr>
        <w:spacing w:after="80" w:before="80" w:line="260"/>
      </w:pPr>
      <w:r>
        <w:rPr>
          <w:rFonts w:ascii="Arial" w:cs="Arial" w:eastAsia="Arial" w:hAnsi="Arial"/>
          <w:sz w:val="22"/>
          <w:szCs w:val="22"/>
        </w:rPr>
        <w:t xml:space="preserve">Kinerja esg: outcome-dominated — ESG performance reporting is retrospective and results-oriented, as expected.</w:t>
      </w:r>
    </w:p>
    <w:p>
      <w:pPr>
        <w:pStyle w:val="ListParagraph"/>
        <w:numPr>
          <w:ilvl w:val="0"/>
          <w:numId w:val="2"/>
        </w:numPr>
        <w:spacing w:after="80" w:before="80" w:line="260"/>
      </w:pPr>
      <w:r>
        <w:rPr>
          <w:rFonts w:ascii="Arial" w:cs="Arial" w:eastAsia="Arial" w:hAnsi="Arial"/>
          <w:sz w:val="22"/>
          <w:szCs w:val="22"/>
        </w:rPr>
        <w:t xml:space="preserve">Pengelolaan limbah (waste management): action-dominated — environmental operations are described as ongoing activities.</w:t>
      </w:r>
    </w:p>
    <w:p>
      <w:pPr>
        <w:spacing w:after="160" w:before="100" w:line="276"/>
        <w:jc w:val="both"/>
      </w:pPr>
      <w:r>
        <w:rPr>
          <w:rFonts w:ascii="Arial" w:cs="Arial" w:eastAsia="Arial" w:hAnsi="Arial"/>
          <w:sz w:val="22"/>
          <w:szCs w:val="22"/>
        </w:rPr>
        <w:t xml:space="preserve">The antikorupsi pattern is the most analytically significant. Anti-corruption governance is a high-priority disclosure area for both OJK and international ESG frameworks, and the pattern of commitment-heavy, outcome-absent language is a documented greenwashing signal in corporate governance research (Gonzalez and Monterroso 2024). This does not constitute proof of greenwashing — it may reflect genuine policy commitment that has not yet been operationalised — but it is the kind of asymmetry that a systematic greenwashing detection framework should flag for further investigation.</w:t>
      </w:r>
    </w:p>
    <w:p>
      <w:pPr>
        <w:pStyle w:val="Heading3"/>
      </w:pPr>
      <w:r>
        <w:rPr>
          <w:rFonts w:ascii="Arial" w:cs="Arial" w:eastAsia="Arial" w:hAnsi="Arial"/>
          <w:b/>
          <w:bCs/>
          <w:color w:val="2E5496"/>
          <w:sz w:val="24"/>
          <w:szCs w:val="24"/>
        </w:rPr>
        <w:t xml:space="preserve">5.4.3  Cross-Entity and Temporal Analysis</w:t>
      </w:r>
    </w:p>
    <w:p>
      <w:pPr>
        <w:spacing w:after="160" w:before="100" w:line="276"/>
        <w:jc w:val="both"/>
      </w:pPr>
      <w:r>
        <w:rPr>
          <w:rFonts w:ascii="Arial" w:cs="Arial" w:eastAsia="Arial" w:hAnsi="Arial"/>
          <w:sz w:val="22"/>
          <w:szCs w:val="22"/>
        </w:rPr>
        <w:t xml:space="preserve">The cross-entity comparison (Figure A.34) reveals extreme heterogeneity across the six source companies. Climate-detection aspect records range from zero (Alfamart, SR-Bank-Aladin-Syariah, Wika Beton) to 31 (vktr); governance records from zero (SR-Bank, Wika Beton) to 66 (Alfamart). The coefficient of variation far exceeds the 80% threshold for cross-entity comparability claims. This means the corpus cannot support generalised statements about Indonesian ESG disclosure practice — individual company patterns dominate any corpus-level average. Any claims about what Indonesian companies disclose should be framed as case-study observations from specific companies, not as population-level findings.</w:t>
      </w:r>
    </w:p>
    <w:p>
      <w:pPr>
        <w:spacing w:after="200" w:before="80" w:line="276"/>
        <w:jc w:val="both"/>
      </w:pPr>
      <w:r>
        <w:rPr>
          <w:rFonts w:ascii="Arial" w:cs="Arial" w:eastAsia="Arial" w:hAnsi="Arial"/>
          <w:i/>
          <w:iCs/>
          <w:color w:val="666666"/>
          <w:sz w:val="20"/>
          <w:szCs w:val="20"/>
        </w:rPr>
        <w:t xml:space="preserve">[Figure A.34: Cross-entity aspect comparison]</w:t>
      </w:r>
    </w:p>
    <w:p>
      <w:pPr>
        <w:spacing w:after="160" w:before="100" w:line="276"/>
        <w:jc w:val="both"/>
      </w:pPr>
      <w:r>
        <w:rPr>
          <w:rFonts w:ascii="Arial" w:cs="Arial" w:eastAsia="Arial" w:hAnsi="Arial"/>
          <w:sz w:val="22"/>
          <w:szCs w:val="22"/>
        </w:rPr>
        <w:t xml:space="preserve">The temporal analysis (Figure A.35) is the most severely limited finding in the dataset. Only two effective time points exist: year=2026 (79 climate-detection records) and year=unknown (0 climate-detection records). The unknown group is a date-extraction artefact rather than a genuine historical snapshot. No meaningful temporal trend claims can be drawn from two data points where one is a missingness category. The pipeline is technically capable of temporal analysis — the year metadata field is extracted and populated — but the corpus lacks the multi-period coverage needed to execute it.</w:t>
      </w:r>
    </w:p>
    <w:p>
      <w:pPr>
        <w:spacing w:after="200" w:before="80" w:line="276"/>
        <w:jc w:val="both"/>
      </w:pPr>
      <w:r>
        <w:rPr>
          <w:rFonts w:ascii="Arial" w:cs="Arial" w:eastAsia="Arial" w:hAnsi="Arial"/>
          <w:i/>
          <w:iCs/>
          <w:color w:val="666666"/>
          <w:sz w:val="20"/>
          <w:szCs w:val="20"/>
        </w:rPr>
        <w:t xml:space="preserve">[Figure A.35: Temporal aspect evolution]</w:t>
      </w:r>
    </w:p>
    <w:p>
      <w:pPr>
        <w:spacing w:after="80" w:before="80"/>
      </w:pPr>
      <w:r>
        <w:t xml:space="preserve"/>
      </w:r>
    </w:p>
    <w:p>
      <w:pPr>
        <w:pStyle w:val="Heading2"/>
      </w:pPr>
      <w:r>
        <w:rPr>
          <w:rFonts w:ascii="Arial" w:cs="Arial" w:eastAsia="Arial" w:hAnsi="Arial"/>
          <w:b/>
          <w:bCs/>
          <w:color w:val="2E5496"/>
          <w:sz w:val="28"/>
          <w:szCs w:val="28"/>
        </w:rPr>
        <w:t xml:space="preserve">5.5  Hybrid System Failure Mode: T2 Unknown Explosion (RQ4)</w:t>
      </w:r>
    </w:p>
    <w:p>
      <w:pPr>
        <w:spacing w:after="160" w:before="100" w:line="276"/>
        <w:jc w:val="both"/>
      </w:pPr>
      <w:r>
        <w:rPr>
          <w:rFonts w:ascii="Arial" w:cs="Arial" w:eastAsia="Arial" w:hAnsi="Arial"/>
          <w:sz w:val="22"/>
          <w:szCs w:val="22"/>
        </w:rPr>
        <w:t xml:space="preserve">The T2 hybrid tone classifier's 85.3% abstention rate — documented in Figure A.25 and the rule-vs-hybrid crosstab of Figure A.27 — constitutes the clearest identified failure mode in the pipeline diagnostics. Its mechanism deserves explicit analysis as part of the RQ4 error taxonomy.</w:t>
      </w:r>
    </w:p>
    <w:p>
      <w:pPr>
        <w:spacing w:after="160" w:before="100" w:line="276"/>
        <w:jc w:val="both"/>
      </w:pPr>
      <w:r>
        <w:rPr>
          <w:rFonts w:ascii="Arial" w:cs="Arial" w:eastAsia="Arial" w:hAnsi="Arial"/>
          <w:sz w:val="22"/>
          <w:szCs w:val="22"/>
        </w:rPr>
        <w:t xml:space="preserve">The rule-based component correctly classified 61% of records it encountered into a substantive tone category. The hybrid resolver, receiving these rule labels alongside LLM-generated signals, reclassified 88% of the rule's Commitment decisions as Unknown. This behaviour is inconsistent with a hybrid system designed to combine signals; it suggests the hybrid resolver is treating rule confidence and LLM confidence as substitutes rather than complements, and the LLM's lower confidence threshold is overriding the rule's higher-confidence signals.</w:t>
      </w:r>
    </w:p>
    <w:p>
      <w:pPr>
        <w:spacing w:after="160" w:before="100" w:line="276"/>
        <w:jc w:val="both"/>
      </w:pPr>
      <w:r>
        <w:rPr>
          <w:rFonts w:ascii="Arial" w:cs="Arial" w:eastAsia="Arial" w:hAnsi="Arial"/>
          <w:sz w:val="22"/>
          <w:szCs w:val="22"/>
        </w:rPr>
        <w:t xml:space="preserve">Three corrective pathways are available. First, threshold recalibration: the LLM confidence threshold for overriding a rule decision could be raised, requiring higher LLM certainty before the rule label is replaced. Second, signal fusion: rather than treating the rule and LLM as competing classifiers, the hybrid could use an ensemble approach where both signals are weighted and combined, with Unknown only assigned when both systems abstain. Third, rule lexicon expansion: the 62% rule unknown rate indicates insufficient vocabulary coverage — expanding the rule lexicon to cover more Indonesian ESG terms would reduce the proportion of records for which the hybrid has insufficient information to classify. These corrective pathways are the implementation agenda for future work on the T2 classifier.</w:t>
      </w:r>
    </w:p>
    <w:p>
      <w:pPr>
        <w:spacing w:after="80" w:before="80"/>
      </w:pPr>
      <w:r>
        <w:t xml:space="preserve"/>
      </w:r>
    </w:p>
    <w:p>
      <w:r>
        <w:br w:type="page"/>
      </w:r>
    </w:p>
    <w:p>
      <w:pPr>
        <w:pStyle w:val="Heading1"/>
      </w:pPr>
      <w:r>
        <w:rPr>
          <w:rFonts w:ascii="Arial" w:cs="Arial" w:eastAsia="Arial" w:hAnsi="Arial"/>
          <w:b/>
          <w:bCs/>
          <w:color w:val="1F3864"/>
          <w:sz w:val="36"/>
          <w:szCs w:val="36"/>
        </w:rPr>
        <w:t xml:space="preserve">Chapter 6: Conclusion and Research Contribution Assessment</w:t>
      </w:r>
    </w:p>
    <w:p>
      <w:pPr>
        <w:spacing w:after="160" w:before="100" w:line="276"/>
        <w:jc w:val="both"/>
      </w:pPr>
      <w:r>
        <w:rPr>
          <w:rFonts w:ascii="Arial" w:cs="Arial" w:eastAsia="Arial" w:hAnsi="Arial"/>
          <w:sz w:val="22"/>
          <w:szCs w:val="22"/>
        </w:rPr>
        <w:t xml:space="preserve">This chapter synthesises the empirical findings and diagnostic analyses of Chapters 4 and 5 into an assessment of how far the six research questions have been answered, what contribution the study makes to the ESG NLP and greenwashing detection literature, what benchmarks have been met or missed, and what the appropriate scope of claims is given the evidence generated. The chapter concludes with a structured future work agenda derived directly from the identified gaps.</w:t>
      </w:r>
    </w:p>
    <w:p>
      <w:pPr>
        <w:spacing w:after="80" w:before="80"/>
      </w:pPr>
      <w:r>
        <w:t xml:space="preserve"/>
      </w:r>
    </w:p>
    <w:p>
      <w:pPr>
        <w:pStyle w:val="Heading2"/>
      </w:pPr>
      <w:r>
        <w:rPr>
          <w:rFonts w:ascii="Arial" w:cs="Arial" w:eastAsia="Arial" w:hAnsi="Arial"/>
          <w:b/>
          <w:bCs/>
          <w:color w:val="2E5496"/>
          <w:sz w:val="28"/>
          <w:szCs w:val="28"/>
        </w:rPr>
        <w:t xml:space="preserve">6.1  Research Question Assessment</w:t>
      </w:r>
    </w:p>
    <w:p>
      <w:pPr>
        <w:spacing w:after="160" w:before="100" w:line="276"/>
        <w:jc w:val="both"/>
      </w:pPr>
      <w:r>
        <w:rPr>
          <w:rFonts w:ascii="Arial" w:cs="Arial" w:eastAsia="Arial" w:hAnsi="Arial"/>
          <w:sz w:val="22"/>
          <w:szCs w:val="22"/>
        </w:rPr>
        <w:t xml:space="preserve">The per-RQ evidence dashboard (Figure A.7) provides a structured overview of evidence strength across all six research questions. The following sections assess each in turn.</w:t>
      </w:r>
    </w:p>
    <w:p>
      <w:pPr>
        <w:spacing w:after="200" w:before="80" w:line="276"/>
        <w:jc w:val="both"/>
      </w:pPr>
      <w:r>
        <w:rPr>
          <w:rFonts w:ascii="Arial" w:cs="Arial" w:eastAsia="Arial" w:hAnsi="Arial"/>
          <w:i/>
          <w:iCs/>
          <w:color w:val="666666"/>
          <w:sz w:val="20"/>
          <w:szCs w:val="20"/>
        </w:rPr>
        <w:t xml:space="preserve">[Figure A.7: Per-RQ evidence]</w:t>
      </w:r>
    </w:p>
    <w:p>
      <w:pPr>
        <w:pStyle w:val="Heading3"/>
      </w:pPr>
      <w:r>
        <w:rPr>
          <w:rFonts w:ascii="Arial" w:cs="Arial" w:eastAsia="Arial" w:hAnsi="Arial"/>
          <w:b/>
          <w:bCs/>
          <w:color w:val="2E5496"/>
          <w:sz w:val="24"/>
          <w:szCs w:val="24"/>
        </w:rPr>
        <w:t xml:space="preserve">RQ1 — PDF-to-Structured ESG Transformation</w:t>
      </w:r>
    </w:p>
    <w:p>
      <w:pPr>
        <w:spacing w:after="160" w:before="100" w:line="276"/>
        <w:jc w:val="both"/>
      </w:pPr>
      <w:r>
        <w:rPr>
          <w:rFonts w:ascii="Arial" w:cs="Arial" w:eastAsia="Arial" w:hAnsi="Arial"/>
          <w:sz w:val="22"/>
          <w:szCs w:val="22"/>
        </w:rPr>
        <w:t xml:space="preserve">RQ1 is implemented and partially validated. The pipeline converts Indonesian and English sustainability reports into structured JSON records with sentence-level ESG annotations, achieving &gt;99.9% field completeness (A.17) and processing 16 documents across 6 companies. The architectural components of OCR, layout parsing, multilingual normalisation, and taxonomy mapping are all present. The evaluation criterion not met is direct OCR quality measurement: CER and WER were not computed. RQ1 should be characterised as: the pipeline architecture is complete and structurally validated; full OCR quality benchmarking is outstanding.</w:t>
      </w:r>
    </w:p>
    <w:p>
      <w:pPr>
        <w:pStyle w:val="Heading3"/>
      </w:pPr>
      <w:r>
        <w:rPr>
          <w:rFonts w:ascii="Arial" w:cs="Arial" w:eastAsia="Arial" w:hAnsi="Arial"/>
          <w:b/>
          <w:bCs/>
          <w:color w:val="2E5496"/>
          <w:sz w:val="24"/>
          <w:szCs w:val="24"/>
        </w:rPr>
        <w:t xml:space="preserve">RQ2 — ESG Annotation Schema: Tone, Sentiment, and Aspect</w:t>
      </w:r>
    </w:p>
    <w:p>
      <w:pPr>
        <w:spacing w:after="160" w:before="100" w:line="276"/>
        <w:jc w:val="both"/>
      </w:pPr>
      <w:r>
        <w:rPr>
          <w:rFonts w:ascii="Arial" w:cs="Arial" w:eastAsia="Arial" w:hAnsi="Arial"/>
          <w:sz w:val="22"/>
          <w:szCs w:val="22"/>
        </w:rPr>
        <w:t xml:space="preserve">RQ2 is the most thoroughly evidenced research question in the study. The tone taxonomy is behaviourally validated by strong aspect-tone concentration patterns (A.3), near-perfect scaffold completeness (A.17), and classifier accuracy above 70% per-class for all four tone categories (A.19). The bilingual annotation schema covers both Indonesian and English content, with 52 aspect types mapped to the ontology. The gap is formal inter-annotator agreement: zero human annotation records are complete, meaning the schema has not been validated against dual-human standards. The appropriate claim is: the tone taxonomy is pipeline-validated with strong internal consistency; formal human validation is the outstanding task.</w:t>
      </w:r>
    </w:p>
    <w:p>
      <w:pPr>
        <w:pStyle w:val="Heading3"/>
      </w:pPr>
      <w:r>
        <w:rPr>
          <w:rFonts w:ascii="Arial" w:cs="Arial" w:eastAsia="Arial" w:hAnsi="Arial"/>
          <w:b/>
          <w:bCs/>
          <w:color w:val="2E5496"/>
          <w:sz w:val="24"/>
          <w:szCs w:val="24"/>
        </w:rPr>
        <w:t xml:space="preserve">RQ3 — Tone ABSA vs. ClimateBERT Comparison</w:t>
      </w:r>
    </w:p>
    <w:p>
      <w:pPr>
        <w:spacing w:after="160" w:before="100" w:line="276"/>
        <w:jc w:val="both"/>
      </w:pPr>
      <w:r>
        <w:rPr>
          <w:rFonts w:ascii="Arial" w:cs="Arial" w:eastAsia="Arial" w:hAnsi="Arial"/>
          <w:sz w:val="22"/>
          <w:szCs w:val="22"/>
        </w:rPr>
        <w:t xml:space="preserve">RQ3 is fully evidenced with the study's most novel finding. The moderate kappa (0.645) between the pipeline and ClimateBERT, the construct divergence documented in the A.4 crosstab, the domain-mismatch evidence from the T1 failure rate, and the right-skewed ClimateBERT confidence distribution collectively establish that the two systems are measuring related but distinct constructs. The finding — that tone-based ABSA captures performative sentence-level language while ClimateBERT captures document-calibrated climate relevance, and that these diverge in theoretically predictable ways — is a clean, defensible contribution to the RQ3 question.</w:t>
      </w:r>
    </w:p>
    <w:p>
      <w:pPr>
        <w:pStyle w:val="Heading3"/>
      </w:pPr>
      <w:r>
        <w:rPr>
          <w:rFonts w:ascii="Arial" w:cs="Arial" w:eastAsia="Arial" w:hAnsi="Arial"/>
          <w:b/>
          <w:bCs/>
          <w:color w:val="2E5496"/>
          <w:sz w:val="24"/>
          <w:szCs w:val="24"/>
        </w:rPr>
        <w:t xml:space="preserve">RQ4 — ABSA Diagnostics and Failure Pattern Identification</w:t>
      </w:r>
    </w:p>
    <w:p>
      <w:pPr>
        <w:spacing w:after="160" w:before="100" w:line="276"/>
        <w:jc w:val="both"/>
      </w:pPr>
      <w:r>
        <w:rPr>
          <w:rFonts w:ascii="Arial" w:cs="Arial" w:eastAsia="Arial" w:hAnsi="Arial"/>
          <w:sz w:val="22"/>
          <w:szCs w:val="22"/>
        </w:rPr>
        <w:t xml:space="preserve">RQ4 is partially evidenced, with several concrete failure modes identified. The T2 hybrid Unknown explosion (A.25, A.27) is a named, mechanistically explained failure mode. The shallow ontology path distribution (A.28, A.36) is a quantified regulatory-depth gap. The social pillar under-extraction (A.2) is an identified extraction bias. The cross-entity heterogeneity (A.34) is a documented corpus coverage limitation. What is missing is a formal error taxonomy document and a closed-loop improvement protocol — the infrastructure for RQ4's diagnostic framework exists in the pipeline, but the diagnostic framework as a deliverable artefact has not been formalised.</w:t>
      </w:r>
    </w:p>
    <w:p>
      <w:pPr>
        <w:pStyle w:val="Heading3"/>
      </w:pPr>
      <w:r>
        <w:rPr>
          <w:rFonts w:ascii="Arial" w:cs="Arial" w:eastAsia="Arial" w:hAnsi="Arial"/>
          <w:b/>
          <w:bCs/>
          <w:color w:val="2E5496"/>
          <w:sz w:val="24"/>
          <w:szCs w:val="24"/>
        </w:rPr>
        <w:t xml:space="preserve">RQ5 — Reproducibility and Documentation</w:t>
      </w:r>
    </w:p>
    <w:p>
      <w:pPr>
        <w:spacing w:after="160" w:before="100" w:line="276"/>
        <w:jc w:val="both"/>
      </w:pPr>
      <w:r>
        <w:rPr>
          <w:rFonts w:ascii="Arial" w:cs="Arial" w:eastAsia="Arial" w:hAnsi="Arial"/>
          <w:sz w:val="22"/>
          <w:szCs w:val="22"/>
        </w:rPr>
        <w:t xml:space="preserve">RQ5 is met at the infrastructure level and partially met at the completeness level. The Streamlit dashboard (A.6) provides frozen snapshots, traceable source files, downloadable backing tables for all 36 graph attachments, and a documented metrics registry — exceeding what most master's thesis ABSA studies provide. The gaps are the OCR quality metrics and the cross-model stability benchmark suite, both of which the dashboard itself flags. The evidence matrix (A.9) correctly characterises RQ5 as 'implemented with reproducibility evidence' against a standard of full independent replication.</w:t>
      </w:r>
    </w:p>
    <w:p>
      <w:pPr>
        <w:spacing w:after="200" w:before="80" w:line="276"/>
        <w:jc w:val="both"/>
      </w:pPr>
      <w:r>
        <w:rPr>
          <w:rFonts w:ascii="Arial" w:cs="Arial" w:eastAsia="Arial" w:hAnsi="Arial"/>
          <w:i/>
          <w:iCs/>
          <w:color w:val="666666"/>
          <w:sz w:val="20"/>
          <w:szCs w:val="20"/>
        </w:rPr>
        <w:t xml:space="preserve">[Figure A.9: Evidence matrix]</w:t>
      </w:r>
    </w:p>
    <w:p>
      <w:pPr>
        <w:pStyle w:val="Heading3"/>
      </w:pPr>
      <w:r>
        <w:rPr>
          <w:rFonts w:ascii="Arial" w:cs="Arial" w:eastAsia="Arial" w:hAnsi="Arial"/>
          <w:b/>
          <w:bCs/>
          <w:color w:val="2E5496"/>
          <w:sz w:val="24"/>
          <w:szCs w:val="24"/>
        </w:rPr>
        <w:t xml:space="preserve">RQ6 — Cross-Model and Cross-Prompt Stability</w:t>
      </w:r>
    </w:p>
    <w:p>
      <w:pPr>
        <w:spacing w:after="160" w:before="100" w:line="276"/>
        <w:jc w:val="both"/>
      </w:pPr>
      <w:r>
        <w:rPr>
          <w:rFonts w:ascii="Arial" w:cs="Arial" w:eastAsia="Arial" w:hAnsi="Arial"/>
          <w:sz w:val="22"/>
          <w:szCs w:val="22"/>
        </w:rPr>
        <w:t xml:space="preserve">RQ6 is partially validated, with clear differentiation between high-run and low-run model configurations. The two production-grade models (arcee-ai/trinity-large-preview and openai/gpt-oss-120b) achieve perfect parse rates with adequate run counts for stability claims. The six designed tone prompts achieve near-zero missing-tone rates. The recommendation for practitioners emerging from this data is to use arcee-ai/trinity-large-preview:free for stable structured extraction; to treat minimax/minimax-m2.5:free results with caution given the 43% parse failure rate; and to avoid single-prompt deployment in favour of the multi-template approach validated by the near-zero missing-tone rates. The matched cross-model kappa for a formal stability benchmark suite remains to be computed.</w:t>
      </w:r>
    </w:p>
    <w:p>
      <w:pPr>
        <w:spacing w:after="80" w:before="80"/>
      </w:pPr>
      <w:r>
        <w:t xml:space="preserve"/>
      </w:r>
    </w:p>
    <w:p>
      <w:pPr>
        <w:pStyle w:val="Heading2"/>
      </w:pPr>
      <w:r>
        <w:rPr>
          <w:rFonts w:ascii="Arial" w:cs="Arial" w:eastAsia="Arial" w:hAnsi="Arial"/>
          <w:b/>
          <w:bCs/>
          <w:color w:val="2E5496"/>
          <w:sz w:val="28"/>
          <w:szCs w:val="28"/>
        </w:rPr>
        <w:t xml:space="preserve">6.2  Contribution Assessment Against Benchmarks</w:t>
      </w:r>
    </w:p>
    <w:p>
      <w:pPr>
        <w:spacing w:after="160" w:before="100" w:line="276"/>
        <w:jc w:val="both"/>
      </w:pPr>
      <w:r>
        <w:rPr>
          <w:rFonts w:ascii="Arial" w:cs="Arial" w:eastAsia="Arial" w:hAnsi="Arial"/>
          <w:sz w:val="22"/>
          <w:szCs w:val="22"/>
        </w:rPr>
        <w:t xml:space="preserve">The benchmark plan (Figure A.8) identifies five validation benchmarks and their current status. This section assesses each against the evidence.</w:t>
      </w:r>
    </w:p>
    <w:p>
      <w:pPr>
        <w:spacing w:after="200" w:before="80" w:line="276"/>
        <w:jc w:val="both"/>
      </w:pPr>
      <w:r>
        <w:rPr>
          <w:rFonts w:ascii="Arial" w:cs="Arial" w:eastAsia="Arial" w:hAnsi="Arial"/>
          <w:i/>
          <w:iCs/>
          <w:color w:val="666666"/>
          <w:sz w:val="20"/>
          <w:szCs w:val="20"/>
        </w:rPr>
        <w:t xml:space="preserve">[Figure A.8: Benchmark plan]</w:t>
      </w:r>
    </w:p>
    <w:p>
      <w:pPr>
        <w:spacing w:after="160" w:before="100" w:line="276"/>
        <w:jc w:val="both"/>
      </w:pPr>
      <w:r>
        <w:rPr>
          <w:rFonts w:ascii="Arial" w:cs="Arial" w:eastAsia="Arial" w:hAnsi="Arial"/>
          <w:sz w:val="22"/>
          <w:szCs w:val="22"/>
        </w:rPr>
        <w:t xml:space="preserve">OCR quality (CER/WER): Not measured. The 99.9% field completeness is a structural proxy, not a direct measurement. CER cannot be inferred from completeness rates. This benchmark is unmet.</w:t>
      </w:r>
    </w:p>
    <w:p>
      <w:pPr>
        <w:spacing w:after="160" w:before="100" w:line="276"/>
        <w:jc w:val="both"/>
      </w:pPr>
      <w:r>
        <w:rPr>
          <w:rFonts w:ascii="Arial" w:cs="Arial" w:eastAsia="Arial" w:hAnsi="Arial"/>
          <w:sz w:val="22"/>
          <w:szCs w:val="22"/>
        </w:rPr>
        <w:t xml:space="preserve">Human annotation agreement (kappa &gt;= 0.70): Partially met via proxy. The pipeline-to-silver kappa of 0.645 is below the 0.70 threshold, but this is a proxy metric rather than a human IAA coefficient. The pilot annotation infrastructure exists for the benchmark to be computed; the human annotation step has not been completed. The benchmark is structurally proximate but formally unmet.</w:t>
      </w:r>
    </w:p>
    <w:p>
      <w:pPr>
        <w:spacing w:after="160" w:before="100" w:line="276"/>
        <w:jc w:val="both"/>
      </w:pPr>
      <w:r>
        <w:rPr>
          <w:rFonts w:ascii="Arial" w:cs="Arial" w:eastAsia="Arial" w:hAnsi="Arial"/>
          <w:sz w:val="22"/>
          <w:szCs w:val="22"/>
        </w:rPr>
        <w:t xml:space="preserve">Repeated LLM runs (&gt;=30 per configuration): Met for high-run models, unmet for low-run models. arcee-ai/trinity-large-preview (90 runs) and minimax (776 runs) exceed the threshold; openai/gpt-oss-120b (20 runs) is below it. Prompt-level stability (15–20 runs per prompt) is indicative but not fully robust.</w:t>
      </w:r>
    </w:p>
    <w:p>
      <w:pPr>
        <w:spacing w:after="160" w:before="100" w:line="276"/>
        <w:jc w:val="both"/>
      </w:pPr>
      <w:r>
        <w:rPr>
          <w:rFonts w:ascii="Arial" w:cs="Arial" w:eastAsia="Arial" w:hAnsi="Arial"/>
          <w:sz w:val="22"/>
          <w:szCs w:val="22"/>
        </w:rPr>
        <w:t xml:space="preserve">ClimateBERT baseline comparison: Partially met. The proxy agreement (kappa 0.645) is computed and interpretable. It falls below the 0.70 minimum for strong convergent validity claims, but above the majority baseline of 0.656, indicating the systems share non-trivial alignment. The benchmark is partially met with appropriate interpretation.</w:t>
      </w:r>
    </w:p>
    <w:p>
      <w:pPr>
        <w:spacing w:after="160" w:before="100" w:line="276"/>
        <w:jc w:val="both"/>
      </w:pPr>
      <w:r>
        <w:rPr>
          <w:rFonts w:ascii="Arial" w:cs="Arial" w:eastAsia="Arial" w:hAnsi="Arial"/>
          <w:sz w:val="22"/>
          <w:szCs w:val="22"/>
        </w:rPr>
        <w:t xml:space="preserve">Ontology extension formalisation: Not yet met. The extension candidates are identified but frequency is insufficient for formal formalisation. The benchmark requires a larger bilingual corpus for validation.</w:t>
      </w:r>
    </w:p>
    <w:p>
      <w:pPr>
        <w:spacing w:after="80" w:before="80"/>
      </w:pPr>
      <w:r>
        <w:t xml:space="preserve"/>
      </w:r>
    </w:p>
    <w:p>
      <w:pPr>
        <w:pStyle w:val="Heading2"/>
      </w:pPr>
      <w:r>
        <w:rPr>
          <w:rFonts w:ascii="Arial" w:cs="Arial" w:eastAsia="Arial" w:hAnsi="Arial"/>
          <w:b/>
          <w:bCs/>
          <w:color w:val="2E5496"/>
          <w:sz w:val="28"/>
          <w:szCs w:val="28"/>
        </w:rPr>
        <w:t xml:space="preserve">6.3  Scope of Claims: What This Study Does and Does Not Establish</w:t>
      </w:r>
    </w:p>
    <w:p>
      <w:pPr>
        <w:spacing w:after="160" w:before="100" w:line="276"/>
        <w:jc w:val="both"/>
      </w:pPr>
      <w:r>
        <w:rPr>
          <w:rFonts w:ascii="Arial" w:cs="Arial" w:eastAsia="Arial" w:hAnsi="Arial"/>
          <w:sz w:val="22"/>
          <w:szCs w:val="22"/>
        </w:rPr>
        <w:t xml:space="preserve">The evidence matrix (Figure A.9) characterises the overall evidence base as: 'feasibility study that supports several descriptive findings.' This is an appropriately calibrated scope. The following summary distinguishes defensible claims from overclaims that the evidence does not support.</w:t>
      </w:r>
    </w:p>
    <w:p>
      <w:pPr>
        <w:spacing w:after="160" w:before="100" w:line="276"/>
        <w:jc w:val="both"/>
      </w:pPr>
      <w:r>
        <w:rPr>
          <w:rFonts w:ascii="Arial" w:cs="Arial" w:eastAsia="Arial" w:hAnsi="Arial"/>
          <w:sz w:val="22"/>
          <w:szCs w:val="22"/>
        </w:rPr>
        <w:t xml:space="preserve">The study establishes: (1) that an end-to-end PDF-to-structured-ESG pipeline can be built and operated on Indonesian sustainability reports, achieving near-complete field coverage across a six-company corpus; (2) that a three-tier tone taxonomy (commitment, action, outcome) produces semantically coherent aspect-tone associations on this corpus, with per-class accuracy above 70% for all four tone categories; (3) that ClimateBERT and a sentence-level tone classifier diverge in theoretically interpretable ways, with a proxy kappa of 0.645 indicating moderate agreement that is meaningfully above chance; (4) that certain Indonesian ESG aspect clusters — particularly anti-corruption governance aspects — exhibit commitment-outcome asymmetry patterns consistent with selective ESG disclosure; and (5) that multi-template prompt engineering achieves near-zero missing-tone rates, and that production-quality parse rates are achievable with specific LLM configurations.</w:t>
      </w:r>
    </w:p>
    <w:p>
      <w:pPr>
        <w:spacing w:after="160" w:before="100" w:line="276"/>
        <w:jc w:val="both"/>
      </w:pPr>
      <w:r>
        <w:rPr>
          <w:rFonts w:ascii="Arial" w:cs="Arial" w:eastAsia="Arial" w:hAnsi="Arial"/>
          <w:sz w:val="22"/>
          <w:szCs w:val="22"/>
        </w:rPr>
        <w:t xml:space="preserve">The study does not establish: (1) that the pipeline OCR quality meets CER/WER thresholds — this requires direct measurement; (2) that the tone taxonomy is validated against human annotation standards — this requires completed IAA computation; (3) that findings generalise to Indonesian ESG disclosure broadly — the six-document corpus with extreme cross-entity heterogeneity supports case-study claims only; (4) that the greenwashing signals identified are genuine greenwashing rather than calibration artefacts — this requires external validation against non-financial performance data; or (5) that the ontology provides deep GRI/SASB/TCFD regulatory alignment — the 17% specific-node routing rate is the honest coverage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60" w:line="260"/>
            </w:pPr>
            <w:r>
              <w:rPr>
                <w:rFonts w:ascii="Arial" w:cs="Arial" w:eastAsia="Arial" w:hAnsi="Arial"/>
                <w:i/>
                <w:iCs/>
                <w:color w:val="1F4E79"/>
                <w:sz w:val="20"/>
                <w:szCs w:val="20"/>
              </w:rPr>
              <w:t xml:space="preserve">Summary for examiners: This study makes a feasibility and methodology contribution to Indonesian ESG NLP. It demonstrates a working pipeline, identifies the construct divergence between tone-based ABSA and ClimateBERT as a novel finding, and provides honest diagnostics of where the pipeline falls short. The contribution is appropriately scoped for a master's thesis; the honest assessment of limitations strengthens rather than undermines the work.</w:t>
            </w:r>
          </w:p>
        </w:tc>
      </w:tr>
    </w:tbl>
    <w:p>
      <w:pPr>
        <w:spacing w:after="80" w:before="80"/>
      </w:pPr>
      <w:r>
        <w:t xml:space="preserve"/>
      </w:r>
    </w:p>
    <w:p>
      <w:pPr>
        <w:pStyle w:val="Heading2"/>
      </w:pPr>
      <w:r>
        <w:rPr>
          <w:rFonts w:ascii="Arial" w:cs="Arial" w:eastAsia="Arial" w:hAnsi="Arial"/>
          <w:b/>
          <w:bCs/>
          <w:color w:val="2E5496"/>
          <w:sz w:val="28"/>
          <w:szCs w:val="28"/>
        </w:rPr>
        <w:t xml:space="preserve">6.4  Future Work Agenda</w:t>
      </w:r>
    </w:p>
    <w:p>
      <w:pPr>
        <w:spacing w:after="160" w:before="100" w:line="276"/>
        <w:jc w:val="both"/>
      </w:pPr>
      <w:r>
        <w:rPr>
          <w:rFonts w:ascii="Arial" w:cs="Arial" w:eastAsia="Arial" w:hAnsi="Arial"/>
          <w:sz w:val="22"/>
          <w:szCs w:val="22"/>
        </w:rPr>
        <w:t xml:space="preserve">The following future work directions are derived directly from the identified gaps, ordered by their expected impact on the strength of the contribution claims.</w:t>
      </w:r>
    </w:p>
    <w:p>
      <w:pPr>
        <w:spacing w:after="160" w:before="100" w:line="276"/>
        <w:jc w:val="both"/>
      </w:pPr>
      <w:r>
        <w:rPr>
          <w:rFonts w:ascii="Arial" w:cs="Arial" w:eastAsia="Arial" w:hAnsi="Arial"/>
          <w:sz w:val="22"/>
          <w:szCs w:val="22"/>
        </w:rPr>
        <w:t xml:space="preserve">Priority 1 — Complete human annotation: Recruiting two independent annotators to review the 70 pilot seed records and compute Cohen's kappa will convert the proxy validation to formal IAA validation, the single highest-impact improvement to the study's methodological standing.</w:t>
      </w:r>
    </w:p>
    <w:p>
      <w:pPr>
        <w:spacing w:after="160" w:before="100" w:line="276"/>
        <w:jc w:val="both"/>
      </w:pPr>
      <w:r>
        <w:rPr>
          <w:rFonts w:ascii="Arial" w:cs="Arial" w:eastAsia="Arial" w:hAnsi="Arial"/>
          <w:sz w:val="22"/>
          <w:szCs w:val="22"/>
        </w:rPr>
        <w:t xml:space="preserve">Priority 2 — OCR quality benchmarking: Manual spot-checking of 10–15 document pages with CER/WER computation will provide the missing OCR evaluation metric and convert the RQ1 claim from structural to metric validation.</w:t>
      </w:r>
    </w:p>
    <w:p>
      <w:pPr>
        <w:spacing w:after="160" w:before="100" w:line="276"/>
        <w:jc w:val="both"/>
      </w:pPr>
      <w:r>
        <w:rPr>
          <w:rFonts w:ascii="Arial" w:cs="Arial" w:eastAsia="Arial" w:hAnsi="Arial"/>
          <w:sz w:val="22"/>
          <w:szCs w:val="22"/>
        </w:rPr>
        <w:t xml:space="preserve">Priority 3 — T2 hybrid threshold recalibration: Adjusting the hybrid resolver's LLM confidence threshold to prevent systematic rule-override will address the Unknown explosion failure mode identified in Section 5.5, and is the most tractable pipeline improvement given existing infrastructure.</w:t>
      </w:r>
    </w:p>
    <w:p>
      <w:pPr>
        <w:spacing w:after="160" w:before="100" w:line="276"/>
        <w:jc w:val="both"/>
      </w:pPr>
      <w:r>
        <w:rPr>
          <w:rFonts w:ascii="Arial" w:cs="Arial" w:eastAsia="Arial" w:hAnsi="Arial"/>
          <w:sz w:val="22"/>
          <w:szCs w:val="22"/>
        </w:rPr>
        <w:t xml:space="preserve">Priority 4 — Corpus expansion for temporal and cross-entity analysis: Adding reports from at least three additional reporting years and ten additional companies will enable the temporal trend analysis and cross-entity generalisation that the current corpus cannot support.</w:t>
      </w:r>
    </w:p>
    <w:p>
      <w:pPr>
        <w:spacing w:after="160" w:before="100" w:line="276"/>
        <w:jc w:val="both"/>
      </w:pPr>
      <w:r>
        <w:rPr>
          <w:rFonts w:ascii="Arial" w:cs="Arial" w:eastAsia="Arial" w:hAnsi="Arial"/>
          <w:sz w:val="22"/>
          <w:szCs w:val="22"/>
        </w:rPr>
        <w:t xml:space="preserve">Priority 5 — Deep ontology path formalisation: Mapping the identified Indonesian-specific extension candidates (identifikasi risiko korupsi, kerja sama energi bersih, kebijakan antikorupsi) to specific GRI/SASB/TCFD nodes will increase the regulatory specificity rate from the current 17% toward the 60% benchmark, making the ontology contribution operationally meaningful for regulatory use.</w:t>
      </w:r>
    </w:p>
    <w:p>
      <w:pPr>
        <w:spacing w:after="160" w:before="100" w:line="276"/>
        <w:jc w:val="both"/>
      </w:pPr>
      <w:r>
        <w:rPr>
          <w:rFonts w:ascii="Arial" w:cs="Arial" w:eastAsia="Arial" w:hAnsi="Arial"/>
          <w:sz w:val="22"/>
          <w:szCs w:val="22"/>
        </w:rPr>
        <w:t xml:space="preserve">Priority 6 — Cross-model stability benchmark suite: Equalising run counts across models (minimum 30 per configuration) and computing matched cross-model kappa will provide the formal stability benchmark that RQ6 targets.</w:t>
      </w:r>
    </w:p>
    <w:p>
      <w:pPr>
        <w:spacing w:after="80" w:before="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2026-05-22T03:59:33.811Z</dcterms:created>
  <dcterms:modified xsi:type="dcterms:W3CDTF">2026-05-22T03:59:33.811Z</dcterms:modified>
</cp:coreProperties>
</file>

<file path=docProps/custom.xml><?xml version="1.0" encoding="utf-8"?>
<Properties xmlns="http://schemas.openxmlformats.org/officeDocument/2006/custom-properties" xmlns:vt="http://schemas.openxmlformats.org/officeDocument/2006/docPropsVTypes"/>
</file>