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Arial" w:cs="Arial" w:eastAsia="Arial" w:hAnsi="Arial"/>
          <w:b/>
          <w:bCs/>
          <w:sz w:val="32"/>
          <w:szCs w:val="32"/>
        </w:rPr>
        <w:t xml:space="preserve">1. INTRODUCTION</w:t>
      </w:r>
    </w:p>
    <w:p>
      <w:pPr>
        <w:pBdr>
          <w:bottom w:val="single" w:color="2E75B6" w:sz="4" w:space="1"/>
        </w:pBdr>
        <w:spacing w:after="80" w:before="80"/>
      </w:pPr>
    </w:p>
    <w:p>
      <w:pPr>
        <w:pStyle w:val="Heading2"/>
        <w:spacing w:after="120" w:before="280"/>
      </w:pPr>
      <w:r>
        <w:rPr>
          <w:rFonts w:ascii="Arial" w:cs="Arial" w:eastAsia="Arial" w:hAnsi="Arial"/>
          <w:b/>
          <w:bCs/>
          <w:sz w:val="28"/>
          <w:szCs w:val="28"/>
        </w:rPr>
        <w:t xml:space="preserve">1.1. Motivation</w:t>
      </w:r>
    </w:p>
    <w:p>
      <w:pPr>
        <w:spacing w:after="160" w:before="0"/>
        <w:jc w:val="both"/>
      </w:pPr>
      <w:r>
        <w:rPr>
          <w:rFonts w:ascii="Arial" w:cs="Arial" w:eastAsia="Arial" w:hAnsi="Arial"/>
          <w:sz w:val="24"/>
          <w:szCs w:val="24"/>
        </w:rPr>
        <w:t xml:space="preserve">Environmental, Social, and Governance (ESG) disclosure analysis has rapidly emerged as a critical component of investment decisions, regulatory compliance, and stakeholder accountability. As sustainability reporting expands in scope and mandatory frameworks proliferate globally, the gap between raw disclosure volume and analytical depth has widened considerably. Traditional approaches relying on document-level sentiment or manual content coding are increasingly inadequate for the granular, evidence-based insight extraction demanded by modern investors and regulators.</w:t>
      </w:r>
    </w:p>
    <w:p>
      <w:pPr>
        <w:spacing w:after="160" w:before="0"/>
        <w:jc w:val="both"/>
      </w:pPr>
      <w:r>
        <w:rPr>
          <w:rFonts w:ascii="Arial" w:cs="Arial" w:eastAsia="Arial" w:hAnsi="Arial"/>
          <w:sz w:val="24"/>
          <w:szCs w:val="24"/>
        </w:rPr>
        <w:t xml:space="preserve">In Indonesia, this challenge is compounded by several distinctive factors. The Indonesian Financial Services Authority (OJK) and the Indonesia Stock Exchange (IDX) impose structured disclosure obligations that shape corporate communication with capital markets. Indonesian sustainability reports frequently feature bilingual content in both Indonesian and English — either within the same document or across companion filings — introducing code-switching, mixed-language terminology, and divergent regulatory lexicons. At the same time, the sheer heterogeneity of report formats, from dense narrative sections to tables, charts, and footnotes, complicates automated extraction pipelines.</w:t>
      </w:r>
    </w:p>
    <w:p>
      <w:pPr>
        <w:spacing w:after="160" w:before="0"/>
        <w:jc w:val="both"/>
      </w:pPr>
      <w:r>
        <w:rPr>
          <w:rFonts w:ascii="Arial" w:cs="Arial" w:eastAsia="Arial" w:hAnsi="Arial"/>
          <w:sz w:val="24"/>
          <w:szCs w:val="24"/>
        </w:rPr>
        <w:t xml:space="preserve">This thesis addresses these challenges by developing a robust, tone-aware Aspect-Based Sentiment Analysis (ABSA) pipeline specifically designed for Indonesian ESG disclosures. The pipeline combines large language model (LLM)-based structured extraction, ClimateBERT-style semantic validation, ontology-driven aspect classification, and explainability mechanisms, making it suitable for both research purposes and practical application by regulators and investors operating in the Indonesian market.</w:t>
      </w:r>
    </w:p>
    <w:p>
      <w:pPr>
        <w:pStyle w:val="Heading2"/>
        <w:spacing w:after="120" w:before="280"/>
      </w:pPr>
      <w:r>
        <w:rPr>
          <w:rFonts w:ascii="Arial" w:cs="Arial" w:eastAsia="Arial" w:hAnsi="Arial"/>
          <w:b/>
          <w:bCs/>
          <w:sz w:val="28"/>
          <w:szCs w:val="28"/>
        </w:rPr>
        <w:t xml:space="preserve">1.2. Research Questions and Goals</w:t>
      </w:r>
    </w:p>
    <w:p>
      <w:pPr>
        <w:spacing w:after="160" w:before="0"/>
        <w:jc w:val="both"/>
      </w:pPr>
      <w:r>
        <w:rPr>
          <w:rFonts w:ascii="Arial" w:cs="Arial" w:eastAsia="Arial" w:hAnsi="Arial"/>
          <w:sz w:val="24"/>
          <w:szCs w:val="24"/>
        </w:rPr>
        <w:t xml:space="preserve">This research is guided by six research questions (RQs), each mapping to a distinct methodological component of the proposed pipeline:</w:t>
      </w:r>
    </w:p>
    <w:p>
      <w:pPr>
        <w:spacing w:after="160" w:before="0"/>
        <w:jc w:val="both"/>
      </w:pPr>
      <w:r>
        <w:rPr>
          <w:rFonts w:ascii="Arial" w:cs="Arial" w:eastAsia="Arial" w:hAnsi="Arial"/>
          <w:b/>
          <w:bCs/>
          <w:sz w:val="24"/>
          <w:szCs w:val="24"/>
        </w:rPr>
        <w:t xml:space="preserve">RQ1: </w:t>
      </w:r>
      <w:r>
        <w:rPr>
          <w:rFonts w:ascii="Arial" w:cs="Arial" w:eastAsia="Arial" w:hAnsi="Arial"/>
          <w:sz w:val="24"/>
          <w:szCs w:val="24"/>
        </w:rPr>
        <w:t xml:space="preserve">How can a PDF-to-structured-ESG transformation pipeline convert Indonesian/English sustainability reports into a governance- and regulation-aligned, sentence-level ESG Content Structure (ECS) representation that supports ABSA?</w:t>
      </w:r>
    </w:p>
    <w:p>
      <w:pPr>
        <w:spacing w:after="160" w:before="0"/>
        <w:jc w:val="both"/>
      </w:pPr>
      <w:r>
        <w:rPr>
          <w:rFonts w:ascii="Arial" w:cs="Arial" w:eastAsia="Arial" w:hAnsi="Arial"/>
          <w:b/>
          <w:bCs/>
          <w:sz w:val="24"/>
          <w:szCs w:val="24"/>
        </w:rPr>
        <w:t xml:space="preserve">RQ2: </w:t>
      </w:r>
      <w:r>
        <w:rPr>
          <w:rFonts w:ascii="Arial" w:cs="Arial" w:eastAsia="Arial" w:hAnsi="Arial"/>
          <w:sz w:val="24"/>
          <w:szCs w:val="24"/>
        </w:rPr>
        <w:t xml:space="preserve">How should ESG content be categorised by aspect/pillar, sentiment, and tone in bilingual Indonesian/English corporate disclosures to enable fine-grained ABSA while preserving cross-language comparability and regulatory alignment?</w:t>
      </w:r>
    </w:p>
    <w:p>
      <w:pPr>
        <w:spacing w:after="160" w:before="0"/>
        <w:jc w:val="both"/>
      </w:pPr>
      <w:r>
        <w:rPr>
          <w:rFonts w:ascii="Arial" w:cs="Arial" w:eastAsia="Arial" w:hAnsi="Arial"/>
          <w:b/>
          <w:bCs/>
          <w:sz w:val="24"/>
          <w:szCs w:val="24"/>
        </w:rPr>
        <w:t xml:space="preserve">RQ3: </w:t>
      </w:r>
      <w:r>
        <w:rPr>
          <w:rFonts w:ascii="Arial" w:cs="Arial" w:eastAsia="Arial" w:hAnsi="Arial"/>
          <w:sz w:val="24"/>
          <w:szCs w:val="24"/>
        </w:rPr>
        <w:t xml:space="preserve">Do tone-based ABSA outputs differ meaningfully from ClimateBERT-style label classifications for climate-related disclosures, and what is the relationship between detected tone and climate-specific targets or commitments?</w:t>
      </w:r>
    </w:p>
    <w:p>
      <w:pPr>
        <w:spacing w:after="160" w:before="0"/>
        <w:jc w:val="both"/>
      </w:pPr>
      <w:r>
        <w:rPr>
          <w:rFonts w:ascii="Arial" w:cs="Arial" w:eastAsia="Arial" w:hAnsi="Arial"/>
          <w:b/>
          <w:bCs/>
          <w:sz w:val="24"/>
          <w:szCs w:val="24"/>
        </w:rPr>
        <w:t xml:space="preserve">RQ4: </w:t>
      </w:r>
      <w:r>
        <w:rPr>
          <w:rFonts w:ascii="Arial" w:cs="Arial" w:eastAsia="Arial" w:hAnsi="Arial"/>
          <w:sz w:val="24"/>
          <w:szCs w:val="24"/>
        </w:rPr>
        <w:t xml:space="preserve">What weaknesses arise in ABSA extraction outputs, and how can a diagnostics framework detect and quantify extraction errors to inform model improvement?</w:t>
      </w:r>
    </w:p>
    <w:p>
      <w:pPr>
        <w:spacing w:after="160" w:before="0"/>
        <w:jc w:val="both"/>
      </w:pPr>
      <w:r>
        <w:rPr>
          <w:rFonts w:ascii="Arial" w:cs="Arial" w:eastAsia="Arial" w:hAnsi="Arial"/>
          <w:b/>
          <w:bCs/>
          <w:sz w:val="24"/>
          <w:szCs w:val="24"/>
        </w:rPr>
        <w:t xml:space="preserve">RQ5: </w:t>
      </w:r>
      <w:r>
        <w:rPr>
          <w:rFonts w:ascii="Arial" w:cs="Arial" w:eastAsia="Arial" w:hAnsi="Arial"/>
          <w:sz w:val="24"/>
          <w:szCs w:val="24"/>
        </w:rPr>
        <w:t xml:space="preserve">How can documentation and visualisation practices be designed to maximise reproducibility and auditability of ESG ABSA experiments?</w:t>
      </w:r>
    </w:p>
    <w:p>
      <w:pPr>
        <w:spacing w:after="160" w:before="0"/>
        <w:jc w:val="both"/>
      </w:pPr>
      <w:r>
        <w:rPr>
          <w:rFonts w:ascii="Arial" w:cs="Arial" w:eastAsia="Arial" w:hAnsi="Arial"/>
          <w:b/>
          <w:bCs/>
          <w:sz w:val="24"/>
          <w:szCs w:val="24"/>
        </w:rPr>
        <w:t xml:space="preserve">RQ6: </w:t>
      </w:r>
      <w:r>
        <w:rPr>
          <w:rFonts w:ascii="Arial" w:cs="Arial" w:eastAsia="Arial" w:hAnsi="Arial"/>
          <w:sz w:val="24"/>
          <w:szCs w:val="24"/>
        </w:rPr>
        <w:t xml:space="preserve">What is the stability of ABSA outputs across cross-model and cross-prompt configurations, and what ensemble or verification strategies yield the most reliable and regulator-friendly results?</w:t>
      </w:r>
    </w:p>
    <w:p>
      <w:pPr>
        <w:pStyle w:val="Heading2"/>
        <w:spacing w:after="120" w:before="280"/>
      </w:pPr>
      <w:r>
        <w:rPr>
          <w:rFonts w:ascii="Arial" w:cs="Arial" w:eastAsia="Arial" w:hAnsi="Arial"/>
          <w:b/>
          <w:bCs/>
          <w:sz w:val="28"/>
          <w:szCs w:val="28"/>
        </w:rPr>
        <w:t xml:space="preserve">1.3. Objectives and Contributions</w:t>
      </w:r>
    </w:p>
    <w:p>
      <w:pPr>
        <w:spacing w:after="160" w:before="0"/>
        <w:jc w:val="both"/>
      </w:pPr>
      <w:r>
        <w:rPr>
          <w:rFonts w:ascii="Arial" w:cs="Arial" w:eastAsia="Arial" w:hAnsi="Arial"/>
          <w:sz w:val="24"/>
          <w:szCs w:val="24"/>
        </w:rPr>
        <w:t xml:space="preserve">This research delivers six primary contributions, each directly addressing the identified research gaps:</w:t>
      </w:r>
    </w:p>
    <w:p>
      <w:pPr>
        <w:pStyle w:val="ListParagraph"/>
        <w:numPr>
          <w:ilvl w:val="0"/>
          <w:numId w:val="2"/>
        </w:numPr>
        <w:spacing w:after="80" w:before="0"/>
        <w:jc w:val="both"/>
      </w:pPr>
      <w:r>
        <w:rPr>
          <w:rFonts w:ascii="Arial" w:cs="Arial" w:eastAsia="Arial" w:hAnsi="Arial"/>
          <w:sz w:val="24"/>
          <w:szCs w:val="24"/>
        </w:rPr>
        <w:t xml:space="preserve">An end-to-end OCR-to-record ESG processing pipeline from PDF to structured records.</w:t>
      </w:r>
    </w:p>
    <w:p>
      <w:pPr>
        <w:pStyle w:val="ListParagraph"/>
        <w:numPr>
          <w:ilvl w:val="0"/>
          <w:numId w:val="2"/>
        </w:numPr>
        <w:spacing w:after="80" w:before="0"/>
        <w:jc w:val="both"/>
      </w:pPr>
      <w:r>
        <w:rPr>
          <w:rFonts w:ascii="Arial" w:cs="Arial" w:eastAsia="Arial" w:hAnsi="Arial"/>
          <w:sz w:val="24"/>
          <w:szCs w:val="24"/>
        </w:rPr>
        <w:t xml:space="preserve">A page-aware, prompt-driven extraction framework with seven prompt templates across bilingual reports.</w:t>
      </w:r>
    </w:p>
    <w:p>
      <w:pPr>
        <w:pStyle w:val="ListParagraph"/>
        <w:numPr>
          <w:ilvl w:val="0"/>
          <w:numId w:val="2"/>
        </w:numPr>
        <w:spacing w:after="80" w:before="0"/>
        <w:jc w:val="both"/>
      </w:pPr>
      <w:r>
        <w:rPr>
          <w:rFonts w:ascii="Arial" w:cs="Arial" w:eastAsia="Arial" w:hAnsi="Arial"/>
          <w:sz w:val="24"/>
          <w:szCs w:val="24"/>
        </w:rPr>
        <w:t xml:space="preserve">A tone-aware ESG taxonomy distinguishing commitment, action, and outcome.</w:t>
      </w:r>
    </w:p>
    <w:p>
      <w:pPr>
        <w:pStyle w:val="ListParagraph"/>
        <w:numPr>
          <w:ilvl w:val="0"/>
          <w:numId w:val="2"/>
        </w:numPr>
        <w:spacing w:after="80" w:before="0"/>
        <w:jc w:val="both"/>
      </w:pPr>
      <w:r>
        <w:rPr>
          <w:rFonts w:ascii="Arial" w:cs="Arial" w:eastAsia="Arial" w:hAnsi="Arial"/>
          <w:sz w:val="24"/>
          <w:szCs w:val="24"/>
        </w:rPr>
        <w:t xml:space="preserve">An ontology-based ABSA layer for ESG aspect classification.</w:t>
      </w:r>
    </w:p>
    <w:p>
      <w:pPr>
        <w:pStyle w:val="ListParagraph"/>
        <w:numPr>
          <w:ilvl w:val="0"/>
          <w:numId w:val="2"/>
        </w:numPr>
        <w:spacing w:after="80" w:before="0"/>
        <w:jc w:val="both"/>
      </w:pPr>
      <w:r>
        <w:rPr>
          <w:rFonts w:ascii="Arial" w:cs="Arial" w:eastAsia="Arial" w:hAnsi="Arial"/>
          <w:sz w:val="24"/>
          <w:szCs w:val="24"/>
        </w:rPr>
        <w:t xml:space="preserve">A ClimateBERT comparison framework for external semantic validation.</w:t>
      </w:r>
    </w:p>
    <w:p>
      <w:pPr>
        <w:pStyle w:val="ListParagraph"/>
        <w:numPr>
          <w:ilvl w:val="0"/>
          <w:numId w:val="2"/>
        </w:numPr>
        <w:spacing w:after="80" w:before="0"/>
        <w:jc w:val="both"/>
      </w:pPr>
      <w:r>
        <w:rPr>
          <w:rFonts w:ascii="Arial" w:cs="Arial" w:eastAsia="Arial" w:hAnsi="Arial"/>
          <w:sz w:val="24"/>
          <w:szCs w:val="24"/>
        </w:rPr>
        <w:t xml:space="preserve">Explainability outputs including lexical triggers, TF-IDF coefficients, and ontology paths.</w:t>
      </w:r>
    </w:p>
    <w:p>
      <w:pPr>
        <w:pStyle w:val="Heading2"/>
        <w:spacing w:after="120" w:before="280"/>
      </w:pPr>
      <w:r>
        <w:rPr>
          <w:rFonts w:ascii="Arial" w:cs="Arial" w:eastAsia="Arial" w:hAnsi="Arial"/>
          <w:b/>
          <w:bCs/>
          <w:sz w:val="28"/>
          <w:szCs w:val="28"/>
        </w:rPr>
        <w:t xml:space="preserve">1.4. Thesis Structure</w:t>
      </w:r>
    </w:p>
    <w:p>
      <w:pPr>
        <w:spacing w:after="160" w:before="0"/>
        <w:jc w:val="both"/>
      </w:pPr>
      <w:r>
        <w:rPr>
          <w:rFonts w:ascii="Arial" w:cs="Arial" w:eastAsia="Arial" w:hAnsi="Arial"/>
          <w:sz w:val="24"/>
          <w:szCs w:val="24"/>
        </w:rPr>
        <w:t xml:space="preserve">The remainder of this thesis is organised as follows. Chapter 2 surveys the relevant literature, covering ESG disclosure theory, Aspect-Based Sentiment Analysis methods, transformer models (including ClimateBERT), LLM-based extraction, explainable AI, and greenwashing detection. Chapter 3 presents the methodology, detailing the overall research design, data sources and preprocessing, and the multi-layer pipeline architecture. Chapter 4 reports implementation details and empirical results across the six research questions. Chapter 5 discusses key findings, theoretical implications, and limitations. Chapter 6 concludes with contribution summaries, practical implications, and directions for future research.</w:t>
      </w:r>
    </w:p>
    <w:p>
      <w:pPr>
        <w:pStyle w:val="Heading2"/>
        <w:spacing w:after="120" w:before="280"/>
      </w:pPr>
      <w:r>
        <w:rPr>
          <w:rFonts w:ascii="Arial" w:cs="Arial" w:eastAsia="Arial" w:hAnsi="Arial"/>
          <w:b/>
          <w:bCs/>
          <w:sz w:val="28"/>
          <w:szCs w:val="28"/>
        </w:rPr>
        <w:t xml:space="preserve">1.5. Author's Contributions and the Role of Artificial Intelligence</w:t>
      </w:r>
    </w:p>
    <w:p>
      <w:pPr>
        <w:spacing w:after="160" w:before="0"/>
        <w:jc w:val="both"/>
      </w:pPr>
      <w:r>
        <w:rPr>
          <w:rFonts w:ascii="Arial" w:cs="Arial" w:eastAsia="Arial" w:hAnsi="Arial"/>
          <w:sz w:val="24"/>
          <w:szCs w:val="24"/>
        </w:rPr>
        <w:t xml:space="preserve">This thesis was conducted and written by the author, Daris Dzakwan Hoesien, as a master's thesis at Oulu University, Finland. The research design, data collection strategy, pipeline implementation, empirical analysis, and written synthesis are the author's original work. Generative AI tools were used in a supporting capacity — specifically for drafting and refining structural outlines, checking linguistic clarity, and assisting with literature organisation — in accordance with the university's policies on AI-assisted academic work. All intellectual decisions, interpretive judgements, and conclusions presented herein are the responsibility of the author.</w:t>
      </w:r>
    </w:p>
    <w:p>
      <w:r>
        <w:br w:type="page"/>
      </w:r>
    </w:p>
    <w:p>
      <w:pPr>
        <w:pStyle w:val="Heading1"/>
        <w:spacing w:after="200" w:before="400"/>
      </w:pPr>
      <w:r>
        <w:rPr>
          <w:rFonts w:ascii="Arial" w:cs="Arial" w:eastAsia="Arial" w:hAnsi="Arial"/>
          <w:b/>
          <w:bCs/>
          <w:sz w:val="32"/>
          <w:szCs w:val="32"/>
        </w:rPr>
        <w:t xml:space="preserve">2. RELATED WORKS</w:t>
      </w:r>
    </w:p>
    <w:p>
      <w:pPr>
        <w:pBdr>
          <w:bottom w:val="single" w:color="2E75B6" w:sz="4" w:space="1"/>
        </w:pBdr>
        <w:spacing w:after="80" w:before="80"/>
      </w:pPr>
    </w:p>
    <w:p>
      <w:pPr>
        <w:pStyle w:val="Heading2"/>
        <w:spacing w:after="120" w:before="280"/>
      </w:pPr>
      <w:r>
        <w:rPr>
          <w:rFonts w:ascii="Arial" w:cs="Arial" w:eastAsia="Arial" w:hAnsi="Arial"/>
          <w:b/>
          <w:bCs/>
          <w:sz w:val="28"/>
          <w:szCs w:val="28"/>
        </w:rPr>
        <w:t xml:space="preserve">2.1. Text Summarisation</w:t>
      </w:r>
    </w:p>
    <w:p>
      <w:pPr>
        <w:spacing w:after="160" w:before="0"/>
        <w:jc w:val="both"/>
      </w:pPr>
      <w:r>
        <w:rPr>
          <w:rFonts w:ascii="Arial" w:cs="Arial" w:eastAsia="Arial" w:hAnsi="Arial"/>
          <w:sz w:val="24"/>
          <w:szCs w:val="24"/>
        </w:rPr>
        <w:t xml:space="preserve">Automated text summarisation has undergone rapid evolution from extractive methods, which select sentences directly from source documents, to abstractive approaches grounded in neural encoder-decoder architectures. In the ESG context, summarisation techniques have been applied to condense lengthy sustainability reports into decision-relevant signals. Early work relied on term frequency-inverse document frequency (TF-IDF) weighting and graph-based algorithms such as TextRank to identify salient sentences. While computationally efficient, these methods lack domain awareness and often fail to distinguish between ESG pillars or to preserve regulatory nuance.</w:t>
      </w:r>
    </w:p>
    <w:p>
      <w:pPr>
        <w:spacing w:after="160" w:before="0"/>
        <w:jc w:val="both"/>
      </w:pPr>
      <w:r>
        <w:rPr>
          <w:rFonts w:ascii="Arial" w:cs="Arial" w:eastAsia="Arial" w:hAnsi="Arial"/>
          <w:sz w:val="24"/>
          <w:szCs w:val="24"/>
        </w:rPr>
        <w:t xml:space="preserve">More recent approaches leverage pre-trained transformer models (e.g., BERT, RoBERTa) fine-tuned on financial or ESG corpora to generate abstractive summaries that better reflect the materiality of disclosed content. Domain-adapted variants, including FinBERT and ClimateBERT, have demonstrated measurable improvements on climate-disclosure and sustainability-report summarisation tasks compared to generic baselines. However, summarisation at the document level remains insufficient for the kind of sentence-level, aspect-specific analysis required for greenwashing detection and regulatory alignment, motivating the shift toward Aspect-Based Sentiment Analysis.</w:t>
      </w:r>
    </w:p>
    <w:p>
      <w:pPr>
        <w:pStyle w:val="Heading2"/>
        <w:spacing w:after="120" w:before="280"/>
      </w:pPr>
      <w:r>
        <w:rPr>
          <w:rFonts w:ascii="Arial" w:cs="Arial" w:eastAsia="Arial" w:hAnsi="Arial"/>
          <w:b/>
          <w:bCs/>
          <w:sz w:val="28"/>
          <w:szCs w:val="28"/>
        </w:rPr>
        <w:t xml:space="preserve">2.2. Aspect-Based Sentiment Analysis</w:t>
      </w:r>
    </w:p>
    <w:p>
      <w:pPr>
        <w:spacing w:after="160" w:before="0"/>
        <w:jc w:val="both"/>
      </w:pPr>
      <w:r>
        <w:rPr>
          <w:rFonts w:ascii="Arial" w:cs="Arial" w:eastAsia="Arial" w:hAnsi="Arial"/>
          <w:sz w:val="24"/>
          <w:szCs w:val="24"/>
        </w:rPr>
        <w:t xml:space="preserve">Aspect-Based Sentiment Analysis (ABSA) extends classical sentiment analysis by simultaneously identifying the target aspect of an opinion (e.g., emissions, board diversity, supply-chain governance) and the corresponding sentiment polarity (positive, negative, neutral). The task has been formalised across three main paradigms: lexicon-based methods, supervised machine learning classifiers, and transformer-based neural models.</w:t>
      </w:r>
    </w:p>
    <w:p>
      <w:pPr>
        <w:spacing w:after="160" w:before="0"/>
        <w:jc w:val="both"/>
      </w:pPr>
      <w:r>
        <w:rPr>
          <w:rFonts w:ascii="Arial" w:cs="Arial" w:eastAsia="Arial" w:hAnsi="Arial"/>
          <w:sz w:val="24"/>
          <w:szCs w:val="24"/>
        </w:rPr>
        <w:t xml:space="preserve">Lexicon-based ABSA constructs curated sentiment dictionaries matched against domain-specific terminology. In the ESG domain, this involves manually assembled lists of environmental, social, and governance keywords annotated with polarity scores. While interpretable and computationally cheap, lexicon-based methods are brittle to linguistic variation, hedging language, and the code-switching present in bilingual Indonesian/English reports.</w:t>
      </w:r>
    </w:p>
    <w:p>
      <w:pPr>
        <w:spacing w:after="160" w:before="0"/>
        <w:jc w:val="both"/>
      </w:pPr>
      <w:r>
        <w:rPr>
          <w:rFonts w:ascii="Arial" w:cs="Arial" w:eastAsia="Arial" w:hAnsi="Arial"/>
          <w:sz w:val="24"/>
          <w:szCs w:val="24"/>
        </w:rPr>
        <w:t xml:space="preserve">Supervised ML approaches (e.g., SVM, logistic regression with TF-IDF features) achieve stronger generalisation when sufficient labelled data is available, but they are vulnerable to domain shifts and require significant annotation effort. Transformer-based ABSA, using models such as BERT with task-specific heads, has become the state of the art, offering contextualised representations that capture polarity across multi-aspect sentences and handle regulatory discourse patterns more robustly. Recent cross-lingual ABSA research demonstrates the feasibility of extending these approaches to non-English languages using multilingual pre-trained models (mBERT, XLM-R), which is directly relevant to the Indonesian/English bilingual setting addressed by this thesis.</w:t>
      </w:r>
    </w:p>
    <w:p>
      <w:pPr>
        <w:pStyle w:val="Heading2"/>
        <w:spacing w:after="120" w:before="280"/>
      </w:pPr>
      <w:r>
        <w:rPr>
          <w:rFonts w:ascii="Arial" w:cs="Arial" w:eastAsia="Arial" w:hAnsi="Arial"/>
          <w:b/>
          <w:bCs/>
          <w:sz w:val="28"/>
          <w:szCs w:val="28"/>
        </w:rPr>
        <w:t xml:space="preserve">2.3. ESG Disclosure Analysis and Greenwashing Detection</w:t>
      </w:r>
    </w:p>
    <w:p>
      <w:pPr>
        <w:spacing w:after="160" w:before="0"/>
        <w:jc w:val="both"/>
      </w:pPr>
      <w:r>
        <w:rPr>
          <w:rFonts w:ascii="Arial" w:cs="Arial" w:eastAsia="Arial" w:hAnsi="Arial"/>
          <w:sz w:val="24"/>
          <w:szCs w:val="24"/>
        </w:rPr>
        <w:t xml:space="preserve">The application of NLP to ESG disclosure analysis has grown substantially over the past decade, spanning topic modelling, document classification, readability analysis, and, more recently, aspect-level sentiment extraction. A persistent challenge across these methods is distinguishing credible performance reporting from aspirational or misleading claims — the phenomenon known as greenwashing.</w:t>
      </w:r>
    </w:p>
    <w:p>
      <w:pPr>
        <w:spacing w:after="160" w:before="0"/>
        <w:jc w:val="both"/>
      </w:pPr>
      <w:r>
        <w:rPr>
          <w:rFonts w:ascii="Arial" w:cs="Arial" w:eastAsia="Arial" w:hAnsi="Arial"/>
          <w:sz w:val="24"/>
          <w:szCs w:val="24"/>
        </w:rPr>
        <w:t xml:space="preserve">Greenwashing refers to the strategic use of ESG communications to project an image of environmental or social responsibility that is disproportionate to actual organisational performance. NLP-based detection approaches have used readability metrics, linguistic complexity scores, and discrepancy measures between qualitative narrative and quantitative performance indicators to flag potential greenwashing signals. Recent work incorporating ClimateBERT variants demonstrates that domain-adapted language models can detect net-zero commitments and climate targets with high accuracy, providing a complementary validation layer for ABSA-derived signals.</w:t>
      </w:r>
    </w:p>
    <w:p>
      <w:pPr>
        <w:spacing w:after="160" w:before="0"/>
        <w:jc w:val="both"/>
      </w:pPr>
      <w:r>
        <w:rPr>
          <w:rFonts w:ascii="Arial" w:cs="Arial" w:eastAsia="Arial" w:hAnsi="Arial"/>
          <w:sz w:val="24"/>
          <w:szCs w:val="24"/>
        </w:rPr>
        <w:t xml:space="preserve">However, most existing work remains English-centric and operates at the document level, with limited attention to the sentence-level commitment/action/outcome distinction that is central to credible greenwashing detection. The Indonesian disclosure context, with its bilingual reporting practices and evolving OJK/IDX regulatory requirements, represents a particularly underexplored domain that this thesis targets directly.</w:t>
      </w:r>
    </w:p>
    <w:p>
      <w:pPr>
        <w:pStyle w:val="Heading2"/>
        <w:spacing w:after="120" w:before="280"/>
      </w:pPr>
      <w:r>
        <w:rPr>
          <w:rFonts w:ascii="Arial" w:cs="Arial" w:eastAsia="Arial" w:hAnsi="Arial"/>
          <w:b/>
          <w:bCs/>
          <w:sz w:val="28"/>
          <w:szCs w:val="28"/>
        </w:rPr>
        <w:t xml:space="preserve">2.4. Gaps in Existing Research</w:t>
      </w:r>
    </w:p>
    <w:p>
      <w:pPr>
        <w:spacing w:after="160" w:before="0"/>
        <w:jc w:val="both"/>
      </w:pPr>
      <w:r>
        <w:rPr>
          <w:rFonts w:ascii="Arial" w:cs="Arial" w:eastAsia="Arial" w:hAnsi="Arial"/>
          <w:sz w:val="24"/>
          <w:szCs w:val="24"/>
        </w:rPr>
        <w:t xml:space="preserve">Synthesising the literature review, five principal gaps motivate the present research:</w:t>
      </w:r>
    </w:p>
    <w:p>
      <w:pPr>
        <w:spacing w:after="160" w:before="0"/>
        <w:jc w:val="both"/>
      </w:pPr>
      <w:r>
        <w:rPr>
          <w:rFonts w:ascii="Arial" w:cs="Arial" w:eastAsia="Arial" w:hAnsi="Arial"/>
          <w:b/>
          <w:bCs/>
          <w:sz w:val="24"/>
          <w:szCs w:val="24"/>
        </w:rPr>
        <w:t xml:space="preserve">Gap 1 — Absence of sentence-level ESG evidence extraction: </w:t>
      </w:r>
      <w:r>
        <w:rPr>
          <w:rFonts w:ascii="Arial" w:cs="Arial" w:eastAsia="Arial" w:hAnsi="Arial"/>
          <w:sz w:val="24"/>
          <w:szCs w:val="24"/>
        </w:rPr>
        <w:t xml:space="preserve">Contemporary ESG NLP work emphasises document-level sentiment or coarse topic signals. A formal, sentence-level ABSA framework anchored to GRI/SASB/TCFD concepts is lacking for Indonesian/English disclosures.</w:t>
      </w:r>
    </w:p>
    <w:p>
      <w:pPr>
        <w:spacing w:after="160" w:before="0"/>
        <w:jc w:val="both"/>
      </w:pPr>
      <w:r>
        <w:rPr>
          <w:rFonts w:ascii="Arial" w:cs="Arial" w:eastAsia="Arial" w:hAnsi="Arial"/>
          <w:b/>
          <w:bCs/>
          <w:sz w:val="24"/>
          <w:szCs w:val="24"/>
        </w:rPr>
        <w:t xml:space="preserve">Gap 2 — Conflation of tone and sentiment: </w:t>
      </w:r>
      <w:r>
        <w:rPr>
          <w:rFonts w:ascii="Arial" w:cs="Arial" w:eastAsia="Arial" w:hAnsi="Arial"/>
          <w:sz w:val="24"/>
          <w:szCs w:val="24"/>
        </w:rPr>
        <w:t xml:space="preserve">Many studies treat overall document tone as synonymous with aspect-level sentiment, collapsing contextual cues into a single polarity score and obscuring the commitment/action/outcome distinction.</w:t>
      </w:r>
    </w:p>
    <w:p>
      <w:pPr>
        <w:spacing w:after="160" w:before="0"/>
        <w:jc w:val="both"/>
      </w:pPr>
      <w:r>
        <w:rPr>
          <w:rFonts w:ascii="Arial" w:cs="Arial" w:eastAsia="Arial" w:hAnsi="Arial"/>
          <w:b/>
          <w:bCs/>
          <w:sz w:val="24"/>
          <w:szCs w:val="24"/>
        </w:rPr>
        <w:t xml:space="preserve">Gap 3 — LLM output instability: </w:t>
      </w:r>
      <w:r>
        <w:rPr>
          <w:rFonts w:ascii="Arial" w:cs="Arial" w:eastAsia="Arial" w:hAnsi="Arial"/>
          <w:sz w:val="24"/>
          <w:szCs w:val="24"/>
        </w:rPr>
        <w:t xml:space="preserve">Prompt-driven LLM extraction in ESG contexts exhibits variance across templates, with limited systematic study of stability metrics or ensemble verification strategies.</w:t>
      </w:r>
    </w:p>
    <w:p>
      <w:pPr>
        <w:spacing w:after="160" w:before="0"/>
        <w:jc w:val="both"/>
      </w:pPr>
      <w:r>
        <w:rPr>
          <w:rFonts w:ascii="Arial" w:cs="Arial" w:eastAsia="Arial" w:hAnsi="Arial"/>
          <w:b/>
          <w:bCs/>
          <w:sz w:val="24"/>
          <w:szCs w:val="24"/>
        </w:rPr>
        <w:t xml:space="preserve">Gap 4 — Neglect of OCR quality: </w:t>
      </w:r>
      <w:r>
        <w:rPr>
          <w:rFonts w:ascii="Arial" w:cs="Arial" w:eastAsia="Arial" w:hAnsi="Arial"/>
          <w:sz w:val="24"/>
          <w:szCs w:val="24"/>
        </w:rPr>
        <w:t xml:space="preserve">Most ESG NLP pipelines assume clean machine-readable text, ignoring how OCR errors and layout complexity propagate into downstream extraction quality.</w:t>
      </w:r>
    </w:p>
    <w:p>
      <w:pPr>
        <w:spacing w:after="160" w:before="0"/>
        <w:jc w:val="both"/>
      </w:pPr>
      <w:r>
        <w:rPr>
          <w:rFonts w:ascii="Arial" w:cs="Arial" w:eastAsia="Arial" w:hAnsi="Arial"/>
          <w:b/>
          <w:bCs/>
          <w:sz w:val="24"/>
          <w:szCs w:val="24"/>
        </w:rPr>
        <w:t xml:space="preserve">Gap 5 — Underdeveloped greenwashing detection: </w:t>
      </w:r>
      <w:r>
        <w:rPr>
          <w:rFonts w:ascii="Arial" w:cs="Arial" w:eastAsia="Arial" w:hAnsi="Arial"/>
          <w:sz w:val="24"/>
          <w:szCs w:val="24"/>
        </w:rPr>
        <w:t xml:space="preserve">Existing methods lack a rigorous, formalized greenwashing detection framework that integrates sentence-level ABSA with verifiable quantitative performance evidence in bilingual settings.</w:t>
      </w:r>
    </w:p>
    <w:p>
      <w:r>
        <w:br w:type="page"/>
      </w:r>
    </w:p>
    <w:p>
      <w:pPr>
        <w:pStyle w:val="Heading1"/>
        <w:spacing w:after="200" w:before="400"/>
      </w:pPr>
      <w:r>
        <w:rPr>
          <w:rFonts w:ascii="Arial" w:cs="Arial" w:eastAsia="Arial" w:hAnsi="Arial"/>
          <w:b/>
          <w:bCs/>
          <w:sz w:val="32"/>
          <w:szCs w:val="32"/>
        </w:rPr>
        <w:t xml:space="preserve">3. METHODOLOGY</w:t>
      </w:r>
    </w:p>
    <w:p>
      <w:pPr>
        <w:pBdr>
          <w:bottom w:val="single" w:color="2E75B6" w:sz="4" w:space="1"/>
        </w:pBdr>
        <w:spacing w:after="80" w:before="80"/>
      </w:pPr>
    </w:p>
    <w:p>
      <w:pPr>
        <w:pStyle w:val="Heading2"/>
        <w:spacing w:after="120" w:before="280"/>
      </w:pPr>
      <w:r>
        <w:rPr>
          <w:rFonts w:ascii="Arial" w:cs="Arial" w:eastAsia="Arial" w:hAnsi="Arial"/>
          <w:b/>
          <w:bCs/>
          <w:sz w:val="28"/>
          <w:szCs w:val="28"/>
        </w:rPr>
        <w:t xml:space="preserve">3.1. Overview of the Methodology</w:t>
      </w:r>
    </w:p>
    <w:p>
      <w:pPr>
        <w:spacing w:after="160" w:before="0"/>
        <w:jc w:val="both"/>
      </w:pPr>
      <w:r>
        <w:rPr>
          <w:rFonts w:ascii="Arial" w:cs="Arial" w:eastAsia="Arial" w:hAnsi="Arial"/>
          <w:sz w:val="24"/>
          <w:szCs w:val="24"/>
        </w:rPr>
        <w:t xml:space="preserve">This research adopts a mixed-method, exploratory design that combines computational pipeline engineering with interpretive evaluation of ESG disclosure tone. The methodology is structured around four linked operations: (1) converting sustainability report PDFs into structured markdown representations via OCR and page-level processing; (2) extracting structured ESG records using LLM prompts with seven distinct prompt templates; (3) comparing record-level tone classifications against ClimateBERT-style semantic labels; and (4) visualising and documenting patterns for auditability and reproducibility.</w:t>
      </w:r>
    </w:p>
    <w:p>
      <w:pPr>
        <w:spacing w:after="160" w:before="0"/>
        <w:jc w:val="both"/>
      </w:pPr>
      <w:r>
        <w:rPr>
          <w:rFonts w:ascii="Arial" w:cs="Arial" w:eastAsia="Arial" w:hAnsi="Arial"/>
          <w:sz w:val="24"/>
          <w:szCs w:val="24"/>
        </w:rPr>
        <w:t xml:space="preserve">The research is intentionally exploratory because no complete expert-labelled ground-truth dataset currently exists for Indonesian/English ESG disclosures at the required granularity. Rather than claiming supervised evaluation validity, the methodology treats model outputs, ClimateBERT-style labels, ontology mappings, and manually inspectable records as mutually reinforcing triangulated evidence. The design positions the pipeline as a benchmark-construction apparatus and reproducible research instrument rather than a finalised classification system.</w:t>
      </w:r>
    </w:p>
    <w:p>
      <w:pPr>
        <w:spacing w:after="160" w:before="0"/>
        <w:jc w:val="both"/>
      </w:pPr>
      <w:r>
        <w:rPr>
          <w:rFonts w:ascii="Arial" w:cs="Arial" w:eastAsia="Arial" w:hAnsi="Arial"/>
          <w:sz w:val="24"/>
          <w:szCs w:val="24"/>
        </w:rPr>
        <w:t xml:space="preserve">The unit of analysis is the ESG disclosure record, which may derive from a sentence, paragraph, table fragment, or page batch. Each record stores the source text, ESG pillar, aspect term, tone label, sentiment score, extracted labels, reasoning, source target, prompt template identifier, and model metadata. This structure supports evidence-level interpretation well beyond document-level ESG scoring.</w:t>
      </w:r>
    </w:p>
    <w:p>
      <w:pPr>
        <w:spacing w:after="60" w:before="160"/>
      </w:pPr>
    </w:p>
    <w:p>
      <w:pPr>
        <w:spacing w:after="200" w:before="40"/>
        <w:jc w:val="center"/>
      </w:pPr>
      <w:r>
        <w:rPr>
          <w:rFonts w:ascii="Arial" w:cs="Arial" w:eastAsia="Arial" w:hAnsi="Arial"/>
          <w:i/>
          <w:iCs/>
          <w:color w:val="555555"/>
          <w:sz w:val="20"/>
          <w:szCs w:val="20"/>
        </w:rPr>
        <w:t xml:space="preserve">Figure 3.1: Overview of the four-layer ESG ABSA methodology pipeline. [See accompanying diagram]</w:t>
      </w:r>
    </w:p>
    <w:p>
      <w:pPr>
        <w:spacing w:after="160" w:before="0"/>
      </w:pPr>
    </w:p>
    <w:p>
      <w:pPr>
        <w:pStyle w:val="Heading2"/>
        <w:spacing w:after="120" w:before="280"/>
      </w:pPr>
      <w:r>
        <w:rPr>
          <w:rFonts w:ascii="Arial" w:cs="Arial" w:eastAsia="Arial" w:hAnsi="Arial"/>
          <w:b/>
          <w:bCs/>
          <w:sz w:val="28"/>
          <w:szCs w:val="28"/>
        </w:rPr>
        <w:t xml:space="preserve">3.2. Data Sources</w:t>
      </w:r>
    </w:p>
    <w:p>
      <w:pPr>
        <w:pStyle w:val="Heading3"/>
        <w:spacing w:after="80" w:before="200"/>
      </w:pPr>
      <w:r>
        <w:rPr>
          <w:rFonts w:ascii="Arial" w:cs="Arial" w:eastAsia="Arial" w:hAnsi="Arial"/>
          <w:b/>
          <w:bCs/>
          <w:sz w:val="24"/>
          <w:szCs w:val="24"/>
        </w:rPr>
        <w:t xml:space="preserve">3.2.1. Dataset Characteristics</w:t>
      </w:r>
    </w:p>
    <w:p>
      <w:pPr>
        <w:spacing w:after="160" w:before="0"/>
        <w:jc w:val="both"/>
      </w:pPr>
      <w:r>
        <w:rPr>
          <w:rFonts w:ascii="Arial" w:cs="Arial" w:eastAsia="Arial" w:hAnsi="Arial"/>
          <w:sz w:val="24"/>
          <w:szCs w:val="24"/>
        </w:rPr>
        <w:t xml:space="preserve">The primary data source consists of sustainability reports and integrated annual reports published by Indonesian listed companies. Reports were sourced from company investor-relations websites and the Indonesia Stock Exchange (IDX) public disclosure portal. The dataset encompasses documents from multiple industry sectors — including finance, energy, consumer goods, and manufacturing — reflecting the diversity of the Indonesian corporate landscape.</w:t>
      </w:r>
    </w:p>
    <w:p>
      <w:pPr>
        <w:spacing w:after="160" w:before="0"/>
        <w:jc w:val="both"/>
      </w:pPr>
      <w:r>
        <w:rPr>
          <w:rFonts w:ascii="Arial" w:cs="Arial" w:eastAsia="Arial" w:hAnsi="Arial"/>
          <w:sz w:val="24"/>
          <w:szCs w:val="24"/>
        </w:rPr>
        <w:t xml:space="preserve">The current empirical snapshot used to validate the pipeline includes 332 extracted ESG records from 110 successful extraction runs, derived from 40 source targets across 7 prompt templates and 2 LLM backends. The tone distribution in the current dataset is: commitment = 115 records, missing/unclassified = 61, action = 58, outcome = 50, and none = 48. The ESG pillar distribution is: Environmental (E) = 179, Governance (G) = 121, undefined = 27, Social (S) = 4, and missing = 1.</w:t>
      </w:r>
    </w:p>
    <w:p>
      <w:pPr>
        <w:spacing w:after="160" w:before="0"/>
        <w:jc w:val="both"/>
      </w:pPr>
      <w:r>
        <w:rPr>
          <w:rFonts w:ascii="Arial" w:cs="Arial" w:eastAsia="Arial" w:hAnsi="Arial"/>
          <w:sz w:val="24"/>
          <w:szCs w:val="24"/>
        </w:rPr>
        <w:t xml:space="preserve">The underrepresentation of Social-pillar records (n = 4) reflects both the focus of the sampled report pages and the known dominance of environmental and governance disclosures in Indonesian corporate sustainability reporting. This distributional imbalance is treated as a diagnostic finding rather than a design failure, and it motivates targeted prompt refinement and expanded corpus sampling in future work.</w:t>
      </w:r>
    </w:p>
    <w:p>
      <w:pPr>
        <w:spacing w:after="4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Total source targets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40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2"/>
                <w:szCs w:val="22"/>
              </w:rPr>
              <w:t xml:space="preserve">Successful extraction runs</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2"/>
                <w:szCs w:val="22"/>
              </w:rPr>
              <w:t xml:space="preserve">110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Total ESG records extracted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332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2"/>
                <w:szCs w:val="22"/>
              </w:rPr>
              <w:t xml:space="preserve">Prompt templates used</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2"/>
                <w:szCs w:val="22"/>
              </w:rPr>
              <w:t xml:space="preserve">7</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LLM backends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2"/>
                <w:szCs w:val="22"/>
              </w:rPr>
              <w:t xml:space="preserve">Tone: Commitment</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2"/>
                <w:szCs w:val="22"/>
              </w:rPr>
              <w:t xml:space="preserve">115 (34.6%)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Tone: Action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58 (17.5%)</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2"/>
                <w:szCs w:val="22"/>
              </w:rPr>
              <w:t xml:space="preserve">Tone: Outcome</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2"/>
                <w:szCs w:val="22"/>
              </w:rPr>
              <w:t xml:space="preserve">50 (15.1%)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Tone: None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48 (14.5%)</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2"/>
                <w:szCs w:val="22"/>
              </w:rPr>
              <w:t xml:space="preserve">Tone: Missing</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2"/>
                <w:szCs w:val="22"/>
              </w:rPr>
              <w:t xml:space="preserve">61 (18.4%)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ESG Pillar: Environmental</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179 (53.9%)</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2"/>
                <w:szCs w:val="22"/>
              </w:rPr>
              <w:t xml:space="preserve">ESG Pillar: Governance</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2"/>
                <w:szCs w:val="22"/>
              </w:rPr>
              <w:t xml:space="preserve">121 (36.4%)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ESG Pillar: Social</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4 (1.2%)</w:t>
            </w:r>
          </w:p>
        </w:tc>
      </w:tr>
    </w:tbl>
    <w:p>
      <w:pPr>
        <w:spacing w:after="60" w:before="40"/>
      </w:pPr>
    </w:p>
    <w:p>
      <w:pPr>
        <w:spacing w:after="200" w:before="40"/>
        <w:jc w:val="center"/>
      </w:pPr>
      <w:r>
        <w:rPr>
          <w:rFonts w:ascii="Arial" w:cs="Arial" w:eastAsia="Arial" w:hAnsi="Arial"/>
          <w:i/>
          <w:iCs/>
          <w:color w:val="555555"/>
          <w:sz w:val="20"/>
          <w:szCs w:val="20"/>
        </w:rPr>
        <w:t xml:space="preserve">Table 3.1: Dataset characteristics and extraction statistics from the current empirical snapshot.</w:t>
      </w:r>
    </w:p>
    <w:p>
      <w:pPr>
        <w:spacing w:after="160" w:before="0"/>
      </w:pPr>
    </w:p>
    <w:p>
      <w:pPr>
        <w:pStyle w:val="Heading3"/>
        <w:spacing w:after="80" w:before="200"/>
      </w:pPr>
      <w:r>
        <w:rPr>
          <w:rFonts w:ascii="Arial" w:cs="Arial" w:eastAsia="Arial" w:hAnsi="Arial"/>
          <w:b/>
          <w:bCs/>
          <w:sz w:val="24"/>
          <w:szCs w:val="24"/>
        </w:rPr>
        <w:t xml:space="preserve">3.2.2. Rationale</w:t>
      </w:r>
    </w:p>
    <w:p>
      <w:pPr>
        <w:spacing w:after="160" w:before="0"/>
        <w:jc w:val="both"/>
      </w:pPr>
      <w:r>
        <w:rPr>
          <w:rFonts w:ascii="Arial" w:cs="Arial" w:eastAsia="Arial" w:hAnsi="Arial"/>
          <w:sz w:val="24"/>
          <w:szCs w:val="24"/>
        </w:rPr>
        <w:t xml:space="preserve">Indonesian sustainability reports were selected as the primary corpus for three reasons. First, they present a realistic bilingual ESG analysis setting, with documents routinely incorporating Indonesian and English content in parallel — either within the same document or across companion filings — enabling direct investigation of cross-language extraction challenges. Second, the regulatory environment enforced by OJK and IDX creates a structured disclosure ecosystem with traceable filings, making the data publicly accessible and auditable. Third, Indonesian ESG disclosures are substantially underrepresented in existing NLP research, despite representing one of the largest emerging-market regulatory contexts in Southeast Asia.</w:t>
      </w:r>
    </w:p>
    <w:p>
      <w:pPr>
        <w:spacing w:after="160" w:before="0"/>
        <w:jc w:val="both"/>
      </w:pPr>
      <w:r>
        <w:rPr>
          <w:rFonts w:ascii="Arial" w:cs="Arial" w:eastAsia="Arial" w:hAnsi="Arial"/>
          <w:sz w:val="24"/>
          <w:szCs w:val="24"/>
        </w:rPr>
        <w:t xml:space="preserve">The selection of reports across multiple industry sectors ensures that the pipeline is tested against diverse aspect vocabularies, disclosure styles, and regulatory lexicons, thereby strengthening the generalisability of extracted ESG patterns and identified weaknesses.</w:t>
      </w:r>
    </w:p>
    <w:p>
      <w:pPr>
        <w:pStyle w:val="Heading3"/>
        <w:spacing w:after="80" w:before="200"/>
      </w:pPr>
      <w:r>
        <w:rPr>
          <w:rFonts w:ascii="Arial" w:cs="Arial" w:eastAsia="Arial" w:hAnsi="Arial"/>
          <w:b/>
          <w:bCs/>
          <w:sz w:val="24"/>
          <w:szCs w:val="24"/>
        </w:rPr>
        <w:t xml:space="preserve">3.2.3. Data Accessibility and Ethical Considerations</w:t>
      </w:r>
    </w:p>
    <w:p>
      <w:pPr>
        <w:spacing w:after="160" w:before="0"/>
        <w:jc w:val="both"/>
      </w:pPr>
      <w:r>
        <w:rPr>
          <w:rFonts w:ascii="Arial" w:cs="Arial" w:eastAsia="Arial" w:hAnsi="Arial"/>
          <w:sz w:val="24"/>
          <w:szCs w:val="24"/>
        </w:rPr>
        <w:t xml:space="preserve">All sustainability reports used in this research are publicly available, either through the IDX disclosure portal or company investor-relations websites. No proprietary or commercially licensed data was used. Given the sensitivity of ESG performance data and the potential for reputational implications, company names are anonymised in the publicly shared pipeline outputs and evaluation artefacts. The use of LLM APIs for extraction was conducted in accordance with provider terms of service, and no personally identifiable information is present in the corpus.</w:t>
      </w:r>
    </w:p>
    <w:p>
      <w:pPr>
        <w:pStyle w:val="Heading2"/>
        <w:spacing w:after="120" w:before="280"/>
      </w:pPr>
      <w:r>
        <w:rPr>
          <w:rFonts w:ascii="Arial" w:cs="Arial" w:eastAsia="Arial" w:hAnsi="Arial"/>
          <w:b/>
          <w:bCs/>
          <w:sz w:val="28"/>
          <w:szCs w:val="28"/>
        </w:rPr>
        <w:t xml:space="preserve">3.3. Preprocessing Pipeline</w:t>
      </w:r>
    </w:p>
    <w:p>
      <w:pPr>
        <w:pStyle w:val="Heading3"/>
        <w:spacing w:after="80" w:before="200"/>
      </w:pPr>
      <w:r>
        <w:rPr>
          <w:rFonts w:ascii="Arial" w:cs="Arial" w:eastAsia="Arial" w:hAnsi="Arial"/>
          <w:b/>
          <w:bCs/>
          <w:sz w:val="24"/>
          <w:szCs w:val="24"/>
        </w:rPr>
        <w:t xml:space="preserve">3.3.1. From Report to Extraction</w:t>
      </w:r>
    </w:p>
    <w:p>
      <w:pPr>
        <w:spacing w:after="160" w:before="0"/>
        <w:jc w:val="both"/>
      </w:pPr>
      <w:r>
        <w:rPr>
          <w:rFonts w:ascii="Arial" w:cs="Arial" w:eastAsia="Arial" w:hAnsi="Arial"/>
          <w:sz w:val="24"/>
          <w:szCs w:val="24"/>
        </w:rPr>
        <w:t xml:space="preserve">Preprocessing follows a page-aware strategy designed to preserve document structure while generating stable text representations for the extraction layer. The pipeline operates in four stages.</w:t>
      </w:r>
    </w:p>
    <w:p>
      <w:pPr>
        <w:spacing w:after="160" w:before="0"/>
        <w:jc w:val="both"/>
      </w:pPr>
      <w:r>
        <w:rPr>
          <w:rFonts w:ascii="Arial" w:cs="Arial" w:eastAsia="Arial" w:hAnsi="Arial"/>
          <w:b/>
          <w:bCs/>
          <w:sz w:val="24"/>
          <w:szCs w:val="24"/>
        </w:rPr>
        <w:t xml:space="preserve">Stage 1 — PDF ingestion and page conversion: </w:t>
      </w:r>
      <w:r>
        <w:rPr>
          <w:rFonts w:ascii="Arial" w:cs="Arial" w:eastAsia="Arial" w:hAnsi="Arial"/>
          <w:sz w:val="24"/>
          <w:szCs w:val="24"/>
        </w:rPr>
        <w:t xml:space="preserve">Sustainability reports are ingested as PDFs and converted into per-page markdown representations using layout-aware OCR processing. Page-level traceability is maintained by associating each extracted text segment with a page number and document identifier. This intermediate markdown representation forms a stable basis for subsequent processing.</w:t>
      </w:r>
    </w:p>
    <w:p>
      <w:pPr>
        <w:spacing w:after="160" w:before="0"/>
        <w:jc w:val="both"/>
      </w:pPr>
      <w:r>
        <w:rPr>
          <w:rFonts w:ascii="Arial" w:cs="Arial" w:eastAsia="Arial" w:hAnsi="Arial"/>
          <w:b/>
          <w:bCs/>
          <w:sz w:val="24"/>
          <w:szCs w:val="24"/>
        </w:rPr>
        <w:t xml:space="preserve">Stage 2 — Page batching: </w:t>
      </w:r>
      <w:r>
        <w:rPr>
          <w:rFonts w:ascii="Arial" w:cs="Arial" w:eastAsia="Arial" w:hAnsi="Arial"/>
          <w:sz w:val="24"/>
          <w:szCs w:val="24"/>
        </w:rPr>
        <w:t xml:space="preserve">Rather than processing documents in their entirety, the pipeline groups pages into contextually coherent batches. Batching is necessary because LLM context windows are finite and because ESG statements frequently depend on surrounding section headings, table captions, or adjacent paragraphs for correct interpretation. Batch boundaries are set at section-level transitions where possible.</w:t>
      </w:r>
    </w:p>
    <w:p>
      <w:pPr>
        <w:spacing w:after="160" w:before="0"/>
        <w:jc w:val="both"/>
      </w:pPr>
      <w:r>
        <w:rPr>
          <w:rFonts w:ascii="Arial" w:cs="Arial" w:eastAsia="Arial" w:hAnsi="Arial"/>
          <w:b/>
          <w:bCs/>
          <w:sz w:val="24"/>
          <w:szCs w:val="24"/>
        </w:rPr>
        <w:t xml:space="preserve">Stage 3 — Quality filtering: </w:t>
      </w:r>
      <w:r>
        <w:rPr>
          <w:rFonts w:ascii="Arial" w:cs="Arial" w:eastAsia="Arial" w:hAnsi="Arial"/>
          <w:sz w:val="24"/>
          <w:szCs w:val="24"/>
        </w:rPr>
        <w:t xml:space="preserve">Common OCR artefacts are identified and handled, including: repeated headers and footers, table formatting noise, fragmented sentences split across page boundaries, bilingual content duplication (where the same statement appears in both Indonesian and English within the same batch), and OCR character errors in Indonesian-language segments. Filtering rules are applied conservatively to avoid discarding content-bearing fragments.</w:t>
      </w:r>
    </w:p>
    <w:p>
      <w:pPr>
        <w:spacing w:after="160" w:before="0"/>
        <w:jc w:val="both"/>
      </w:pPr>
      <w:r>
        <w:rPr>
          <w:rFonts w:ascii="Arial" w:cs="Arial" w:eastAsia="Arial" w:hAnsi="Arial"/>
          <w:b/>
          <w:bCs/>
          <w:sz w:val="24"/>
          <w:szCs w:val="24"/>
        </w:rPr>
        <w:t xml:space="preserve">Stage 4 — Record schema initialisation: </w:t>
      </w:r>
      <w:r>
        <w:rPr>
          <w:rFonts w:ascii="Arial" w:cs="Arial" w:eastAsia="Arial" w:hAnsi="Arial"/>
          <w:sz w:val="24"/>
          <w:szCs w:val="24"/>
        </w:rPr>
        <w:t xml:space="preserve">Each text segment entering the extraction layer is assigned a unique record identifier along with metadata fields: source document name, page number, batch index, and detected language (Indonesian, English, or mixed). This schema is propagated through all subsequent pipeline layers to maintain end-to-end provenance.</w:t>
      </w:r>
    </w:p>
    <w:p>
      <w:pPr>
        <w:pStyle w:val="Heading3"/>
        <w:spacing w:after="80" w:before="200"/>
      </w:pPr>
      <w:r>
        <w:rPr>
          <w:rFonts w:ascii="Arial" w:cs="Arial" w:eastAsia="Arial" w:hAnsi="Arial"/>
          <w:b/>
          <w:bCs/>
          <w:sz w:val="24"/>
          <w:szCs w:val="24"/>
        </w:rPr>
        <w:t xml:space="preserve">3.3.2. Known Quality Issues and Mitigations</w:t>
      </w:r>
    </w:p>
    <w:p>
      <w:pPr>
        <w:spacing w:after="160" w:before="0"/>
        <w:jc w:val="both"/>
      </w:pPr>
      <w:r>
        <w:rPr>
          <w:rFonts w:ascii="Arial" w:cs="Arial" w:eastAsia="Arial" w:hAnsi="Arial"/>
          <w:sz w:val="24"/>
          <w:szCs w:val="24"/>
        </w:rPr>
        <w:t xml:space="preserve">Several quality issues are expected and treated as diagnostic phenomena rather than failures. OCR accuracy has not yet been measured formally using character error rate (CER) or word error rate (WER) metrics — this represents a known limitation explicitly scheduled for future work. Table formatting noise is particularly prevalent in sustainability reports due to complex nested table structures and merged cells. Missing tone labels (n = 61 in the current snapshot) and schema drift (e.g., 18 records where the commitment value appears incorrectly in the sentiment field rather than the tone field) are tracked as pipeline health indicators rather than classification errors.</w:t>
      </w:r>
    </w:p>
    <w:p>
      <w:pPr>
        <w:pStyle w:val="Heading2"/>
        <w:spacing w:after="120" w:before="280"/>
      </w:pPr>
      <w:r>
        <w:rPr>
          <w:rFonts w:ascii="Arial" w:cs="Arial" w:eastAsia="Arial" w:hAnsi="Arial"/>
          <w:b/>
          <w:bCs/>
          <w:sz w:val="28"/>
          <w:szCs w:val="28"/>
        </w:rPr>
        <w:t xml:space="preserve">3.4. Model Design</w:t>
      </w:r>
    </w:p>
    <w:p>
      <w:pPr>
        <w:spacing w:after="160" w:before="0"/>
        <w:jc w:val="both"/>
      </w:pPr>
      <w:r>
        <w:rPr>
          <w:rFonts w:ascii="Arial" w:cs="Arial" w:eastAsia="Arial" w:hAnsi="Arial"/>
          <w:sz w:val="24"/>
          <w:szCs w:val="24"/>
        </w:rPr>
        <w:t xml:space="preserve">The pipeline architecture is composed of four complementary analytical layers, each designed to compensate for weaknesses in the others while contributing distinct evidence to the final ESG record.</w:t>
      </w:r>
    </w:p>
    <w:p>
      <w:pPr>
        <w:pStyle w:val="Heading3"/>
        <w:spacing w:after="80" w:before="200"/>
      </w:pPr>
      <w:r>
        <w:rPr>
          <w:rFonts w:ascii="Arial" w:cs="Arial" w:eastAsia="Arial" w:hAnsi="Arial"/>
          <w:b/>
          <w:bCs/>
          <w:sz w:val="24"/>
          <w:szCs w:val="24"/>
        </w:rPr>
        <w:t xml:space="preserve">3.4.1. Rule-Based Layer (T0)</w:t>
      </w:r>
    </w:p>
    <w:p>
      <w:pPr>
        <w:spacing w:after="160" w:before="0"/>
        <w:jc w:val="both"/>
      </w:pPr>
      <w:r>
        <w:rPr>
          <w:rFonts w:ascii="Arial" w:cs="Arial" w:eastAsia="Arial" w:hAnsi="Arial"/>
          <w:sz w:val="24"/>
          <w:szCs w:val="24"/>
        </w:rPr>
        <w:t xml:space="preserve">The foundational layer applies ESG-specific lexicons to identify aspect terms, polarity indicators, and tone markers. Lexicons distinguish commitment markers (e.g., will, target, committed, intends to), action markers (e.g., implemented, conducted, established, launched), and outcome markers (e.g., achieved, reduced, completed, reported). This layer is intentionally transparent: its outputs are interpretable by human reviewers without model-specific knowledge. The primary limitation is brittleness — paraphrases and bilingual variation (where the same concept is expressed differently in Indonesian and English) can evade rule-based matching.</w:t>
      </w:r>
    </w:p>
    <w:p>
      <w:pPr>
        <w:pStyle w:val="Heading3"/>
        <w:spacing w:after="80" w:before="200"/>
      </w:pPr>
      <w:r>
        <w:rPr>
          <w:rFonts w:ascii="Arial" w:cs="Arial" w:eastAsia="Arial" w:hAnsi="Arial"/>
          <w:b/>
          <w:bCs/>
          <w:sz w:val="24"/>
          <w:szCs w:val="24"/>
        </w:rPr>
        <w:t xml:space="preserve">3.4.2. Classical ML Layer (T1-CML)</w:t>
      </w:r>
    </w:p>
    <w:p>
      <w:pPr>
        <w:spacing w:after="160" w:before="0"/>
        <w:jc w:val="both"/>
      </w:pPr>
      <w:r>
        <w:rPr>
          <w:rFonts w:ascii="Arial" w:cs="Arial" w:eastAsia="Arial" w:hAnsi="Arial"/>
          <w:sz w:val="24"/>
          <w:szCs w:val="24"/>
        </w:rPr>
        <w:t xml:space="preserve">A TF-IDF-weighted logistic regression classifier provides a statistical baseline that extends beyond lexical matching. This layer learns associative patterns between n-gram features and ESG categories (pillar, aspect, tone) from weakly-labelled data derived from the rule-based layer's confident predictions. The classifier produces interpretable coefficient weights that identify which terms most strongly drive each classification, supporting the TF-IDF feature-importance outputs described in the explainability contribution. Its principal limitation is reliance on weak supervision labels, which may propagate lexical bias from the rule-based layer.</w:t>
      </w:r>
    </w:p>
    <w:p>
      <w:pPr>
        <w:pStyle w:val="Heading3"/>
        <w:spacing w:after="80" w:before="200"/>
      </w:pPr>
      <w:r>
        <w:rPr>
          <w:rFonts w:ascii="Arial" w:cs="Arial" w:eastAsia="Arial" w:hAnsi="Arial"/>
          <w:b/>
          <w:bCs/>
          <w:sz w:val="24"/>
          <w:szCs w:val="24"/>
        </w:rPr>
        <w:t xml:space="preserve">3.4.3. ClimateBERT Semantic Validation Layer (T1-CB)</w:t>
      </w:r>
    </w:p>
    <w:p>
      <w:pPr>
        <w:spacing w:after="160" w:before="0"/>
        <w:jc w:val="both"/>
      </w:pPr>
      <w:r>
        <w:rPr>
          <w:rFonts w:ascii="Arial" w:cs="Arial" w:eastAsia="Arial" w:hAnsi="Arial"/>
          <w:sz w:val="24"/>
          <w:szCs w:val="24"/>
        </w:rPr>
        <w:t xml:space="preserve">ClimateBERT — a DistilRoBERTa model pre-trained on climate-focused text including climate news, policies, and corporate reports — is applied as an external semantic validator rather than a primary classifier. Its role is to determine whether extracted ESG records classified as commitments or environmental claims also exhibit climate-related semantic signals under an independent model architecture. This cross-model validation is particularly valuable because ClimateBERT was not trained on the same data or with the same objectives as the LLM extraction layer, making any agreement between the two systems a meaningful convergence signal. Key ClimateBERT label categories applied include: climate-commitment, climate-d (climate disclosure), environmental-claims, governance, and none.</w:t>
      </w:r>
    </w:p>
    <w:p>
      <w:pPr>
        <w:spacing w:after="160" w:before="0"/>
        <w:jc w:val="both"/>
      </w:pPr>
      <w:r>
        <w:rPr>
          <w:rFonts w:ascii="Arial" w:cs="Arial" w:eastAsia="Arial" w:hAnsi="Arial"/>
          <w:sz w:val="24"/>
          <w:szCs w:val="24"/>
        </w:rPr>
        <w:t xml:space="preserve">An important caveat is that ClimateBERT is not a direct tone classifier: it does not natively distinguish commitment, action, and outcome. It is therefore positioned as a validation and grounding tool rather than a primary labelling source.</w:t>
      </w:r>
    </w:p>
    <w:p>
      <w:pPr>
        <w:pStyle w:val="Heading3"/>
        <w:spacing w:after="80" w:before="200"/>
      </w:pPr>
      <w:r>
        <w:rPr>
          <w:rFonts w:ascii="Arial" w:cs="Arial" w:eastAsia="Arial" w:hAnsi="Arial"/>
          <w:b/>
          <w:bCs/>
          <w:sz w:val="24"/>
          <w:szCs w:val="24"/>
        </w:rPr>
        <w:t xml:space="preserve">3.4.4. LLM Extraction Layer (T2-LLM)</w:t>
      </w:r>
    </w:p>
    <w:p>
      <w:pPr>
        <w:spacing w:after="160" w:before="0"/>
        <w:jc w:val="both"/>
      </w:pPr>
      <w:r>
        <w:rPr>
          <w:rFonts w:ascii="Arial" w:cs="Arial" w:eastAsia="Arial" w:hAnsi="Arial"/>
          <w:sz w:val="24"/>
          <w:szCs w:val="24"/>
        </w:rPr>
        <w:t xml:space="preserve">The primary extraction layer uses large language models to generate structured JSON records from ESG page batches. Seven prompt templates are used, spanning zero-shot, few-shot, and chain-of-thought prompting strategies in both English and Indonesian. Each template enforces a fixed JSON schema with fields for: source text, ESG pillar, aspect term, tone type (commitment/action/outcome), sentiment label and score, extracted evidence spans, regulatory mapping hints (GRI/SASB/TCFD), and reasoning trace.</w:t>
      </w:r>
    </w:p>
    <w:p>
      <w:pPr>
        <w:spacing w:after="160" w:before="0"/>
        <w:jc w:val="both"/>
      </w:pPr>
      <w:r>
        <w:rPr>
          <w:rFonts w:ascii="Arial" w:cs="Arial" w:eastAsia="Arial" w:hAnsi="Arial"/>
          <w:sz w:val="24"/>
          <w:szCs w:val="24"/>
        </w:rPr>
        <w:t xml:space="preserve">Two LLM backends are used in the current empirical snapshot: arcee-ai/trinity-large-preview:free (90 runs) and openai/gpt-oss-120b:free (20 runs). This imbalance is acknowledged as a limitation for cross-model comparison; future work should equalise run distributions before drawing strong comparative conclusions. The 110 successful extraction runs produced 332 ESG records; failed runs (schema parse errors, API timeouts) are logged separately as diagnostic artefacts.</w:t>
      </w:r>
    </w:p>
    <w:p>
      <w:pPr>
        <w:spacing w:after="4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000"/>
        <w:gridCol w:w="540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Template ID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Prompting Strategy</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Language</w:t>
            </w:r>
          </w:p>
        </w:tc>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Key Design Feature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Zero-shot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English</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Direct instruction, strict JSON schema enforcement</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2"/>
                <w:szCs w:val="22"/>
              </w:rPr>
              <w:t xml:space="preserve">T2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2"/>
                <w:szCs w:val="22"/>
              </w:rPr>
              <w:t xml:space="preserve">Zero-shot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2"/>
                <w:szCs w:val="22"/>
              </w:rPr>
              <w:t xml:space="preserve">Indonesian</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2"/>
                <w:szCs w:val="22"/>
              </w:rPr>
              <w:t xml:space="preserve">Direct instruction with Indonesian regulatory lexicon hints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Few-shot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English</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Three ESG example records; stabilises schema adherence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2"/>
                <w:szCs w:val="22"/>
              </w:rPr>
              <w:t xml:space="preserve">T4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2"/>
                <w:szCs w:val="22"/>
              </w:rPr>
              <w:t xml:space="preserve">Few-shot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2"/>
                <w:szCs w:val="22"/>
              </w:rPr>
              <w:t xml:space="preserve">Indonesian</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2"/>
                <w:szCs w:val="22"/>
              </w:rPr>
              <w:t xml:space="preserve">Indonesian-language examples with bilingual aspect terms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Chain-of-thought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English</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Intermediate reasoning before structured JSON output</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2"/>
                <w:szCs w:val="22"/>
              </w:rPr>
              <w:t xml:space="preserve">T6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2"/>
                <w:szCs w:val="22"/>
              </w:rPr>
              <w:t xml:space="preserve">Chain-of-thought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2"/>
                <w:szCs w:val="22"/>
              </w:rPr>
              <w:t xml:space="preserve">Indonesian</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2"/>
                <w:szCs w:val="22"/>
              </w:rPr>
              <w:t xml:space="preserve">Reasoning in Indonesian; tests language-aligned CoT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Hybrid / data.md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Bilingual</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Structured page-batch context injection; highest granularity</w:t>
            </w:r>
          </w:p>
        </w:tc>
      </w:tr>
    </w:tbl>
    <w:p>
      <w:pPr>
        <w:spacing w:after="60" w:before="40"/>
      </w:pPr>
    </w:p>
    <w:p>
      <w:pPr>
        <w:spacing w:after="200" w:before="40"/>
        <w:jc w:val="center"/>
      </w:pPr>
      <w:r>
        <w:rPr>
          <w:rFonts w:ascii="Arial" w:cs="Arial" w:eastAsia="Arial" w:hAnsi="Arial"/>
          <w:i/>
          <w:iCs/>
          <w:color w:val="555555"/>
          <w:sz w:val="20"/>
          <w:szCs w:val="20"/>
        </w:rPr>
        <w:t xml:space="preserve">Table 3.2: Seven prompt templates used in the LLM extraction layer, with design characteristics.</w:t>
      </w:r>
    </w:p>
    <w:p>
      <w:pPr>
        <w:spacing w:after="160" w:before="0"/>
      </w:pPr>
    </w:p>
    <w:p>
      <w:pPr>
        <w:pStyle w:val="Heading2"/>
        <w:spacing w:after="120" w:before="280"/>
      </w:pPr>
      <w:r>
        <w:rPr>
          <w:rFonts w:ascii="Arial" w:cs="Arial" w:eastAsia="Arial" w:hAnsi="Arial"/>
          <w:b/>
          <w:bCs/>
          <w:sz w:val="28"/>
          <w:szCs w:val="28"/>
        </w:rPr>
        <w:t xml:space="preserve">3.5. Metrics Definition</w:t>
      </w:r>
    </w:p>
    <w:p>
      <w:pPr>
        <w:spacing w:after="160" w:before="0"/>
        <w:jc w:val="both"/>
      </w:pPr>
      <w:r>
        <w:rPr>
          <w:rFonts w:ascii="Arial" w:cs="Arial" w:eastAsia="Arial" w:hAnsi="Arial"/>
          <w:sz w:val="24"/>
          <w:szCs w:val="24"/>
        </w:rPr>
        <w:t xml:space="preserve">Metrics are defined at five levels corresponding to the pipeline layers:</w:t>
      </w:r>
    </w:p>
    <w:p>
      <w:pPr>
        <w:spacing w:after="160" w:before="0"/>
        <w:jc w:val="both"/>
      </w:pPr>
      <w:r>
        <w:rPr>
          <w:rFonts w:ascii="Arial" w:cs="Arial" w:eastAsia="Arial" w:hAnsi="Arial"/>
          <w:b/>
          <w:bCs/>
          <w:sz w:val="24"/>
          <w:szCs w:val="24"/>
        </w:rPr>
        <w:t xml:space="preserve">OCR Metrics: </w:t>
      </w:r>
      <w:r>
        <w:rPr>
          <w:rFonts w:ascii="Arial" w:cs="Arial" w:eastAsia="Arial" w:hAnsi="Arial"/>
          <w:sz w:val="24"/>
          <w:szCs w:val="24"/>
        </w:rPr>
        <w:t xml:space="preserve">Page coverage rate, document conversion success rate, extracted image count. Character error rate (CER) and table extraction accuracy are flagged as future metrics once manual annotation is available.</w:t>
      </w:r>
    </w:p>
    <w:p>
      <w:pPr>
        <w:spacing w:after="160" w:before="0"/>
        <w:jc w:val="both"/>
      </w:pPr>
      <w:r>
        <w:rPr>
          <w:rFonts w:ascii="Arial" w:cs="Arial" w:eastAsia="Arial" w:hAnsi="Arial"/>
          <w:b/>
          <w:bCs/>
          <w:sz w:val="24"/>
          <w:szCs w:val="24"/>
        </w:rPr>
        <w:t xml:space="preserve">Extraction Metrics: </w:t>
      </w:r>
      <w:r>
        <w:rPr>
          <w:rFonts w:ascii="Arial" w:cs="Arial" w:eastAsia="Arial" w:hAnsi="Arial"/>
          <w:sz w:val="24"/>
          <w:szCs w:val="24"/>
        </w:rPr>
        <w:t xml:space="preserve">JSON parse success rate, record count per run, field completion rate, missing tone rate, and schema drift rate. These metrics serve as pipeline health indicators in the current exploratory phase.</w:t>
      </w:r>
    </w:p>
    <w:p>
      <w:pPr>
        <w:spacing w:after="160" w:before="0"/>
        <w:jc w:val="both"/>
      </w:pPr>
      <w:r>
        <w:rPr>
          <w:rFonts w:ascii="Arial" w:cs="Arial" w:eastAsia="Arial" w:hAnsi="Arial"/>
          <w:b/>
          <w:bCs/>
          <w:sz w:val="24"/>
          <w:szCs w:val="24"/>
        </w:rPr>
        <w:t xml:space="preserve">ABSA Metrics: </w:t>
      </w:r>
      <w:r>
        <w:rPr>
          <w:rFonts w:ascii="Arial" w:cs="Arial" w:eastAsia="Arial" w:hAnsi="Arial"/>
          <w:sz w:val="24"/>
          <w:szCs w:val="24"/>
        </w:rPr>
        <w:t xml:space="preserve">Aspect precision, recall, and F1 score (pending expert annotation). In the current phase, ABSA outputs are used for cross-layer comparison rather than standalone evaluation.</w:t>
      </w:r>
    </w:p>
    <w:p>
      <w:pPr>
        <w:spacing w:after="160" w:before="0"/>
        <w:jc w:val="both"/>
      </w:pPr>
      <w:r>
        <w:rPr>
          <w:rFonts w:ascii="Arial" w:cs="Arial" w:eastAsia="Arial" w:hAnsi="Arial"/>
          <w:b/>
          <w:bCs/>
          <w:sz w:val="24"/>
          <w:szCs w:val="24"/>
        </w:rPr>
        <w:t xml:space="preserve">Cross-Model Agreement: </w:t>
      </w:r>
      <w:r>
        <w:rPr>
          <w:rFonts w:ascii="Arial" w:cs="Arial" w:eastAsia="Arial" w:hAnsi="Arial"/>
          <w:sz w:val="24"/>
          <w:szCs w:val="24"/>
        </w:rPr>
        <w:t xml:space="preserve">Cohen's kappa for categorical labels (ESG pillar, tone type, aspect term) across rule-based, ML, ClimateBERT, and LLM layers. Krippendorff's alpha for multi-label assignments.</w:t>
      </w:r>
    </w:p>
    <w:p>
      <w:pPr>
        <w:spacing w:after="160" w:before="0"/>
        <w:jc w:val="both"/>
      </w:pPr>
      <w:r>
        <w:rPr>
          <w:rFonts w:ascii="Arial" w:cs="Arial" w:eastAsia="Arial" w:hAnsi="Arial"/>
          <w:b/>
          <w:bCs/>
          <w:sz w:val="24"/>
          <w:szCs w:val="24"/>
        </w:rPr>
        <w:t xml:space="preserve">Greenwashing Index: </w:t>
      </w:r>
      <w:r>
        <w:rPr>
          <w:rFonts w:ascii="Arial" w:cs="Arial" w:eastAsia="Arial" w:hAnsi="Arial"/>
          <w:sz w:val="24"/>
          <w:szCs w:val="24"/>
        </w:rPr>
        <w:t xml:space="preserve">Heuristically defined as the commitment-to-outcome ratio per document or source target. A higher ratio may indicate over-emphasis on promises relative to demonstrated results, but this requires validation against expert labels or external ESG ratings before use as a definitive signal.</w:t>
      </w:r>
    </w:p>
    <w:p>
      <w:pPr>
        <w:pStyle w:val="Heading2"/>
        <w:spacing w:after="120" w:before="280"/>
      </w:pPr>
      <w:r>
        <w:rPr>
          <w:rFonts w:ascii="Arial" w:cs="Arial" w:eastAsia="Arial" w:hAnsi="Arial"/>
          <w:b/>
          <w:bCs/>
          <w:sz w:val="28"/>
          <w:szCs w:val="28"/>
        </w:rPr>
        <w:t xml:space="preserve">3.6. Benchmark and Ground Truth Design</w:t>
      </w:r>
    </w:p>
    <w:p>
      <w:pPr>
        <w:spacing w:after="160" w:before="0"/>
        <w:jc w:val="both"/>
      </w:pPr>
      <w:r>
        <w:rPr>
          <w:rFonts w:ascii="Arial" w:cs="Arial" w:eastAsia="Arial" w:hAnsi="Arial"/>
          <w:sz w:val="24"/>
          <w:szCs w:val="24"/>
        </w:rPr>
        <w:t xml:space="preserve">The benchmark design adopts JSON and JSONL-style persistence so that experiments can be resumed, audited, and compared across sessions. Each record in the benchmark schema contains: a stable unique identifier, source document name, page and batch reference, original text, predicted fields from each pipeline layer, ClimateBERT validation outputs, and reviewer notes where available.</w:t>
      </w:r>
    </w:p>
    <w:p>
      <w:pPr>
        <w:spacing w:after="160" w:before="0"/>
        <w:jc w:val="both"/>
      </w:pPr>
      <w:r>
        <w:rPr>
          <w:rFonts w:ascii="Arial" w:cs="Arial" w:eastAsia="Arial" w:hAnsi="Arial"/>
          <w:sz w:val="24"/>
          <w:szCs w:val="24"/>
        </w:rPr>
        <w:t xml:space="preserve">The current pipeline relies on weak labels because the corpus has not yet been fully annotated by domain experts. This is explicitly acknowledged as the central validity limitation. The proposed path toward a formal ground truth proceeds in three stages. In Stage 1, stratified sampling is applied across tone types, ESG pillars, source documents, and cross-model disagreement cases to create a priority annotation queue. In Stage 2, at least two annotators independently label each sampled record using a structured annotation guide based on the tone taxonomy (commitment/action/outcome) and ESG ontology paths, with inter-annotator agreement computed using Cohen's kappa. In Stage 3, iterative adjudication and guideline refinement are conducted until agreement exceeds κ = 0.70 (the standard threshold for acceptable annotation reliability in NLP tasks).</w:t>
      </w:r>
    </w:p>
    <w:p>
      <w:pPr>
        <w:spacing w:after="160" w:before="0"/>
        <w:jc w:val="both"/>
      </w:pPr>
      <w:r>
        <w:rPr>
          <w:rFonts w:ascii="Arial" w:cs="Arial" w:eastAsia="Arial" w:hAnsi="Arial"/>
          <w:sz w:val="24"/>
          <w:szCs w:val="24"/>
        </w:rPr>
        <w:t xml:space="preserve">Until this ground truth is available, the pipeline is positioned honestly as an exploratory benchmark-construction platform rather than a validated classification system. The diagnostic findings from the current empirical snapshot — including 61 missing tone records, 18 schema-drift cases, and social-pillar underrepresentation — are treated as actionable signals that will guide annotation priority and prompt refinement in subsequent research phases.</w:t>
      </w:r>
    </w:p>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2026-05-22T07:05:38.247Z</dcterms:created>
  <dcterms:modified xsi:type="dcterms:W3CDTF">2026-05-22T07:05:38.247Z</dcterms:modified>
</cp:coreProperties>
</file>

<file path=docProps/custom.xml><?xml version="1.0" encoding="utf-8"?>
<Properties xmlns="http://schemas.openxmlformats.org/officeDocument/2006/custom-properties" xmlns:vt="http://schemas.openxmlformats.org/officeDocument/2006/docPropsVTypes"/>
</file>