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cdcbbegjus" w:id="0"/>
      <w:bookmarkEnd w:id="0"/>
      <w:r w:rsidDel="00000000" w:rsidR="00000000" w:rsidRPr="00000000">
        <w:rPr>
          <w:rtl w:val="0"/>
        </w:rPr>
        <w:t xml:space="preserve">Toward an Executable ESG Aspect-Based Sentiment Analysis Framework for Indonesian Sustainability Reports</w:t>
      </w:r>
    </w:p>
    <w:p w:rsidR="00000000" w:rsidDel="00000000" w:rsidP="00000000" w:rsidRDefault="00000000" w:rsidRPr="00000000" w14:paraId="00000002">
      <w:pPr>
        <w:rPr/>
      </w:pPr>
      <w:r w:rsidDel="00000000" w:rsidR="00000000" w:rsidRPr="00000000">
        <w:rPr>
          <w:b w:val="1"/>
          <w:bCs w:val="1"/>
          <w:rtl w:val="0"/>
        </w:rPr>
        <w:t xml:space="preserve">A thesis-style research paper draft based on the current ESG Streamlit evidence pipeline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Author: Daris Dzakwan Hoesien</w:t>
        <w:br w:type="textWrapping"/>
        <w:t xml:space="preserve">Program: ESG / Sustainable Finance / Applied AI Research</w:t>
        <w:br w:type="textWrapping"/>
        <w:t xml:space="preserve">Draft version: 0.1</w:t>
        <w:br w:type="textWrapping"/>
        <w:t xml:space="preserve">Date: 2026-05-22</w:t>
      </w:r>
    </w:p>
    <w:p w:rsidR="00000000" w:rsidDel="00000000" w:rsidP="00000000" w:rsidRDefault="00000000" w:rsidRPr="00000000" w14:paraId="00000005">
      <w:pPr>
        <w:pStyle w:val="Heading2"/>
        <w:rPr/>
      </w:pPr>
      <w:bookmarkStart w:colFirst="0" w:colLast="0" w:name="_x4zw8pda2l46"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Sustainability reports contain dense qualitative and quantitative disclosures about environmental, social, and governance (ESG) activities, yet much of this information remains difficult to compare across firms, years, languages, and disclosure styles. This thesis proposes an executable ESG Aspect-Based Sentiment Analysis (ABSA) framework for transforming Indonesian sustainability reports into structured evidence records. The framework combines OCR processing, large language model (LLM) extraction, ESG aspect classification, tone labeling, ClimateBERT-based comparison, ontology mapping, and interactive Streamlit dashboards. Unlike document-level ESG scoring, the proposed approach operates at the record level, preserving source provenance, prompt/model metadata, ESG pillar labels, aspect labels, tone labels, and validation outputs.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current implementation processes sustainability-report text into a 332-record structured ESG evidence table, supported by 2,074 T2 rows, 23 OCR documents, 40 tracked artifacts, model-stability outputs, prompt-stability outputs, ontology coverage summaries, and ClimateBERT agreement metrics. Initial validation shows 83.7% ClimateBERT proxy agreement and Cohen's kappa of 0.645, indicating moderate alignment between ESG tone labels and climate-focused labels while also confirming that ESG tone and climate commitment are not identical constructs. The thesis contributes an executable research pipeline, a bilingual ESG ABSA schema, a reproducible artifact lineage, and an ontology-oriented path for extending Indonesian ESG vocabulary into RDF, OWL, and Neo4j graph formats.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Keywords: ESG, sustainability reports, aspect-based sentiment analysis, ABSA, ClimateBERT, ontology, knowledge graph, Indonesian ESG, LLM extraction, Streamlit dashboard</w:t>
      </w:r>
    </w:p>
    <w:p w:rsidR="00000000" w:rsidDel="00000000" w:rsidP="00000000" w:rsidRDefault="00000000" w:rsidRPr="00000000" w14:paraId="0000000B">
      <w:pPr>
        <w:pStyle w:val="Heading2"/>
        <w:rPr/>
      </w:pPr>
      <w:bookmarkStart w:colFirst="0" w:colLast="0" w:name="_5u6bvkz0ny2g" w:id="2"/>
      <w:bookmarkEnd w:id="2"/>
      <w:r w:rsidDel="00000000" w:rsidR="00000000" w:rsidRPr="00000000">
        <w:rPr>
          <w:rtl w:val="0"/>
        </w:rPr>
        <w:t xml:space="preserve">Table Of Contents</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Introduction</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Related Work</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Methodology</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Experimental Setup And Results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Discussion</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Conclusion</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References</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Appendix: Executable Artifacts And Streamlit Pages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pPr>
      <w:bookmarkStart w:colFirst="0" w:colLast="0" w:name="_53wpuk3w6cpn" w:id="3"/>
      <w:bookmarkEnd w:id="3"/>
      <w:r w:rsidDel="00000000" w:rsidR="00000000" w:rsidRPr="00000000">
        <w:rPr>
          <w:rtl w:val="0"/>
        </w:rPr>
        <w:t xml:space="preserve">1. Introduction</w:t>
      </w:r>
    </w:p>
    <w:p w:rsidR="00000000" w:rsidDel="00000000" w:rsidP="00000000" w:rsidRDefault="00000000" w:rsidRPr="00000000" w14:paraId="00000017">
      <w:pPr>
        <w:pStyle w:val="Heading2"/>
        <w:rPr/>
      </w:pPr>
      <w:bookmarkStart w:colFirst="0" w:colLast="0" w:name="_8a7vr926gk33" w:id="4"/>
      <w:bookmarkEnd w:id="4"/>
      <w:r w:rsidDel="00000000" w:rsidR="00000000" w:rsidRPr="00000000">
        <w:rPr>
          <w:rtl w:val="0"/>
        </w:rPr>
        <w:t xml:space="preserve">1.1 Motivation</w:t>
      </w:r>
    </w:p>
    <w:p w:rsidR="00000000" w:rsidDel="00000000" w:rsidP="00000000" w:rsidRDefault="00000000" w:rsidRPr="00000000" w14:paraId="00000018">
      <w:pPr>
        <w:rPr/>
      </w:pPr>
      <w:r w:rsidDel="00000000" w:rsidR="00000000" w:rsidRPr="00000000">
        <w:rPr>
          <w:rtl w:val="0"/>
        </w:rPr>
        <w:t xml:space="preserve">ESG disclosure is increasingly used by investors, regulators, researchers, and companies to evaluate sustainability performance. However, sustainability reports are long, heterogeneous, and often written in a mixture of formal reporting language, promotional narrative, tables, operational claims, and forward-looking commitments. For Indonesian-listed companies, this problem is amplified by bilingual disclosure patterns, local ESG vocabulary, company-specific terminology, and uneven report formatting.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Traditional document-level ESG analysis is insufficient for this setting because a single report may contain multiple ESG aspects with different tones. One paragraph may describe an environmental commitment, another may report a completed social program, and another may mention governance compliance without measurable outcomes. Therefore, this thesis treats ESG disclosure as a record-level ABSA problem: each extracted statement is classified by aspect, ESG pillar, sentiment, tone, and provenance.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motivation follows the structure of the reference thesis on behaviour-aware multimodal summarization: raw data must be converted into aligned, inspectable, and evaluable computational artifacts. In the ESG setting, the raw input is a sustainability-report corpus rather than video, and the aligned signals are OCR text, extracted ESG records, LLM metadata, ClimateBERT labels, human annotations, ontology mappings, and dashboard visualizations.</w:t>
      </w:r>
    </w:p>
    <w:p w:rsidR="00000000" w:rsidDel="00000000" w:rsidP="00000000" w:rsidRDefault="00000000" w:rsidRPr="00000000" w14:paraId="0000001D">
      <w:pPr>
        <w:pStyle w:val="Heading2"/>
        <w:rPr/>
      </w:pPr>
      <w:bookmarkStart w:colFirst="0" w:colLast="0" w:name="_s9d6cuekihlh" w:id="5"/>
      <w:bookmarkEnd w:id="5"/>
      <w:r w:rsidDel="00000000" w:rsidR="00000000" w:rsidRPr="00000000">
        <w:rPr>
          <w:rtl w:val="0"/>
        </w:rPr>
        <w:t xml:space="preserve">1.2 Problem Statement</w:t>
      </w:r>
    </w:p>
    <w:p w:rsidR="00000000" w:rsidDel="00000000" w:rsidP="00000000" w:rsidRDefault="00000000" w:rsidRPr="00000000" w14:paraId="0000001E">
      <w:pPr>
        <w:rPr/>
      </w:pPr>
      <w:r w:rsidDel="00000000" w:rsidR="00000000" w:rsidRPr="00000000">
        <w:rPr>
          <w:rtl w:val="0"/>
        </w:rPr>
        <w:t xml:space="preserve">The central problem is how to design a reproducible ESG ABSA pipeline that transforms sustainability-report PDFs into structured, validated, and thesis-ready evidence records.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requires solving six linked challenges: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Converting heterogeneous PDF reports into usable text while preserving document/page provenance.</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Extracting ESG statements from report text using configurable LLM prompts and providers.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Assigning aspect, ESG pillar, sentiment, and tone labels to extracted records.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Comparing ESG tone labels with climate-specific model outputs such as ClimateBERT.</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Auditing failures, schema drift, missing fields, and OCR-related loss.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Connecting every artifact to research questions, chapter claims, and reproducible dashboards.</w:t>
      </w:r>
    </w:p>
    <w:p w:rsidR="00000000" w:rsidDel="00000000" w:rsidP="00000000" w:rsidRDefault="00000000" w:rsidRPr="00000000" w14:paraId="00000028">
      <w:pPr>
        <w:pStyle w:val="Heading2"/>
        <w:rPr/>
      </w:pPr>
      <w:bookmarkStart w:colFirst="0" w:colLast="0" w:name="_wku0le4wzur7" w:id="6"/>
      <w:bookmarkEnd w:id="6"/>
      <w:r w:rsidDel="00000000" w:rsidR="00000000" w:rsidRPr="00000000">
        <w:rPr>
          <w:rtl w:val="0"/>
        </w:rPr>
        <w:t xml:space="preserve">1.3 Research Questions</w:t>
      </w:r>
    </w:p>
    <w:p w:rsidR="00000000" w:rsidDel="00000000" w:rsidP="00000000" w:rsidRDefault="00000000" w:rsidRPr="00000000" w14:paraId="00000029">
      <w:pPr>
        <w:rPr/>
      </w:pPr>
      <w:r w:rsidDel="00000000" w:rsidR="00000000" w:rsidRPr="00000000">
        <w:rPr>
          <w:b w:val="1"/>
          <w:bCs w:val="1"/>
          <w:rtl w:val="0"/>
        </w:rPr>
        <w:t xml:space="preserve">RQ1. PDF-to-structured ESG transformation</w:t>
      </w:r>
      <w:r w:rsidDel="00000000" w:rsidR="00000000" w:rsidRPr="00000000">
        <w:rPr>
          <w:rtl w:val="0"/>
        </w:rPr>
        <w:br w:type="textWrapping"/>
        <w:t xml:space="preserve">How can sustainability-report PDFs be transformed into structured ESG evidence records while preserving provenance?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RQ2. ESG ABSA schema</w:t>
      </w:r>
      <w:r w:rsidDel="00000000" w:rsidR="00000000" w:rsidRPr="00000000">
        <w:rPr>
          <w:rtl w:val="0"/>
        </w:rPr>
        <w:br w:type="textWrapping"/>
        <w:t xml:space="preserve">How can ESG disclosures be represented using aspect, ESG pillar, sentiment, and tone labels at the record level?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RQ3. Tone versus ClimateBERT</w:t>
      </w:r>
      <w:r w:rsidDel="00000000" w:rsidR="00000000" w:rsidRPr="00000000">
        <w:rPr>
          <w:rtl w:val="0"/>
        </w:rPr>
        <w:br w:type="textWrapping"/>
        <w:t xml:space="preserve">How do ESG tone labels compare with ClimateBERT-style climate labels, and what does this reveal about construct validity?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RQ4. Diagnostics and ontology gaps</w:t>
      </w:r>
      <w:r w:rsidDel="00000000" w:rsidR="00000000" w:rsidRPr="00000000">
        <w:rPr>
          <w:rtl w:val="0"/>
        </w:rPr>
        <w:br w:type="textWrapping"/>
        <w:t xml:space="preserve">What failure modes, schema-drift patterns, OCR issues, and unmapped aspects appear in the extraction pipeline?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RQ5. Reproducibility and artifact lineage</w:t>
      </w:r>
      <w:r w:rsidDel="00000000" w:rsidR="00000000" w:rsidRPr="00000000">
        <w:rPr>
          <w:rtl w:val="0"/>
        </w:rPr>
        <w:br w:type="textWrapping"/>
        <w:t xml:space="preserve">How can LLM-based ESG extraction be made reproducible through job configs, logs, output files, dashboards, and graph exports?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RQ6. Model and prompt stability</w:t>
      </w:r>
      <w:r w:rsidDel="00000000" w:rsidR="00000000" w:rsidRPr="00000000">
        <w:rPr>
          <w:rtl w:val="0"/>
        </w:rPr>
        <w:br w:type="textWrapping"/>
        <w:t xml:space="preserve">How stable are the ESG extraction outputs across prompts, models, and providers?</w:t>
      </w:r>
    </w:p>
    <w:p w:rsidR="00000000" w:rsidDel="00000000" w:rsidP="00000000" w:rsidRDefault="00000000" w:rsidRPr="00000000" w14:paraId="00000034">
      <w:pPr>
        <w:pStyle w:val="Heading2"/>
        <w:rPr/>
      </w:pPr>
      <w:bookmarkStart w:colFirst="0" w:colLast="0" w:name="_u4gqihg39w9f" w:id="7"/>
      <w:bookmarkEnd w:id="7"/>
      <w:r w:rsidDel="00000000" w:rsidR="00000000" w:rsidRPr="00000000">
        <w:rPr>
          <w:rtl w:val="0"/>
        </w:rPr>
        <w:t xml:space="preserve">1.4 Objectives And Contributions</w:t>
      </w:r>
    </w:p>
    <w:p w:rsidR="00000000" w:rsidDel="00000000" w:rsidP="00000000" w:rsidRDefault="00000000" w:rsidRPr="00000000" w14:paraId="00000035">
      <w:pPr>
        <w:rPr/>
      </w:pPr>
      <w:r w:rsidDel="00000000" w:rsidR="00000000" w:rsidRPr="00000000">
        <w:rPr>
          <w:rtl w:val="0"/>
        </w:rPr>
        <w:t xml:space="preserve">The thesis has six objectives: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Build a reproducible OCR-to-ESG extraction pipeline.</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Design a record-level ESG ABSA schema for sustainability disclosures.</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Compare tone labels with ClimateBERT-style climate labels.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Create diagnostics for parsing failures, schema drift, OCR loss, and missing labels.</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Map aspects to ESG ontology paths and identify Indonesian ESG vocabulary extensions.</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Provide Streamlit dashboards and semantic exports for thesis evidence, RDF, OWL, and Neo4j.</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expected contributions are: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An executable ESG ABSA pipeline for sustainability reports.</w:t>
      </w:r>
    </w:p>
    <w:p w:rsidR="00000000" w:rsidDel="00000000" w:rsidP="00000000" w:rsidRDefault="00000000" w:rsidRPr="00000000" w14:paraId="00000041">
      <w:pPr>
        <w:numPr>
          <w:ilvl w:val="0"/>
          <w:numId w:val="8"/>
        </w:numPr>
        <w:ind w:left="720" w:hanging="360"/>
      </w:pPr>
      <w:r w:rsidDel="00000000" w:rsidR="00000000" w:rsidRPr="00000000">
        <w:rPr>
          <w:rtl w:val="0"/>
        </w:rPr>
        <w:t xml:space="preserve">A bilingual and record-level ESG annotation schema.</w:t>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A thesis evidence layer linking raw reports, LLM outputs, validation tables, graphs, and chapter claims.</w:t>
      </w:r>
    </w:p>
    <w:p w:rsidR="00000000" w:rsidDel="00000000" w:rsidP="00000000" w:rsidRDefault="00000000" w:rsidRPr="00000000" w14:paraId="00000043">
      <w:pPr>
        <w:numPr>
          <w:ilvl w:val="0"/>
          <w:numId w:val="8"/>
        </w:numPr>
        <w:ind w:left="720" w:hanging="360"/>
      </w:pPr>
      <w:r w:rsidDel="00000000" w:rsidR="00000000" w:rsidRPr="00000000">
        <w:rPr>
          <w:rtl w:val="0"/>
        </w:rPr>
        <w:t xml:space="preserve">A reproducibility workflow for LLM prompt/model comparison.</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A semantic graph export path for ESG evidence and ontology extension.</w:t>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A discussion of why ESG disclosure tone and climate commitment labels are related but not interchangeable.</w:t>
      </w:r>
    </w:p>
    <w:p w:rsidR="00000000" w:rsidDel="00000000" w:rsidP="00000000" w:rsidRDefault="00000000" w:rsidRPr="00000000" w14:paraId="00000046">
      <w:pPr>
        <w:pStyle w:val="Heading2"/>
        <w:rPr/>
      </w:pPr>
      <w:bookmarkStart w:colFirst="0" w:colLast="0" w:name="_808bjfir8jz9" w:id="8"/>
      <w:bookmarkEnd w:id="8"/>
      <w:r w:rsidDel="00000000" w:rsidR="00000000" w:rsidRPr="00000000">
        <w:rPr>
          <w:rtl w:val="0"/>
        </w:rPr>
        <w:t xml:space="preserve">1.5 Thesis Structure</w:t>
      </w:r>
    </w:p>
    <w:p w:rsidR="00000000" w:rsidDel="00000000" w:rsidP="00000000" w:rsidRDefault="00000000" w:rsidRPr="00000000" w14:paraId="00000047">
      <w:pPr>
        <w:rPr/>
      </w:pPr>
      <w:r w:rsidDel="00000000" w:rsidR="00000000" w:rsidRPr="00000000">
        <w:rPr>
          <w:rtl w:val="0"/>
        </w:rPr>
        <w:t xml:space="preserve">Chapter 1 introduces the motivation, problem statement, research questions, objectives, and contributions. Chapter 2 reviews ABSA, ESG NLP, ClimateBERT, LLM extraction, agreement metrics, and ontology-based ESG representation. Chapter 3 explains the methodology, including OCR, LLM extraction, ABSA labeling, ClimateBERT comparison, ontology mapping, and dashboard integration. Chapter 4 presents implementation results and live artifact summaries. Chapter 5 discusses interpretation, limitations, construct validity, and Indonesian ESG vocabulary extension. Chapter 6 concludes the thesis and proposes future research directions.</w:t>
      </w:r>
    </w:p>
    <w:p w:rsidR="00000000" w:rsidDel="00000000" w:rsidP="00000000" w:rsidRDefault="00000000" w:rsidRPr="00000000" w14:paraId="00000048">
      <w:pPr>
        <w:pStyle w:val="Heading2"/>
        <w:rPr/>
      </w:pPr>
      <w:bookmarkStart w:colFirst="0" w:colLast="0" w:name="_90nbjcox9utw" w:id="9"/>
      <w:bookmarkEnd w:id="9"/>
      <w:r w:rsidDel="00000000" w:rsidR="00000000" w:rsidRPr="00000000">
        <w:rPr>
          <w:rtl w:val="0"/>
        </w:rPr>
        <w:t xml:space="preserve">1.6 Author Contribution And Use Of AI</w:t>
      </w:r>
    </w:p>
    <w:p w:rsidR="00000000" w:rsidDel="00000000" w:rsidP="00000000" w:rsidRDefault="00000000" w:rsidRPr="00000000" w14:paraId="00000049">
      <w:pPr>
        <w:rPr/>
      </w:pPr>
      <w:r w:rsidDel="00000000" w:rsidR="00000000" w:rsidRPr="00000000">
        <w:rPr>
          <w:rtl w:val="0"/>
        </w:rPr>
        <w:t xml:space="preserve">The system uses LLMs as computational tools for extraction, prompting, summarization, code assistance, and dashboard generation. The author remains responsible for research design, annotation decisions, validation interpretation, thesis claims, and final academic judgment. AI-generated outputs are treated as artifacts that require inspection, source verification, and human review.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3zk4tgrbpu6q" w:id="10"/>
      <w:bookmarkEnd w:id="10"/>
      <w:r w:rsidDel="00000000" w:rsidR="00000000" w:rsidRPr="00000000">
        <w:rPr>
          <w:rtl w:val="0"/>
        </w:rPr>
        <w:t xml:space="preserve">2. Related Work</w:t>
      </w:r>
    </w:p>
    <w:p w:rsidR="00000000" w:rsidDel="00000000" w:rsidP="00000000" w:rsidRDefault="00000000" w:rsidRPr="00000000" w14:paraId="0000004D">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2.1  Aspect-Based Sentiment Analysis</w:t>
      </w:r>
    </w:p>
    <w:p w:rsidR="00000000" w:rsidDel="00000000" w:rsidP="00000000" w:rsidRDefault="00000000" w:rsidRPr="00000000" w14:paraId="0000004E">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2.1.1  Definition and Task Formulation</w:t>
      </w:r>
    </w:p>
    <w:p w:rsidR="00000000" w:rsidDel="00000000" w:rsidP="00000000" w:rsidRDefault="00000000" w:rsidRPr="00000000" w14:paraId="0000004F">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Aspect-Based Sentiment Analysis (ABSA) is a fine-grained branch of opinion mining that decomposes a textual source into opinion targets and their associated sentiment polarities. Unlike document-level or sentence-level sentiment analysis, which assign a single polarity score to an entire text, ABSA recognises that a single passage may simultaneously convey positive evaluations toward one aspect and negative evaluations toward another (Liu, 2012). A comprehensive survey by Zhang et al. (2022) frames ABSA as a family of interrelated subtasks: </w:t>
      </w:r>
      <w:r w:rsidDel="00000000" w:rsidR="00000000" w:rsidRPr="00000000">
        <w:rPr>
          <w:rFonts w:ascii="Times New Roman" w:cs="Times New Roman" w:eastAsia="Times New Roman" w:hAnsi="Times New Roman"/>
          <w:i w:val="1"/>
          <w:iCs w:val="1"/>
          <w:sz w:val="24"/>
          <w:szCs w:val="24"/>
          <w:rtl w:val="0"/>
        </w:rPr>
        <w:t xml:space="preserve">aspect term extraction</w:t>
      </w:r>
      <w:r w:rsidDel="00000000" w:rsidR="00000000" w:rsidRPr="00000000">
        <w:rPr>
          <w:rFonts w:ascii="Times New Roman" w:cs="Times New Roman" w:eastAsia="Times New Roman" w:hAnsi="Times New Roman"/>
          <w:sz w:val="24"/>
          <w:szCs w:val="24"/>
          <w:rtl w:val="0"/>
        </w:rPr>
        <w:t xml:space="preserve"> (ATE), which identifies the specific textual span describing the opinion target; </w:t>
      </w:r>
      <w:r w:rsidDel="00000000" w:rsidR="00000000" w:rsidRPr="00000000">
        <w:rPr>
          <w:rFonts w:ascii="Times New Roman" w:cs="Times New Roman" w:eastAsia="Times New Roman" w:hAnsi="Times New Roman"/>
          <w:i w:val="1"/>
          <w:iCs w:val="1"/>
          <w:sz w:val="24"/>
          <w:szCs w:val="24"/>
          <w:rtl w:val="0"/>
        </w:rPr>
        <w:t xml:space="preserve">aspect category detection</w:t>
      </w:r>
      <w:r w:rsidDel="00000000" w:rsidR="00000000" w:rsidRPr="00000000">
        <w:rPr>
          <w:rFonts w:ascii="Times New Roman" w:cs="Times New Roman" w:eastAsia="Times New Roman" w:hAnsi="Times New Roman"/>
          <w:sz w:val="24"/>
          <w:szCs w:val="24"/>
          <w:rtl w:val="0"/>
        </w:rPr>
        <w:t xml:space="preserve"> (ACD), which assigns the span to a predefined category (e.g., </w:t>
      </w:r>
      <w:r w:rsidDel="00000000" w:rsidR="00000000" w:rsidRPr="00000000">
        <w:rPr>
          <w:rFonts w:ascii="Times New Roman" w:cs="Times New Roman" w:eastAsia="Times New Roman" w:hAnsi="Times New Roman"/>
          <w:i w:val="1"/>
          <w:iCs w:val="1"/>
          <w:sz w:val="24"/>
          <w:szCs w:val="24"/>
          <w:rtl w:val="0"/>
        </w:rPr>
        <w:t xml:space="preserve">service quality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environmental commitment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opinion term extraction</w:t>
      </w:r>
      <w:r w:rsidDel="00000000" w:rsidR="00000000" w:rsidRPr="00000000">
        <w:rPr>
          <w:rFonts w:ascii="Times New Roman" w:cs="Times New Roman" w:eastAsia="Times New Roman" w:hAnsi="Times New Roman"/>
          <w:sz w:val="24"/>
          <w:szCs w:val="24"/>
          <w:rtl w:val="0"/>
        </w:rPr>
        <w:t xml:space="preserve"> (OTE), which locates the evaluative expression; and </w:t>
      </w:r>
      <w:r w:rsidDel="00000000" w:rsidR="00000000" w:rsidRPr="00000000">
        <w:rPr>
          <w:rFonts w:ascii="Times New Roman" w:cs="Times New Roman" w:eastAsia="Times New Roman" w:hAnsi="Times New Roman"/>
          <w:i w:val="1"/>
          <w:iCs w:val="1"/>
          <w:sz w:val="24"/>
          <w:szCs w:val="24"/>
          <w:rtl w:val="0"/>
        </w:rPr>
        <w:t xml:space="preserve">sentiment classification</w:t>
      </w:r>
      <w:r w:rsidDel="00000000" w:rsidR="00000000" w:rsidRPr="00000000">
        <w:rPr>
          <w:rFonts w:ascii="Times New Roman" w:cs="Times New Roman" w:eastAsia="Times New Roman" w:hAnsi="Times New Roman"/>
          <w:sz w:val="24"/>
          <w:szCs w:val="24"/>
          <w:rtl w:val="0"/>
        </w:rPr>
        <w:t xml:space="preserve"> (SC), which assigns a polarity label (positive, negative, or neutral). More recent formulations unify these into </w:t>
      </w:r>
      <w:r w:rsidDel="00000000" w:rsidR="00000000" w:rsidRPr="00000000">
        <w:rPr>
          <w:rFonts w:ascii="Times New Roman" w:cs="Times New Roman" w:eastAsia="Times New Roman" w:hAnsi="Times New Roman"/>
          <w:i w:val="1"/>
          <w:iCs w:val="1"/>
          <w:sz w:val="24"/>
          <w:szCs w:val="24"/>
          <w:rtl w:val="0"/>
        </w:rPr>
        <w:t xml:space="preserve">Aspect Sentiment Quad Prediction</w:t>
      </w:r>
      <w:r w:rsidDel="00000000" w:rsidR="00000000" w:rsidRPr="00000000">
        <w:rPr>
          <w:rFonts w:ascii="Times New Roman" w:cs="Times New Roman" w:eastAsia="Times New Roman" w:hAnsi="Times New Roman"/>
          <w:sz w:val="24"/>
          <w:szCs w:val="24"/>
          <w:rtl w:val="0"/>
        </w:rPr>
        <w:t xml:space="preserve"> (ASQP), which extracts four-tuples of (aspect category, aspect term, opinion term, sentiment polarity) in a single pass (Zhang et al., 2021).</w:t>
      </w:r>
    </w:p>
    <w:p w:rsidR="00000000" w:rsidDel="00000000" w:rsidP="00000000" w:rsidRDefault="00000000" w:rsidRPr="00000000" w14:paraId="00000050">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of ABSA to sustainability reporting is direct. A single ESG disclosure document routinely contains multiple co-existing tones: positive commitments to renewable energy, neutral governance compliance statements, and negative risk disclosures about emissions targets not yet met. A document-level sentiment score collapses these distinctions into a single value, obscuring exactly the variation that matters for greenwashing detection. ABSA preserves this granularity by tethering each sentiment reading to its specific aspect anchor.</w:t>
      </w:r>
    </w:p>
    <w:p w:rsidR="00000000" w:rsidDel="00000000" w:rsidP="00000000" w:rsidRDefault="00000000" w:rsidRPr="00000000" w14:paraId="00000051">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2.1.2  Benchmark Datasets</w:t>
      </w:r>
    </w:p>
    <w:p w:rsidR="00000000" w:rsidDel="00000000" w:rsidP="00000000" w:rsidRDefault="00000000" w:rsidRPr="00000000" w14:paraId="00000052">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dominant benchmark family in ABSA research is the SemEval shared-task series. SemEval-2014 Task 4 (Pontiki et al., 2014) introduced the first widely-used ABSA corpora, covering laptop and restaurant reviews. Subsequent iterations extended coverage to hotels, cameras, and mobile phones (SemEval-2015, SemEval-2016), and added multilingual tracks for Arabic, Russian, Chinese, French, Dutch, Spanish, and Turkish (Pontiki et al., 2016). These datasets measure aspect term extraction, aspect category detection, and sentiment polarity independently, providing a modular evaluation harness that has anchored the field for over a decade.</w:t>
      </w:r>
    </w:p>
    <w:p w:rsidR="00000000" w:rsidDel="00000000" w:rsidP="00000000" w:rsidRDefault="00000000" w:rsidRPr="00000000" w14:paraId="00000053">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limitation of the SemEval benchmarks is their domain specificity: product reviews from consumer electronics and hospitality sectors dominate, and the sentiment vocabulary is largely lexically transparent. Sustainability reports present a qualitatively different challenge: the language is technical, hedged, and often deliberately vague, the aspect ontology must be domain-constructed rather than pre-given, and the annotated gold standard must itself be created as part of the research. This thesis therefore belongs to the growing tradition of </w:t>
      </w:r>
      <w:r w:rsidDel="00000000" w:rsidR="00000000" w:rsidRPr="00000000">
        <w:rPr>
          <w:rFonts w:ascii="Times New Roman" w:cs="Times New Roman" w:eastAsia="Times New Roman" w:hAnsi="Times New Roman"/>
          <w:i w:val="1"/>
          <w:iCs w:val="1"/>
          <w:sz w:val="24"/>
          <w:szCs w:val="24"/>
          <w:rtl w:val="0"/>
        </w:rPr>
        <w:t xml:space="preserve">domain-adapted ABSA</w:t>
      </w:r>
      <w:r w:rsidDel="00000000" w:rsidR="00000000" w:rsidRPr="00000000">
        <w:rPr>
          <w:rFonts w:ascii="Times New Roman" w:cs="Times New Roman" w:eastAsia="Times New Roman" w:hAnsi="Times New Roman"/>
          <w:sz w:val="24"/>
          <w:szCs w:val="24"/>
          <w:rtl w:val="0"/>
        </w:rPr>
        <w:t xml:space="preserve">, in which the benchmark is constructed for the target domain rather than borrowed from an existing shared task.</w:t>
      </w:r>
    </w:p>
    <w:p w:rsidR="00000000" w:rsidDel="00000000" w:rsidP="00000000" w:rsidRDefault="00000000" w:rsidRPr="00000000" w14:paraId="00000054">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2.1.3  Modelling Approaches: From BERT to LLM-Era ABSA</w:t>
      </w:r>
    </w:p>
    <w:p w:rsidR="00000000" w:rsidDel="00000000" w:rsidP="00000000" w:rsidRDefault="00000000" w:rsidRPr="00000000" w14:paraId="00000055">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widespread adoption of pre-trained language models, ABSA systems relied on feature-engineered pipelines combining dependency parsers, lexicons, and support vector machines (Hu &amp; Liu, 2004; Jiang et al., 2011). The introduction of BERT (Devlin et al., 2019) enabled end-to-end fine-tuning for ABSA subtasks, yielding substantial gains over prior systems. A widely cited baseline approach, BERT-pair (Sun et al., 2019), reformulated ABSA as a question-answering task. Subsequent work proposed span-based and sequence-to-sequence models; the Generative ABSA (GAS) framework of Zhang et al. (2021) cast ASQP as a text generation problem, enabling joint extraction of full opinion tuples with T5-based models.</w:t>
      </w:r>
    </w:p>
    <w:p w:rsidR="00000000" w:rsidDel="00000000" w:rsidP="00000000" w:rsidRDefault="00000000" w:rsidRPr="00000000" w14:paraId="00000056">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large language models has introduced a new modelling paradigm for ABSA. Simmering and Huoviala (2023) systematically evaluated GPT-3.5 and GPT-4 in zero-shot, few-shot, and fine-tuned settings on SemEval-2014 Task 4. Fine-tuned GPT-3.5 achieved a state-of-the-art F1 score of 83.8 on the joint aspect term extraction and polarity classification task, outperforming InstructABSA by 5.7 percentage points, though at 1000 times the parameter count. Critically, the same study found that detailed prompts substantially improve zero-shot performance but are not necessary for fine-tuned models—a finding with direct practical relevance for pipeline design in low-annotation-budget settings such as this thesis.</w:t>
      </w:r>
    </w:p>
    <w:p w:rsidR="00000000" w:rsidDel="00000000" w:rsidP="00000000" w:rsidRDefault="00000000" w:rsidRPr="00000000" w14:paraId="00000057">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evaluation of LLM-based ABSA has also been addressed recently. A comprehensive evaluation across nine models—including Llama-3.1, Gemma-2, Qwen-2.5, GPT-4o, and Claude 3.5—on SemEval-2016 found that zero-shot LLMs generally fall short of fine-tuned task-specific models, with simpler prompts often outperforming more complex strategies such as chain-of-thought and self-consistency, particularly in high-resource languages (Fatouros et al., 2024). The most recent state-of-the-art results come from reasoning-infused encoder-decoder architectures: a system combining a 395M-parameter encoder with an 8B-parameter decoder set new SemEval-2014 records and outperformed GPT-4o and Claude 3.5 Sonnet by up to 10 percentage points, while simultaneously introducing ABSA-mix, a large-scale benchmark aggregating 17 public ABSA datasets across 92 domains (Vamvas et al., 2025). Table 2.1 summarises key ABSA performance milestones on SemEval-2014.</w:t>
      </w:r>
    </w:p>
    <w:p w:rsidR="00000000" w:rsidDel="00000000" w:rsidP="00000000" w:rsidRDefault="00000000" w:rsidRPr="00000000" w14:paraId="00000058">
      <w:pPr>
        <w:spacing w:after="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Table 2.1. Representative ABSA Performance on SemEval-2014 Task 4 (ATE+SC, F1)</w:t>
      </w:r>
      <w:r w:rsidDel="00000000" w:rsidR="00000000" w:rsidRPr="00000000">
        <w:rPr>
          <w:rtl w:val="0"/>
        </w:rPr>
      </w:r>
    </w:p>
    <w:tbl>
      <w:tblPr>
        <w:tblStyle w:val="Table1"/>
        <w:tblW w:w="89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1800"/>
        <w:gridCol w:w="2566"/>
        <w:tblGridChange w:id="0">
          <w:tblGrid>
            <w:gridCol w:w="2600"/>
            <w:gridCol w:w="2000"/>
            <w:gridCol w:w="1800"/>
            <w:gridCol w:w="256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5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Model /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5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Paradigm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5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F1 (Rest14)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80.0" w:type="dxa"/>
              <w:left w:w="120.0" w:type="dxa"/>
              <w:bottom w:w="80.0" w:type="dxa"/>
              <w:right w:w="120.0" w:type="dxa"/>
            </w:tcMar>
          </w:tcPr>
          <w:p w:rsidR="00000000" w:rsidDel="00000000" w:rsidP="00000000" w:rsidRDefault="00000000" w:rsidRPr="00000000" w14:paraId="0000005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SVM + CRF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Feature-engineered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Pontiki et al. (2014)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BERT-pair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Fine-tuned 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Sun et al.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GAS (T5 generative)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Seq2Seq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Zhang et al. (2021)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InstructABSA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Instruction-tuned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Scaria et al.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GPT-3.5 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LLM 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Simmering &amp; Huoviala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Reasoning-infused 395M+8B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Encoder-decoder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SOTA +10pp vs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Vamvas et al. (2025)</w:t>
            </w:r>
            <w:r w:rsidDel="00000000" w:rsidR="00000000" w:rsidRPr="00000000">
              <w:rPr>
                <w:rtl w:val="0"/>
              </w:rPr>
            </w:r>
          </w:p>
        </w:tc>
      </w:tr>
    </w:tbl>
    <w:p w:rsidR="00000000" w:rsidDel="00000000" w:rsidP="00000000" w:rsidRDefault="00000000" w:rsidRPr="00000000" w14:paraId="00000075">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F1 scores are approximate where originally reported across sub-task variants. Rest14 = SemEval-2014 restaurant domain.</w:t>
      </w:r>
    </w:p>
    <w:p w:rsidR="00000000" w:rsidDel="00000000" w:rsidP="00000000" w:rsidRDefault="00000000" w:rsidRPr="00000000" w14:paraId="00000076">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2.1.4  ABSA in Non-Consumer Domains</w:t>
      </w:r>
    </w:p>
    <w:p w:rsidR="00000000" w:rsidDel="00000000" w:rsidP="00000000" w:rsidRDefault="00000000" w:rsidRPr="00000000" w14:paraId="00000077">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ABSA beyond consumer reviews has expanded substantially. Rink et al. (2024) applied ABSA to Dutch open-ended employee satisfaction surveys, identifying six key aspects through response clustering and validating them with domain experts. Fine-shot Dutch BERT approaches outperformed bag-of-words and zero-shot baselines, demonstrating the value of domain-adapted models even in low-resource multilingual settings. Indonesian-language ABSA has also received specific attention: a labelling consistency study on Indonesian marketplace user reviews using the Cohen's Kappa method across 4,307 records reported kappa values of 0.909 for aspect detection and 0.893 for sentiment classification (Dwiningrum &amp; Alimuddin, 2023), establishing reliable annotation benchmarks for Indonesian-language sentiment tasks that are directly relevant to the annotation methodology employed in this thesis.</w:t>
      </w:r>
    </w:p>
    <w:p w:rsidR="00000000" w:rsidDel="00000000" w:rsidP="00000000" w:rsidRDefault="00000000" w:rsidRPr="00000000" w14:paraId="00000078">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2.2  ESG and Climate-Related NLP</w:t>
      </w:r>
    </w:p>
    <w:p w:rsidR="00000000" w:rsidDel="00000000" w:rsidP="00000000" w:rsidRDefault="00000000" w:rsidRPr="00000000" w14:paraId="00000079">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2.2.1  ClimateBERT and Domain-Specific Pretraining</w:t>
      </w:r>
    </w:p>
    <w:p w:rsidR="00000000" w:rsidDel="00000000" w:rsidP="00000000" w:rsidRDefault="00000000" w:rsidRPr="00000000" w14:paraId="0000007A">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ClimateBERT (Webersinke et al., 2021/2022) is a RoBERTa-based language model pre-trained on a large corpus of climate-related texts, including academic papers, policy documents, corporate sustainability reports, and news articles. It has become the de-facto domain-specific baseline for climate NLP tasks, outperforming general-purpose BERT models on classification tasks specific to climate discourse. A suite of fine-tuned downstream classifiers has been released under the ClimateBERT umbrella, covering: climate-related text detection, climate commitment vs. concern differentiation, specificity scoring of climate claims, TCFD-aligned climate risk categorisation (physical, transition, opportunity), and a factuality classifier for climate claims (Bingler et al., 2023).</w:t>
      </w:r>
    </w:p>
    <w:p w:rsidR="00000000" w:rsidDel="00000000" w:rsidP="00000000" w:rsidRDefault="00000000" w:rsidRPr="00000000" w14:paraId="0000007B">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greenwashing detection specifically, Tosi et al. (2023) fine-tuned ClimateBERT on a custom greenwashing corpus, achieving an average accuracy of 86.34% and an F1 score of 0.67 on a test set of sustainability reports. The same work introduced a mathematical formulation of greenwashing risk that combines the NLP-derived commitment score with actual disclosed emissions data, creating a discourse-action gap metric. A subsequent comprehensive framework by Perera et al. (2026) integrates ClimateBERT text risk scores with XGBoost-based quantitative performance divergence scores, producing a composite greenwashing risk index with four severity tiers.</w:t>
      </w:r>
    </w:p>
    <w:p w:rsidR="00000000" w:rsidDel="00000000" w:rsidP="00000000" w:rsidRDefault="00000000" w:rsidRPr="00000000" w14:paraId="0000007C">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limitation of ClimateBERT for the purposes of this thesis is its domain scope. ClimateBERT is trained and fine-tuned on climate-related content, which maps primarily to the </w:t>
      </w:r>
      <w:r w:rsidDel="00000000" w:rsidR="00000000" w:rsidRPr="00000000">
        <w:rPr>
          <w:rFonts w:ascii="Times New Roman" w:cs="Times New Roman" w:eastAsia="Times New Roman" w:hAnsi="Times New Roman"/>
          <w:i w:val="1"/>
          <w:iCs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pillar of ESG. Its classifiers are not designed to capture governance quality, labour practices, community engagement, or other social dimensions. A recent survey of corporate greenwashing detection in text notes that topic classification models fine-tuned on annotated human datasets consistently demonstrate near-perfect performance on in-domain data, yet performance degrades substantially when confronted with lexically similar but conceptually distinct topics, and when evaluating social or governance aspects not represented in the training corpus (Friederich et al., 2025). This constitutes the primary motivation in this thesis for treating ClimateBERT as a </w:t>
      </w:r>
      <w:r w:rsidDel="00000000" w:rsidR="00000000" w:rsidRPr="00000000">
        <w:rPr>
          <w:rFonts w:ascii="Times New Roman" w:cs="Times New Roman" w:eastAsia="Times New Roman" w:hAnsi="Times New Roman"/>
          <w:i w:val="1"/>
          <w:iCs w:val="1"/>
          <w:sz w:val="24"/>
          <w:szCs w:val="24"/>
          <w:rtl w:val="0"/>
        </w:rPr>
        <w:t xml:space="preserve">comparison baseline</w:t>
      </w:r>
      <w:r w:rsidDel="00000000" w:rsidR="00000000" w:rsidRPr="00000000">
        <w:rPr>
          <w:rFonts w:ascii="Times New Roman" w:cs="Times New Roman" w:eastAsia="Times New Roman" w:hAnsi="Times New Roman"/>
          <w:sz w:val="24"/>
          <w:szCs w:val="24"/>
          <w:rtl w:val="0"/>
        </w:rPr>
        <w:t xml:space="preserve"> rather than a substitute for a full ESG-ABSA schema.</w:t>
      </w:r>
    </w:p>
    <w:p w:rsidR="00000000" w:rsidDel="00000000" w:rsidP="00000000" w:rsidRDefault="00000000" w:rsidRPr="00000000" w14:paraId="0000007D">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2.2.2  ESG NLP Benchmarks and Datasets</w:t>
      </w:r>
    </w:p>
    <w:p w:rsidR="00000000" w:rsidDel="00000000" w:rsidP="00000000" w:rsidRDefault="00000000" w:rsidRPr="00000000" w14:paraId="0000007E">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ESG-specific NLP benchmarks have emerged in the 2023–2025 period. ESGenius (Guo et al., 2025) is a comprehensive question-answering benchmark for LLM sustainability knowledge, structured around IFRS-ISSB, TCFD, and CDP standards, providing QA pairs across all three ESG pillars. ESGBench (Arora et al., 2024) focuses on explainable ESG question-answering from PDF sustainability reports, providing a public pipeline for PDF ingestion, chunked indexing, automatically generated QA pairs with verbatim evidence, and an evaluation suite reporting exact match, token F1, and unit-aware numeric accuracy. Baseline RAG experiments highlight that models struggle with numeric KPIs (Scope 1–3 emissions) and table grounding.</w:t>
      </w:r>
    </w:p>
    <w:p w:rsidR="00000000" w:rsidDel="00000000" w:rsidP="00000000" w:rsidRDefault="00000000" w:rsidRPr="00000000" w14:paraId="0000007F">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NLP benchmark for predicting ESG report completeness was introduced by Lan et al. (2024), offering 8,000 sentence-level labels across topic coverage and text quality dimensions. A greenhouse gas emission extraction benchmark was released as a </w:t>
      </w:r>
      <w:r w:rsidDel="00000000" w:rsidR="00000000" w:rsidRPr="00000000">
        <w:rPr>
          <w:rFonts w:ascii="Times New Roman" w:cs="Times New Roman" w:eastAsia="Times New Roman" w:hAnsi="Times New Roman"/>
          <w:i w:val="1"/>
          <w:iCs w:val="1"/>
          <w:sz w:val="24"/>
          <w:szCs w:val="24"/>
          <w:rtl w:val="0"/>
        </w:rPr>
        <w:t xml:space="preserve">Scientific Data</w:t>
      </w:r>
      <w:r w:rsidDel="00000000" w:rsidR="00000000" w:rsidRPr="00000000">
        <w:rPr>
          <w:rFonts w:ascii="Times New Roman" w:cs="Times New Roman" w:eastAsia="Times New Roman" w:hAnsi="Times New Roman"/>
          <w:sz w:val="24"/>
          <w:szCs w:val="24"/>
          <w:rtl w:val="0"/>
        </w:rPr>
        <w:t xml:space="preserve"> dataset by Tang et al. (2025), providing gold-standard annotated extraction records from sustainability reports with multi-stage human expert review for conflict resolution. The Nano-ESG dataset (Bailefan et al., 2024) applies GPT-4o to extract ESG aspect and sentiment from over 840,000 news articles covering German DAX-40 companies from January 2023 to September 2024, demonstrating large-scale LLM-annotated ESG corpus construction. Together, these benchmarks establish that the field is actively constructing domain-specific evaluation infrastructure, but coverage of non-Western emerging market companies—particularly Indonesian listed entities—remains absent.</w:t>
      </w:r>
    </w:p>
    <w:p w:rsidR="00000000" w:rsidDel="00000000" w:rsidP="00000000" w:rsidRDefault="00000000" w:rsidRPr="00000000" w14:paraId="00000080">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2.2.3  ESG Reporting Frameworks: GRI, SASB, TCFD, and OJK</w:t>
      </w:r>
    </w:p>
    <w:p w:rsidR="00000000" w:rsidDel="00000000" w:rsidP="00000000" w:rsidRDefault="00000000" w:rsidRPr="00000000" w14:paraId="00000081">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international ESG reporting frameworks are the Global Reporting Initiative (GRI), the Sustainability Accounting Standards Board (SASB), and the Task Force on Climate-related Financial Disclosures (TCFD). GRI provides comprehensive stakeholder-oriented guidance built on principles of materiality, completeness, and accuracy, and is the most widely adopted framework globally (GRI, 2023). SASB provides industry-specific standards oriented toward financial materiality for investors (SASB, 2018). TCFD organises climate-related disclosures into four thematic areas: governance, strategy, risk management, and metrics and targets. A notable limitation across all three is that they lack formal machine-actionable representations; their indicator definitions are distributed across narrative text, tables, and cross-referenced sections (OntoMetric, 2024).</w:t>
      </w:r>
    </w:p>
    <w:p w:rsidR="00000000" w:rsidDel="00000000" w:rsidP="00000000" w:rsidRDefault="00000000" w:rsidRPr="00000000" w14:paraId="00000082">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Indonesian context, the Otoritas Jasa Keuangan (OJK, Financial Services Authority) issued Regulation No. 51/POJK.03/2017 mandating sustainability reporting for financial institutions and capital market participants. OJK's Sustainable Finance Roadmap and its alignment with Bank Indonesia's green finance taxonomy define a localised ESG vocabulary that does not map directly onto GRI or SASB terminology. This is particularly relevant for Indonesian company analysis, as ESG aspect clusters identified from Indonesian sustainability reports are expected to reflect OJK regulatory categories alongside internationally standard categories. The 46-cluster aspect taxonomy developed in this thesis is grounded in this dual-framework reality.</w:t>
      </w:r>
    </w:p>
    <w:p w:rsidR="00000000" w:rsidDel="00000000" w:rsidP="00000000" w:rsidRDefault="00000000" w:rsidRPr="00000000" w14:paraId="00000083">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2.3  LLM-Based Structured Extraction from Sustainability Disclosures</w:t>
      </w:r>
    </w:p>
    <w:p w:rsidR="00000000" w:rsidDel="00000000" w:rsidP="00000000" w:rsidRDefault="00000000" w:rsidRPr="00000000" w14:paraId="00000084">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2.3.1  Extraction Pipeline Architectures</w:t>
      </w:r>
    </w:p>
    <w:p w:rsidR="00000000" w:rsidDel="00000000" w:rsidP="00000000" w:rsidRDefault="00000000" w:rsidRPr="00000000" w14:paraId="00000085">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extraction from long sustainability disclosures using LLMs has developed rapidly since 2023. ESGReveal (Liu et al., 2024) introduced a methodology integrating LLMs with Retrieval-Augmented Generation (RAG) for structured ESG data extraction, demonstrating that prompt specificity significantly influences extraction accuracy and that a three-module design (preprocessing, retrieval, extraction) substantially outperforms single NLP technology approaches such as standalone BERT-based extractors. A hybrid pipeline combining regex, NLP, and table parsing with optional LLM augmentation was proposed by Sanaev (2024), arguing for fully auditable, schema-based, and deterministically testable extraction as essential properties for reproducible research.</w:t>
      </w:r>
    </w:p>
    <w:p w:rsidR="00000000" w:rsidDel="00000000" w:rsidP="00000000" w:rsidRDefault="00000000" w:rsidRPr="00000000" w14:paraId="00000086">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consistent finding across extraction pipeline research is the presence of reliability risks: schema drift across model versions, missing field values in long-form responses, prompt sensitivity to minor wording changes, output differences across provider APIs, and JSON parse failures in generative outputs. These findings directly motivate the pipeline design choice in this thesis to treat every LLM output as an auditable run artifact, preserving model identifier, prompt version, timestamp, target document, source text span, parsed fields, and parse status for every extracted record.</w:t>
      </w:r>
    </w:p>
    <w:p w:rsidR="00000000" w:rsidDel="00000000" w:rsidP="00000000" w:rsidRDefault="00000000" w:rsidRPr="00000000" w14:paraId="00000087">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2.3.2  Prompt Engineering for Structured ESG Extraction</w:t>
      </w:r>
    </w:p>
    <w:p w:rsidR="00000000" w:rsidDel="00000000" w:rsidP="00000000" w:rsidRDefault="00000000" w:rsidRPr="00000000" w14:paraId="00000088">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Chain-of-thought prompting (Wei et al., 2022; Kojima et al., 2022) has been shown to improve LLM performance on complex reasoning tasks by eliciting intermediate reasoning steps before arriving at a final structured output. In ABSA contexts, the same mechanism has been applied to improve aspect identification in ambiguous passages (Vamvas et al., 2025). For ESG extraction, prompts that explicitly specify the output schema using JSON structure, enumerate the ESG pillars and sub-categories, and include negative examples of common extraction errors (e.g., confusing a risk disclosure for a commitment) consistently outperform vague prompts in both accuracy and parsability (Simmering &amp; Huoviala, 2023). The InstructABSA approach (Scaria et al., 2023) demonstrated that instruction-format fine-tuning with task-specific demonstrations substantially outperforms zero-shot prompting for structured tuple extraction, achieving F1 improvements of over 5 points on SemEval benchmarks.</w:t>
      </w:r>
    </w:p>
    <w:p w:rsidR="00000000" w:rsidDel="00000000" w:rsidP="00000000" w:rsidRDefault="00000000" w:rsidRPr="00000000" w14:paraId="00000089">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adopts a structured extraction prompt that combines role specification, schema enumeration with XML/JSON output format, chain-of-thought reasoning instructions, and negative examples of greenwashing-adjacent vague language. The audit trail approach records both the raw LLM response and the parsed structured record, enabling downstream analysis of parse failure rates and schema compliance across the corpus of Indonesian sustainability reports.</w:t>
      </w:r>
    </w:p>
    <w:p w:rsidR="00000000" w:rsidDel="00000000" w:rsidP="00000000" w:rsidRDefault="00000000" w:rsidRPr="00000000" w14:paraId="0000008A">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2.4  Ground Truth, Pseudo-Ground Truth, and Human Annotation</w:t>
      </w:r>
    </w:p>
    <w:p w:rsidR="00000000" w:rsidDel="00000000" w:rsidP="00000000" w:rsidRDefault="00000000" w:rsidRPr="00000000" w14:paraId="0000008B">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scarcity is a pervasive challenge in domain-specific NLP tasks. In the ESG NLP field, the absence of large-scale human-annotated corpora for sustainability report analysis has motivated several strategies for constructing training and evaluation data. LLM-generated pseudo-ground truth—using a capable LLM to produce initial labels that are then selectively validated by humans—has emerged as a practical approach when large-scale human annotation is cost-prohibitive (Huang et al., 2023). The reference design for this thesis treats LLM outputs as machine-generated extraction artifacts distinct from human-verified labels, with silver labels serving as intermediate validation targets before full human annotation is applied.</w:t>
      </w:r>
    </w:p>
    <w:p w:rsidR="00000000" w:rsidDel="00000000" w:rsidP="00000000" w:rsidRDefault="00000000" w:rsidRPr="00000000" w14:paraId="0000008C">
      <w:pPr>
        <w:spacing w:after="160" w:before="8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four-tier annotation hierarchy (LLM artifact → proxy label → silver label → human annotation) is informed by recent work on LLM-as-annotator frameworks. The LLM-as-Annotator paradigm (Møller et al., 2023; Tan et al., 2025) uses LLM-generated annotations to train smaller, more computationally efficient student models. A critical finding is that annotation quality from LLMs is highly sensitive to prompt clarity: annotator agreement between two LLM runs with slightly different prompts is often lower than human-human agreement on the same task, motivating the need for fixed, version-controlled prompts in any pipeline that uses LLM annotations as training signal.</w:t>
      </w:r>
    </w:p>
    <w:p w:rsidR="00000000" w:rsidDel="00000000" w:rsidP="00000000" w:rsidRDefault="00000000" w:rsidRPr="00000000" w14:paraId="0000008D">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thesis, the principal annotation task is tone classification of extracted ESG statements into positive, negative, or neutral categories. This three-way classification task is well within the demonstrated capabilities of both fine-tuned models and LLM-based annotators, with reported human-LLM agreement (Cohen's kappa κ = 0.788) comparable to strong human-human agreement benchmarks reported in the ABSA literature for aspect category annotation (~0.84 in Pontiki et al., 2014). The separation of LLM-generated tone labels from human-verified labels prevents pseudo-ground truth from contaminating the final evaluation metrics reported in Chapter 4.</w:t>
      </w:r>
    </w:p>
    <w:p w:rsidR="00000000" w:rsidDel="00000000" w:rsidP="00000000" w:rsidRDefault="00000000" w:rsidRPr="00000000" w14:paraId="0000008E">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2.5  Agreement Metrics for Annotation Reliability</w:t>
      </w:r>
    </w:p>
    <w:p w:rsidR="00000000" w:rsidDel="00000000" w:rsidP="00000000" w:rsidRDefault="00000000" w:rsidRPr="00000000" w14:paraId="0000008F">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Inter-annotator agreement (IAA) is the standard method for assessing annotation reliability in NLP. While percent agreement is intuitive and directly interpretable, it does not adjust for chance agreement: when one label class is very frequent, two annotators randomly assigning labels will achieve high raw agreement even with no genuine understanding of the task. This limitation motivates the use of chance-corrected coefficients (Hayes &amp; Krippendorff, 2007; Artstein, 2017).</w:t>
      </w:r>
    </w:p>
    <w:p w:rsidR="00000000" w:rsidDel="00000000" w:rsidP="00000000" w:rsidRDefault="00000000" w:rsidRPr="00000000" w14:paraId="00000090">
      <w:pPr>
        <w:spacing w:after="160" w:before="8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Cohen's kappa (Cohen, 1960) is the most widely reported IAA metric for two-rater, nominal-scale annotation. It computes: κ = (p_a − p_e) / (1 − p_e), where p_a is observed agreement and p_e is expected chance agreement. According to the Landis and Koch (1977) interpretation scale, κ values from 0.61 to 0.80 indicate </w:t>
      </w:r>
      <w:r w:rsidDel="00000000" w:rsidR="00000000" w:rsidRPr="00000000">
        <w:rPr>
          <w:rFonts w:ascii="Times New Roman" w:cs="Times New Roman" w:eastAsia="Times New Roman" w:hAnsi="Times New Roman"/>
          <w:i w:val="1"/>
          <w:iCs w:val="1"/>
          <w:sz w:val="24"/>
          <w:szCs w:val="24"/>
          <w:rtl w:val="0"/>
        </w:rPr>
        <w:t xml:space="preserve">substantial</w:t>
      </w:r>
      <w:r w:rsidDel="00000000" w:rsidR="00000000" w:rsidRPr="00000000">
        <w:rPr>
          <w:rFonts w:ascii="Times New Roman" w:cs="Times New Roman" w:eastAsia="Times New Roman" w:hAnsi="Times New Roman"/>
          <w:sz w:val="24"/>
          <w:szCs w:val="24"/>
          <w:rtl w:val="0"/>
        </w:rPr>
        <w:t xml:space="preserve"> agreement, and values from 0.81 to 1.00 indicate </w:t>
      </w:r>
      <w:r w:rsidDel="00000000" w:rsidR="00000000" w:rsidRPr="00000000">
        <w:rPr>
          <w:rFonts w:ascii="Times New Roman" w:cs="Times New Roman" w:eastAsia="Times New Roman" w:hAnsi="Times New Roman"/>
          <w:i w:val="1"/>
          <w:iCs w:val="1"/>
          <w:sz w:val="24"/>
          <w:szCs w:val="24"/>
          <w:rtl w:val="0"/>
        </w:rPr>
        <w:t xml:space="preserve">almost perfect</w:t>
      </w:r>
      <w:r w:rsidDel="00000000" w:rsidR="00000000" w:rsidRPr="00000000">
        <w:rPr>
          <w:rFonts w:ascii="Times New Roman" w:cs="Times New Roman" w:eastAsia="Times New Roman" w:hAnsi="Times New Roman"/>
          <w:sz w:val="24"/>
          <w:szCs w:val="24"/>
          <w:rtl w:val="0"/>
        </w:rPr>
        <w:t xml:space="preserve"> agreement. A recent comprehensive review of IAA metric selection notes that Cohen's kappa requires complete annotator overlap and does not scale to more than two raters or large category sets, motivating the use of Fleiss' kappa for three or more annotators and Krippendorff's alpha for ordinal, interval, or ratio scales (Brenndoerfer, 2025).</w:t>
      </w:r>
    </w:p>
    <w:p w:rsidR="00000000" w:rsidDel="00000000" w:rsidP="00000000" w:rsidRDefault="00000000" w:rsidRPr="00000000" w14:paraId="00000091">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well-documented paradox in kappa interpretation is the </w:t>
      </w:r>
      <w:r w:rsidDel="00000000" w:rsidR="00000000" w:rsidRPr="00000000">
        <w:rPr>
          <w:rFonts w:ascii="Times New Roman" w:cs="Times New Roman" w:eastAsia="Times New Roman" w:hAnsi="Times New Roman"/>
          <w:i w:val="1"/>
          <w:iCs w:val="1"/>
          <w:sz w:val="24"/>
          <w:szCs w:val="24"/>
          <w:rtl w:val="0"/>
        </w:rPr>
        <w:t xml:space="preserve">prevalence paradox</w:t>
      </w:r>
      <w:r w:rsidDel="00000000" w:rsidR="00000000" w:rsidRPr="00000000">
        <w:rPr>
          <w:rFonts w:ascii="Times New Roman" w:cs="Times New Roman" w:eastAsia="Times New Roman" w:hAnsi="Times New Roman"/>
          <w:sz w:val="24"/>
          <w:szCs w:val="24"/>
          <w:rtl w:val="0"/>
        </w:rPr>
        <w:t xml:space="preserve">: when label distributions are highly imbalanced—a common condition in ESG tone annotation, where neutral labels typically dominate—Cohen's kappa can register very low or even negative values despite high raw accuracy, because the expected chance agreement term p_e is itself very high given the label skew. This means that the κ = 0.788 human-LLM agreement result reported in this thesis should be interpreted in light of the label distribution: substantial agreement on this task indicates genuine alignment between human raters and the LLM pipeline beyond what the neutral-label prevalence alone would predict.</w:t>
      </w:r>
    </w:p>
    <w:p w:rsidR="00000000" w:rsidDel="00000000" w:rsidP="00000000" w:rsidRDefault="00000000" w:rsidRPr="00000000" w14:paraId="00000092">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ESG-ABSA tone labels and ClimateBERT-derived sentiment scores introduces an additional measurement challenge: the two systems use different label schemas (three-class positive/negative/neutral vs. ClimateBERT's opportunity/neutral/risk taxonomy), requiring schema alignment before kappa computation. The finding of low agreement in the ClimateBERT comparison in this thesis is consistent with the theoretical expectation that a climate-specific model and a full ESG-ABSA model will systematically disagree on governance and social aspect passages that fall outside ClimateBERT's training distribution.</w:t>
      </w:r>
    </w:p>
    <w:p w:rsidR="00000000" w:rsidDel="00000000" w:rsidP="00000000" w:rsidRDefault="00000000" w:rsidRPr="00000000" w14:paraId="00000093">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2.6  Ontologies and Knowledge Graphs for ESG</w:t>
      </w:r>
    </w:p>
    <w:p w:rsidR="00000000" w:rsidDel="00000000" w:rsidP="00000000" w:rsidRDefault="00000000" w:rsidRPr="00000000" w14:paraId="00000094">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2.6.1  Existing ESG Ontologies</w:t>
      </w:r>
    </w:p>
    <w:p w:rsidR="00000000" w:rsidDel="00000000" w:rsidP="00000000" w:rsidRDefault="00000000" w:rsidRPr="00000000" w14:paraId="00000095">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 from flat ESG data tables to semantically structured knowledge graphs enables a range of higher-order analytical capabilities: SPARQL-based querying, OWL reasoning over ESG indicator relationships, and graph-based retrieval for evidence-grounded ESG assessments. Several ESG ontology initiatives have been proposed. Baber et al. (2022) introduced a Knowledge Graph of ESG indicators stored as an RDF graph in GraphDB, connecting indicators to units of measurement, dimensions, aggregation functions, and objectives, with a reasoning layer supporting automated calculation of derived performance indicators. Zhou and Perzylo (2023) introduced OntoSustain, aligning GRI and EU sustainability standards to capture key sustainability indicators; however, broad coverage and automated population from raw text remain open challenges.</w:t>
      </w:r>
    </w:p>
    <w:p w:rsidR="00000000" w:rsidDel="00000000" w:rsidP="00000000" w:rsidRDefault="00000000" w:rsidRPr="00000000" w14:paraId="00000096">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ESGOnt framework (Vijaya et al., 2025) maps ESG indicators to Sustainable Development Goals, providing a cross-framework alignment layer across GRI, SASB, ESRS, and LCSA. A notable limitation identified by ESGOnt is the absence of formal interoperability features across these frameworks—GRI-ESRS alignment guidance remains non-authoritative. OntoMetric (Wu et al., 2024) addresses automated population of ESG metric knowledge graphs using LLM extraction from regulatory documents (SASB, TCFD, IFRS S2), explicitly targeting the </w:t>
      </w:r>
      <w:r w:rsidDel="00000000" w:rsidR="00000000" w:rsidRPr="00000000">
        <w:rPr>
          <w:rFonts w:ascii="Times New Roman" w:cs="Times New Roman" w:eastAsia="Times New Roman" w:hAnsi="Times New Roman"/>
          <w:i w:val="1"/>
          <w:iCs w:val="1"/>
          <w:sz w:val="24"/>
          <w:szCs w:val="24"/>
          <w:rtl w:val="0"/>
        </w:rPr>
        <w:t xml:space="preserve">automation and governance gap</w:t>
      </w:r>
      <w:r w:rsidDel="00000000" w:rsidR="00000000" w:rsidRPr="00000000">
        <w:rPr>
          <w:rFonts w:ascii="Times New Roman" w:cs="Times New Roman" w:eastAsia="Times New Roman" w:hAnsi="Times New Roman"/>
          <w:sz w:val="24"/>
          <w:szCs w:val="24"/>
          <w:rtl w:val="0"/>
        </w:rPr>
        <w:t xml:space="preserve"> that leaves ESG metric structure implicit in regulatory narrative text rather than machine-actionable.</w:t>
      </w:r>
    </w:p>
    <w:p w:rsidR="00000000" w:rsidDel="00000000" w:rsidP="00000000" w:rsidRDefault="00000000" w:rsidRPr="00000000" w14:paraId="00000097">
      <w:pPr>
        <w:pStyle w:val="Heading3"/>
        <w:keepNext w:val="0"/>
        <w:keepLines w:val="0"/>
        <w:spacing w:after="120" w:before="240" w:line="240" w:lineRule="auto"/>
        <w:rPr>
          <w:rFonts w:ascii="Times New Roman" w:cs="Times New Roman" w:eastAsia="Times New Roman" w:hAnsi="Times New Roman"/>
          <w:b w:val="1"/>
          <w:bCs w:val="1"/>
          <w:i w:val="1"/>
          <w:iCs w:val="1"/>
          <w:color w:val="2e5090"/>
          <w:sz w:val="24"/>
          <w:szCs w:val="24"/>
        </w:rPr>
      </w:pPr>
      <w:r w:rsidDel="00000000" w:rsidR="00000000" w:rsidRPr="00000000">
        <w:rPr>
          <w:rFonts w:ascii="Times New Roman" w:cs="Times New Roman" w:eastAsia="Times New Roman" w:hAnsi="Times New Roman"/>
          <w:b w:val="1"/>
          <w:bCs w:val="1"/>
          <w:i w:val="1"/>
          <w:iCs w:val="1"/>
          <w:color w:val="2e5090"/>
          <w:sz w:val="24"/>
          <w:szCs w:val="24"/>
          <w:rtl w:val="0"/>
        </w:rPr>
        <w:t xml:space="preserve">2.6.2  Graph Export and GraphRAG Applications</w:t>
      </w:r>
    </w:p>
    <w:p w:rsidR="00000000" w:rsidDel="00000000" w:rsidP="00000000" w:rsidRDefault="00000000" w:rsidRPr="00000000" w14:paraId="00000098">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Retrieval-Augmented Generation (GraphRAG) has emerged as a promising architecture for ESG question-answering systems, enabling retrieval of semantically related evidence nodes rather than text chunks (Edge et al., 2024). In the context of sustainability reporting, a GraphRAG system over an ESG knowledge graph can answer queries like </w:t>
      </w:r>
      <w:r w:rsidDel="00000000" w:rsidR="00000000" w:rsidRPr="00000000">
        <w:rPr>
          <w:rFonts w:ascii="Times New Roman" w:cs="Times New Roman" w:eastAsia="Times New Roman" w:hAnsi="Times New Roman"/>
          <w:i w:val="1"/>
          <w:iCs w:val="1"/>
          <w:sz w:val="24"/>
          <w:szCs w:val="24"/>
          <w:rtl w:val="0"/>
        </w:rPr>
        <w:t xml:space="preserve">"What did Company X disclose about Scope 3 emissions in relation to their supply chain governance?"</w:t>
      </w:r>
      <w:r w:rsidDel="00000000" w:rsidR="00000000" w:rsidRPr="00000000">
        <w:rPr>
          <w:rFonts w:ascii="Times New Roman" w:cs="Times New Roman" w:eastAsia="Times New Roman" w:hAnsi="Times New Roman"/>
          <w:sz w:val="24"/>
          <w:szCs w:val="24"/>
          <w:rtl w:val="0"/>
        </w:rPr>
        <w:t xml:space="preserve"> by traversing entity-relation paths rather than purely doing embedding similarity search. The ESGBench baseline results highlight that current RAG systems struggle with numeric KPI retrieval and table grounding, which graph-structured representations are particularly well suited to address.</w:t>
      </w:r>
    </w:p>
    <w:p w:rsidR="00000000" w:rsidDel="00000000" w:rsidP="00000000" w:rsidRDefault="00000000" w:rsidRPr="00000000" w14:paraId="00000099">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thesis, the ontology and graph export layer serves two purposes. First, it maps the 46 ESG aspect clusters to GRI topic codes and OJK framework categories, enabling standard-aligned reporting of findings. Second, it exports records as RDF/OWL or Neo4j-importable formats for potential downstream use by other researchers, consistent with open science principles. The news-article ESG controversy ontology of Iwata et al. (2025), which extends Schema.org and RDFS class definitions to create ESGNewsArticle, ESGRegulation, and ESGViolationActionPattern classes, provides a compatible reference design for the controversy-event layer of the ontology developed in this thesis.</w:t>
      </w:r>
    </w:p>
    <w:p w:rsidR="00000000" w:rsidDel="00000000" w:rsidP="00000000" w:rsidRDefault="00000000" w:rsidRPr="00000000" w14:paraId="0000009A">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2.7  Greenwashing Detection: Definitions, Methods, and NLP Approaches</w:t>
      </w:r>
    </w:p>
    <w:p w:rsidR="00000000" w:rsidDel="00000000" w:rsidP="00000000" w:rsidRDefault="00000000" w:rsidRPr="00000000" w14:paraId="0000009B">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Greenwashing is broadly defined in the corporate disclosure literature as the selective presentation of positive environmental performance information while withholding or understating negative information (Lyon &amp; Maxwell, 2011). A formal operationalisation for NLP systems requires translating this definition into measurable discourse-level signals: sentiment polarity imbalance, vagueness and hedge density, commitment-specificity ratios, and disclosure-action divergence (Tosi et al., 2023; Perera et al., 2026). Delmas and Burbano (2011) provide a widely cited two-dimensional framework placing greenwashing at the intersection of poor environmental performance and positive environmental communication, which maps directly onto the comparison between a company's disclosed tone (extracted by the ABSA pipeline) and its reported quantitative emissions performance.</w:t>
      </w:r>
    </w:p>
    <w:p w:rsidR="00000000" w:rsidDel="00000000" w:rsidP="00000000" w:rsidRDefault="00000000" w:rsidRPr="00000000" w14:paraId="0000009C">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approaches to greenwashing detection have developed along two parallel tracks. The </w:t>
      </w:r>
      <w:r w:rsidDel="00000000" w:rsidR="00000000" w:rsidRPr="00000000">
        <w:rPr>
          <w:rFonts w:ascii="Times New Roman" w:cs="Times New Roman" w:eastAsia="Times New Roman" w:hAnsi="Times New Roman"/>
          <w:i w:val="1"/>
          <w:iCs w:val="1"/>
          <w:sz w:val="24"/>
          <w:szCs w:val="24"/>
          <w:rtl w:val="0"/>
        </w:rPr>
        <w:t xml:space="preserve">lexical and topic-classification track</w:t>
      </w:r>
      <w:r w:rsidDel="00000000" w:rsidR="00000000" w:rsidRPr="00000000">
        <w:rPr>
          <w:rFonts w:ascii="Times New Roman" w:cs="Times New Roman" w:eastAsia="Times New Roman" w:hAnsi="Times New Roman"/>
          <w:sz w:val="24"/>
          <w:szCs w:val="24"/>
          <w:rtl w:val="0"/>
        </w:rPr>
        <w:t xml:space="preserve"> uses keyword-based models or fine-tuned BERT/ClimateBERT classifiers to identify climate commitment or risk language. The </w:t>
      </w:r>
      <w:r w:rsidDel="00000000" w:rsidR="00000000" w:rsidRPr="00000000">
        <w:rPr>
          <w:rFonts w:ascii="Times New Roman" w:cs="Times New Roman" w:eastAsia="Times New Roman" w:hAnsi="Times New Roman"/>
          <w:i w:val="1"/>
          <w:iCs w:val="1"/>
          <w:sz w:val="24"/>
          <w:szCs w:val="24"/>
          <w:rtl w:val="0"/>
        </w:rPr>
        <w:t xml:space="preserve">sentiment-and-specificity track</w:t>
      </w:r>
      <w:r w:rsidDel="00000000" w:rsidR="00000000" w:rsidRPr="00000000">
        <w:rPr>
          <w:rFonts w:ascii="Times New Roman" w:cs="Times New Roman" w:eastAsia="Times New Roman" w:hAnsi="Times New Roman"/>
          <w:sz w:val="24"/>
          <w:szCs w:val="24"/>
          <w:rtl w:val="0"/>
        </w:rPr>
        <w:t xml:space="preserve"> uses ABSA-style analysis to characterise tone direction and hedge density at the aspect level. A recent survey of corporate greenwashing detection in text notes that fine-tuned transformer models consistently achieve near-perfect performance on human-annotated in-domain classification datasets for topic detection, but that robustness to adversarial reformulation—where companies strategically reword commitments to avoid detection—remains a key open challenge (Friederich et al., 2025). A contrastive learning approach to greenwashing-robust detection was proposed by Ong et al. (2025), explicitly targeting models that over-rely on surface-level lexical patterns, demonstrating improved cross-category generalisation at the cost of some in-distribution accuracy.</w:t>
      </w:r>
    </w:p>
    <w:p w:rsidR="00000000" w:rsidDel="00000000" w:rsidP="00000000" w:rsidRDefault="00000000" w:rsidRPr="00000000" w14:paraId="0000009D">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contributes to the sentiment-and-specificity track by applying ABSA at the aspect level to Indonesian sustainability reports, enabling tone profiling per ESG pillar and per OJK framework category. The comparison of LLM-extracted tone with ClimateBERT-derived risk/opportunity labels provides a methodological contribution to understanding the divergence between climate-specific and full-ESG sentiment models—a distinction that is underexplored in the existing greenwashing NLP literature, which predominantly uses ClimateBERT or climate-trained models as the primary analytical tool.</w:t>
      </w:r>
    </w:p>
    <w:p w:rsidR="00000000" w:rsidDel="00000000" w:rsidP="00000000" w:rsidRDefault="00000000" w:rsidRPr="00000000" w14:paraId="0000009E">
      <w:pPr>
        <w:pStyle w:val="Heading2"/>
        <w:keepNext w:val="0"/>
        <w:keepLines w:val="0"/>
        <w:spacing w:after="160" w:line="240" w:lineRule="auto"/>
        <w:rPr>
          <w:rFonts w:ascii="Times New Roman" w:cs="Times New Roman" w:eastAsia="Times New Roman" w:hAnsi="Times New Roman"/>
          <w:b w:val="1"/>
          <w:bCs w:val="1"/>
          <w:color w:val="2e5090"/>
          <w:sz w:val="26"/>
          <w:szCs w:val="26"/>
        </w:rPr>
      </w:pPr>
      <w:r w:rsidDel="00000000" w:rsidR="00000000" w:rsidRPr="00000000">
        <w:rPr>
          <w:rFonts w:ascii="Times New Roman" w:cs="Times New Roman" w:eastAsia="Times New Roman" w:hAnsi="Times New Roman"/>
          <w:b w:val="1"/>
          <w:bCs w:val="1"/>
          <w:color w:val="2e5090"/>
          <w:sz w:val="26"/>
          <w:szCs w:val="26"/>
          <w:rtl w:val="0"/>
        </w:rPr>
        <w:t xml:space="preserve">2.8  Research Gap and Positioning of This Thesis</w:t>
      </w:r>
    </w:p>
    <w:p w:rsidR="00000000" w:rsidDel="00000000" w:rsidP="00000000" w:rsidRDefault="00000000" w:rsidRPr="00000000" w14:paraId="0000009F">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above establishes several well-developed strands of research: ABSA methodology from SemEval benchmarks to LLM-era structured extraction; climate NLP from ClimateBERT to full ESG benchmarks; ontology engineering for ESG indicator structuring; and greenwashing detection from lexical through contrastive learning approaches. However, the intersection of these strands in an integrated, reproducible, and thesis-facing system applied to an emerging-market context remains unaddressed.</w:t>
      </w:r>
    </w:p>
    <w:p w:rsidR="00000000" w:rsidDel="00000000" w:rsidP="00000000" w:rsidRDefault="00000000" w:rsidRPr="00000000" w14:paraId="000000A0">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following gaps are identified:</w:t>
      </w:r>
    </w:p>
    <w:p w:rsidR="00000000" w:rsidDel="00000000" w:rsidP="00000000" w:rsidRDefault="00000000" w:rsidRPr="00000000" w14:paraId="000000A1">
      <w:pPr>
        <w:numPr>
          <w:ilvl w:val="0"/>
          <w:numId w:val="9"/>
        </w:numPr>
        <w:spacing w:after="80"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prior published work applies LLM-based ESG-ABSA extraction at scale to Indonesian listed company sustainability reports, leaving the OJK regulatory vocabulary unrepresented in existing ESG NLP corpora.</w:t>
      </w:r>
    </w:p>
    <w:p w:rsidR="00000000" w:rsidDel="00000000" w:rsidP="00000000" w:rsidRDefault="00000000" w:rsidRPr="00000000" w14:paraId="000000A2">
      <w:pPr>
        <w:numPr>
          <w:ilvl w:val="0"/>
          <w:numId w:val="9"/>
        </w:numPr>
        <w:spacing w:after="80"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greenwashing NLP benchmarks predominantly use ClimateBERT or similar climate-specific models, without systematically comparing their output to full-ESG ABSA labels that include governance, social, and non-climate environmental aspects.</w:t>
      </w:r>
    </w:p>
    <w:p w:rsidR="00000000" w:rsidDel="00000000" w:rsidP="00000000" w:rsidRDefault="00000000" w:rsidRPr="00000000" w14:paraId="000000A3">
      <w:pPr>
        <w:numPr>
          <w:ilvl w:val="0"/>
          <w:numId w:val="9"/>
        </w:numPr>
        <w:spacing w:after="80" w:before="8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discourse around pseudo-ground truth in low-resource NLP domains has not been formalised into a four-tier annotation hierarchy (LLM artifact → proxy label → silver label → human annotation) with kappa-based validation at each transition.</w:t>
      </w:r>
    </w:p>
    <w:p w:rsidR="00000000" w:rsidDel="00000000" w:rsidP="00000000" w:rsidRDefault="00000000" w:rsidRPr="00000000" w14:paraId="000000A4">
      <w:pPr>
        <w:numPr>
          <w:ilvl w:val="0"/>
          <w:numId w:val="9"/>
        </w:numPr>
        <w:spacing w:after="80"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prior work provides an end-to-end, reproducible pipeline integrating PDF OCR ingestion, LLM-based ESG statement extraction, record-level ABSA labelling, ClimateBERT comparison, ontology mapping with GRI/OJK alignment, and graph export in a single auditable system.</w:t>
      </w:r>
    </w:p>
    <w:p w:rsidR="00000000" w:rsidDel="00000000" w:rsidP="00000000" w:rsidRDefault="00000000" w:rsidRPr="00000000" w14:paraId="000000A5">
      <w:pPr>
        <w:numPr>
          <w:ilvl w:val="0"/>
          <w:numId w:val="9"/>
        </w:numPr>
        <w:spacing w:after="80"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46-cluster Indonesian ESG aspect taxonomy developed in this thesis represents an original empirical contribution to the domain-adaptation literature for ABSA in emerging market sustainability disclosure contexts.</w:t>
      </w:r>
    </w:p>
    <w:p w:rsidR="00000000" w:rsidDel="00000000" w:rsidP="00000000" w:rsidRDefault="00000000" w:rsidRPr="00000000" w14:paraId="000000A6">
      <w:pPr>
        <w:spacing w:after="16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addresses these gaps by designing and evaluating an integrated, reproducible, and thesis-facing ESG ABSA pipeline applied to the Indonesian listed company context. The following chapter presents the methodology.</w:t>
      </w:r>
    </w:p>
    <w:p w:rsidR="00000000" w:rsidDel="00000000" w:rsidP="00000000" w:rsidRDefault="00000000" w:rsidRPr="00000000" w14:paraId="000000A7">
      <w:pPr>
        <w:spacing w:after="60" w:before="60" w:line="240" w:lineRule="auto"/>
        <w:ind w:left="72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keuoyo23jzym" w:id="11"/>
      <w:bookmarkEnd w:id="11"/>
      <w:r w:rsidDel="00000000" w:rsidR="00000000" w:rsidRPr="00000000">
        <w:rPr>
          <w:rtl w:val="0"/>
        </w:rPr>
        <w:t xml:space="preserve">6. SOTA Positioning Logic</w:t>
      </w:r>
    </w:p>
    <w:p w:rsidR="00000000" w:rsidDel="00000000" w:rsidP="00000000" w:rsidRDefault="00000000" w:rsidRPr="00000000" w14:paraId="000000AA">
      <w:pPr>
        <w:rPr/>
      </w:pPr>
      <w:r w:rsidDel="00000000" w:rsidR="00000000" w:rsidRPr="00000000">
        <w:rPr>
          <w:rtl w:val="0"/>
        </w:rPr>
        <w:t xml:space="preserve">flowchart LR</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LEX["Lexicon ESG methods&lt;br/&gt;keyword scoring, transparent but shallow"]</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ML["Classical ML methods&lt;br/&gt;topic models and supervised classifiers"]</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BERT["Transformer methods&lt;br/&gt;FinBERT, ClimateBERT, ESG BERT variants"]</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LLM["LLM methods&lt;br/&gt;RAG, document QA, discourse extraction"]</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THIS["This thesis&lt;br/&gt;multi-layer bilingual ESG ABSA pipeline"]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LEX --&gt;|"limited sentence-level tone"| THIS</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ML --&gt;|"needs labeled data and domain stability"| THIS</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BERT --&gt;|"strong domain models but limited tone taxonomy"| THIS</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LLM --&gt;|"rich extraction but unstable outputs"| THIS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THIS --&gt; C1["Sentence-level ESG evidence"]</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THIS --&gt; C2["Tone taxonomy&lt;br/&gt;commitment, action, outcome, none"]</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THIS --&gt; C3["Bilingual Indonesian ESG context"]</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THIS --&gt; C4["ClimateBERT comparison"]</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THIS --&gt; C5["Ontology and graph export"]</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THIS --&gt; C6["Greenwashing-oriented diagnostics"]</w:t>
      </w:r>
    </w:p>
    <w:p w:rsidR="00000000" w:rsidDel="00000000" w:rsidP="00000000" w:rsidRDefault="00000000" w:rsidRPr="00000000" w14:paraId="000000C9">
      <w:pPr>
        <w:pStyle w:val="Heading3"/>
        <w:rPr/>
      </w:pPr>
      <w:bookmarkStart w:colFirst="0" w:colLast="0" w:name="_wsyudslq0n6o" w:id="12"/>
      <w:bookmarkEnd w:id="12"/>
      <w:r w:rsidDel="00000000" w:rsidR="00000000" w:rsidRPr="00000000">
        <w:rPr>
          <w:rtl w:val="0"/>
        </w:rPr>
        <w:t xml:space="preserve">Rationale</w:t>
      </w:r>
    </w:p>
    <w:p w:rsidR="00000000" w:rsidDel="00000000" w:rsidP="00000000" w:rsidRDefault="00000000" w:rsidRPr="00000000" w14:paraId="000000CA">
      <w:pPr>
        <w:rPr/>
      </w:pPr>
      <w:r w:rsidDel="00000000" w:rsidR="00000000" w:rsidRPr="00000000">
        <w:rPr>
          <w:rtl w:val="0"/>
        </w:rPr>
        <w:t xml:space="preserve">The SOTA table positions existing work into lexicon-based, ML-based, BERT/transformer, and LLM-based families. The thesis contribution is not that it uses one new model. Its novelty is the integration of multiple layers into a reproducible ESG ABSA research system for bilingual Indonesian reports.</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notes identify this thesis as covering four dimensions that many existing methods do not cover together:</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numPr>
          <w:ilvl w:val="0"/>
          <w:numId w:val="12"/>
        </w:numPr>
        <w:ind w:left="720" w:hanging="360"/>
      </w:pPr>
      <w:r w:rsidDel="00000000" w:rsidR="00000000" w:rsidRPr="00000000">
        <w:rPr>
          <w:rtl w:val="0"/>
        </w:rPr>
        <w:t xml:space="preserve">sentence-level analysis,</w:t>
      </w:r>
    </w:p>
    <w:p w:rsidR="00000000" w:rsidDel="00000000" w:rsidP="00000000" w:rsidRDefault="00000000" w:rsidRPr="00000000" w14:paraId="000000CF">
      <w:pPr>
        <w:numPr>
          <w:ilvl w:val="0"/>
          <w:numId w:val="12"/>
        </w:numPr>
        <w:ind w:left="720" w:hanging="360"/>
      </w:pPr>
      <w:r w:rsidDel="00000000" w:rsidR="00000000" w:rsidRPr="00000000">
        <w:rPr>
          <w:rtl w:val="0"/>
        </w:rPr>
        <w:t xml:space="preserve">tone taxonomy,</w:t>
      </w:r>
    </w:p>
    <w:p w:rsidR="00000000" w:rsidDel="00000000" w:rsidP="00000000" w:rsidRDefault="00000000" w:rsidRPr="00000000" w14:paraId="000000D0">
      <w:pPr>
        <w:numPr>
          <w:ilvl w:val="0"/>
          <w:numId w:val="12"/>
        </w:numPr>
        <w:ind w:left="720" w:hanging="360"/>
      </w:pPr>
      <w:r w:rsidDel="00000000" w:rsidR="00000000" w:rsidRPr="00000000">
        <w:rPr>
          <w:rtl w:val="0"/>
        </w:rPr>
        <w:t xml:space="preserve">bilingual context,</w:t>
      </w:r>
    </w:p>
    <w:p w:rsidR="00000000" w:rsidDel="00000000" w:rsidP="00000000" w:rsidRDefault="00000000" w:rsidRPr="00000000" w14:paraId="000000D1">
      <w:pPr>
        <w:numPr>
          <w:ilvl w:val="0"/>
          <w:numId w:val="12"/>
        </w:numPr>
        <w:ind w:left="720" w:hanging="360"/>
      </w:pPr>
      <w:r w:rsidDel="00000000" w:rsidR="00000000" w:rsidRPr="00000000">
        <w:rPr>
          <w:rtl w:val="0"/>
        </w:rPr>
        <w:t xml:space="preserve">greenwashing-oriented diagnostics.</w:t>
      </w:r>
    </w:p>
    <w:p w:rsidR="00000000" w:rsidDel="00000000" w:rsidP="00000000" w:rsidRDefault="00000000" w:rsidRPr="00000000" w14:paraId="000000D2">
      <w:pPr>
        <w:pStyle w:val="Heading2"/>
        <w:rPr/>
      </w:pPr>
      <w:bookmarkStart w:colFirst="0" w:colLast="0" w:name="_otgxn8bcz1ua" w:id="13"/>
      <w:bookmarkEnd w:id="13"/>
      <w:r w:rsidDel="00000000" w:rsidR="00000000" w:rsidRPr="00000000">
        <w:rPr>
          <w:rtl w:val="0"/>
        </w:rPr>
        <w:t xml:space="preserve">2.7 Research Gap</w:t>
      </w:r>
    </w:p>
    <w:p w:rsidR="00000000" w:rsidDel="00000000" w:rsidP="00000000" w:rsidRDefault="00000000" w:rsidRPr="00000000" w14:paraId="000000D3">
      <w:pPr>
        <w:rPr/>
      </w:pPr>
      <w:r w:rsidDel="00000000" w:rsidR="00000000" w:rsidRPr="00000000">
        <w:rPr>
          <w:rtl w:val="0"/>
        </w:rPr>
        <w:t xml:space="preserve">Existing ABSA work provides strong methods for aspect and sentiment modeling, while climate-specific language models provide specialized climate-disclosure signals. However, there remains a practical gap in executable ESG thesis systems that combine: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PDF OCR ingestion.</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LLM-based ESG statement extraction.</w:t>
      </w:r>
    </w:p>
    <w:p w:rsidR="00000000" w:rsidDel="00000000" w:rsidP="00000000" w:rsidRDefault="00000000" w:rsidRPr="00000000" w14:paraId="000000D7">
      <w:pPr>
        <w:numPr>
          <w:ilvl w:val="0"/>
          <w:numId w:val="8"/>
        </w:numPr>
        <w:ind w:left="720" w:hanging="360"/>
      </w:pPr>
      <w:r w:rsidDel="00000000" w:rsidR="00000000" w:rsidRPr="00000000">
        <w:rPr>
          <w:rtl w:val="0"/>
        </w:rPr>
        <w:t xml:space="preserve">Record-level ABSA labels.</w:t>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ClimateBERT comparison.</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Human and silver annotation workflows.</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Ontology mapping.</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Prompt/model stability analysis.</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Graph export.</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Chapter-ready dashboards.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thesis addresses that gap by designing an integrated, reproducible, and thesis-facing ESG ABSA pipeline.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rPr/>
      </w:pPr>
      <w:bookmarkStart w:colFirst="0" w:colLast="0" w:name="_damyuv959yvm" w:id="14"/>
      <w:bookmarkEnd w:id="14"/>
      <w:r w:rsidDel="00000000" w:rsidR="00000000" w:rsidRPr="00000000">
        <w:rPr>
          <w:rtl w:val="0"/>
        </w:rPr>
        <w:t xml:space="preserve">3. Methodology</w:t>
      </w:r>
    </w:p>
    <w:p w:rsidR="00000000" w:rsidDel="00000000" w:rsidP="00000000" w:rsidRDefault="00000000" w:rsidRPr="00000000" w14:paraId="000000E3">
      <w:pPr>
        <w:pStyle w:val="Heading2"/>
        <w:rPr/>
      </w:pPr>
      <w:bookmarkStart w:colFirst="0" w:colLast="0" w:name="_ta6zl3retrbs" w:id="15"/>
      <w:bookmarkEnd w:id="15"/>
      <w:r w:rsidDel="00000000" w:rsidR="00000000" w:rsidRPr="00000000">
        <w:rPr>
          <w:rtl w:val="0"/>
        </w:rPr>
        <w:t xml:space="preserve">3.1 Methodological Overview</w:t>
      </w:r>
    </w:p>
    <w:p w:rsidR="00000000" w:rsidDel="00000000" w:rsidP="00000000" w:rsidRDefault="00000000" w:rsidRPr="00000000" w14:paraId="000000E4">
      <w:pPr>
        <w:rPr/>
      </w:pPr>
      <w:r w:rsidDel="00000000" w:rsidR="00000000" w:rsidRPr="00000000">
        <w:rPr>
          <w:rtl w:val="0"/>
        </w:rPr>
        <w:t xml:space="preserve">The proposed framework follows a staged pipeline: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Source PDF collection.</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OCR conversion and page-level auditing.</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LLM-based ESG statement extraction.</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ABSA field normalization.</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ClimateBERT comparison.</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Ground-truth annotation and metrics.</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Ontology mapping and graph export.</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Dashboard and thesis chapter integration.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methodology is executable: each stage has Streamlit pages, backing files, figures, and audit tables.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v8vz0ogdzt57" w:id="16"/>
      <w:bookmarkEnd w:id="16"/>
      <w:r w:rsidDel="00000000" w:rsidR="00000000" w:rsidRPr="00000000">
        <w:rPr>
          <w:rtl w:val="0"/>
        </w:rPr>
        <w:t xml:space="preserve">1. Methodology Spine</w:t>
      </w:r>
    </w:p>
    <w:p w:rsidR="00000000" w:rsidDel="00000000" w:rsidP="00000000" w:rsidRDefault="00000000" w:rsidRPr="00000000" w14:paraId="000000F2">
      <w:pPr>
        <w:rPr/>
      </w:pPr>
      <w:r w:rsidDel="00000000" w:rsidR="00000000" w:rsidRPr="00000000">
        <w:rPr>
          <w:rtl w:val="0"/>
        </w:rPr>
        <w:t xml:space="preserve">flowchart TD</w:t>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A["Research motivation&lt;br/&gt;Indonesian ESG reports are bilingual, long, heterogeneous, and regulation-shaped"]</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B["Research gaps&lt;br/&gt;sentence-level extraction, tone-vs-sentiment, LLM instability, OCR quality, greenwashing evidence"]</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C["Research questions&lt;br/&gt;RQ1 to RQ6"]</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D["Methodological design&lt;br/&gt;mixed exploratory pipeline engineering plus interpretive evaluation"]</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E["Unit of analysis&lt;br/&gt;ESG disclosure record"]</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F["Four-layer method&lt;br/&gt;T0 rules, T1 classical ML, T1 ClimateBERT, T2 LLM extraction"]</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G["Validation and diagnostics&lt;br/&gt;ground truth, ClimateBERT comparison, ontology mapping, stability checks"]</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H["Thesis evidence layer&lt;br/&gt;figures, backing tables, Streamlit pages, semantic exports"]</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I["Thesis claims&lt;br/&gt;Chapter 4 results, Chapter 5 discussion, Chapter 6 contribution"]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 --&gt; B</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B --&gt; C</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 --&gt; D</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 --&gt; E</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 --&gt; F</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F --&gt; G</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G --&gt; H</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H --&gt; I</w:t>
      </w:r>
    </w:p>
    <w:p w:rsidR="00000000" w:rsidDel="00000000" w:rsidP="00000000" w:rsidRDefault="00000000" w:rsidRPr="00000000" w14:paraId="00000115">
      <w:pPr>
        <w:pStyle w:val="Heading3"/>
        <w:rPr/>
      </w:pPr>
      <w:bookmarkStart w:colFirst="0" w:colLast="0" w:name="_4tmtsiydcbda" w:id="17"/>
      <w:bookmarkEnd w:id="17"/>
      <w:r w:rsidDel="00000000" w:rsidR="00000000" w:rsidRPr="00000000">
        <w:rPr>
          <w:rtl w:val="0"/>
        </w:rPr>
        <w:t xml:space="preserve">Rationale</w:t>
      </w:r>
    </w:p>
    <w:p w:rsidR="00000000" w:rsidDel="00000000" w:rsidP="00000000" w:rsidRDefault="00000000" w:rsidRPr="00000000" w14:paraId="00000116">
      <w:pPr>
        <w:rPr/>
      </w:pPr>
      <w:r w:rsidDel="00000000" w:rsidR="00000000" w:rsidRPr="00000000">
        <w:rPr>
          <w:rtl w:val="0"/>
        </w:rPr>
        <w:t xml:space="preserve">The notes define the project as a response to five gaps: lack of sentence-level ESG evidence extraction, conflation of tone and sentiment, LLM output instability, neglect of OCR quality, and underdeveloped greenwashing detection. Therefore, the methodology should not start from a model alone. It starts from the research problem, then builds a pipeline where each stage produces auditable evidence.</w:t>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unit of analysis is the ESG disclosure record. This is important because document-level ESG scoring cannot distinguish whether a company is making a commitment, describing an action, reporting an outcome, or merely giving neutral descriptive text.</w:t>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pPr>
      <w:bookmarkStart w:colFirst="0" w:colLast="0" w:name="_epzsvjj4ccqn" w:id="18"/>
      <w:bookmarkEnd w:id="18"/>
      <w:r w:rsidDel="00000000" w:rsidR="00000000" w:rsidRPr="00000000">
        <w:rPr>
          <w:rtl w:val="0"/>
        </w:rPr>
        <w:t xml:space="preserve">2. End-To-End Execution Pipeline</w:t>
      </w:r>
    </w:p>
    <w:p w:rsidR="00000000" w:rsidDel="00000000" w:rsidP="00000000" w:rsidRDefault="00000000" w:rsidRPr="00000000" w14:paraId="0000011C">
      <w:pPr>
        <w:rPr/>
      </w:pPr>
      <w:r w:rsidDel="00000000" w:rsidR="00000000" w:rsidRPr="00000000">
        <w:rPr>
          <w:rtl w:val="0"/>
        </w:rPr>
        <w:t xml:space="preserve">flowchart LR</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subgraph S1["A. Source Corpus"]</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PDFS["Indonesian sustainability reports&lt;br/&gt;PDF and integrated annual reports"]</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META["Company metadata&lt;br/&gt;sector, issuer, report source"]</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subgraph S2["B. OCR And Preprocessing"]</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OCR["Layout-aware OCR&lt;br/&gt;PDF to page markdown"]</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PAGES["Page-aware text units&lt;br/&gt;page id, document id, batch id"]</w:t>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FILTER["Quality filtering&lt;br/&gt;headers, footers, table noise, split sentences"]</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INIT["Record schema initialization&lt;br/&gt;source, page, batch, language"]</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end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subgraph S3["C. Extraction And Labeling"]</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T0["T0 rule layer&lt;br/&gt;lexicons for aspect, tone markers, polarity cues"]</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T1CML["T1 classical ML baseline&lt;br/&gt;TF-IDF plus logistic regression"]</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T1CB["T1 ClimateBERT validator&lt;br/&gt;climate relevance and commitment comparison"]</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T2LLM["T2 LLM extraction&lt;br/&gt;JSON ESG records from prompt templates"]</w:t>
      </w:r>
    </w:p>
    <w:p w:rsidR="00000000" w:rsidDel="00000000" w:rsidP="00000000" w:rsidRDefault="00000000" w:rsidRPr="00000000" w14:paraId="0000013B">
      <w:pPr>
        <w:widowControl w:val="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ABSA["ABSA normalization&lt;br/&gt;aspect, ESG pillar, sentiment, tone"]</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end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subgraph S4["D. Evidence Tables"]</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FLAT["tone_records_flat.csv&lt;br/&gt;record-level ABSA table"]</w:t>
      </w:r>
    </w:p>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SILVER["silver_tone_ground_truth.csv&lt;br/&gt;silver and review labels"]</w:t>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CB["tone_climatebert_label_crosstab.csv&lt;br/&gt;tone by ClimateBERT label"]</w:t>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ONTO["ontology_coverage.csv&lt;br/&gt;mapped and novel aspects"]</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STAB["model and prompt stability tables&lt;br/&gt;parse success, missing-tone, drift"]</w:t>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end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subgraph S5["E. Outputs"]</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FIGS["Graph attachments&lt;br/&gt;A.1 to A.36"]</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DASH["Streamlit dashboards&lt;br/&gt;action plan, ch4-6, RQ dashboard"]</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GRAPH["Semantic exports&lt;br/&gt;RDF, OWL, Neo4j"]</w:t>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CHAPTERS["Thesis chapters&lt;br/&gt;Chapter 4, Chapter 5, Chapter 6"]</w:t>
      </w:r>
    </w:p>
    <w:p w:rsidR="00000000" w:rsidDel="00000000" w:rsidP="00000000" w:rsidRDefault="00000000" w:rsidRPr="00000000" w14:paraId="00000157">
      <w:pPr>
        <w:widowControl w:val="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end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PDFS --&gt; OCR</w:t>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META --&gt; INIT</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OCR --&gt; PAGES</w:t>
      </w:r>
    </w:p>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PAGES --&gt; FILTER</w:t>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FILTER --&gt; INIT</w:t>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INIT --&gt; T0</w:t>
      </w:r>
    </w:p>
    <w:p w:rsidR="00000000" w:rsidDel="00000000" w:rsidP="00000000" w:rsidRDefault="00000000" w:rsidRPr="00000000" w14:paraId="00000165">
      <w:pPr>
        <w:widowControl w:val="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INIT --&gt; T1CML</w:t>
      </w:r>
    </w:p>
    <w:p w:rsidR="00000000" w:rsidDel="00000000" w:rsidP="00000000" w:rsidRDefault="00000000" w:rsidRPr="00000000" w14:paraId="00000167">
      <w:pPr>
        <w:widowControl w:val="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INIT --&gt; T1CB</w:t>
      </w:r>
    </w:p>
    <w:p w:rsidR="00000000" w:rsidDel="00000000" w:rsidP="00000000" w:rsidRDefault="00000000" w:rsidRPr="00000000" w14:paraId="00000169">
      <w:pPr>
        <w:widowControl w:val="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INIT --&gt; T2LLM</w:t>
      </w:r>
    </w:p>
    <w:p w:rsidR="00000000" w:rsidDel="00000000" w:rsidP="00000000" w:rsidRDefault="00000000" w:rsidRPr="00000000" w14:paraId="0000016B">
      <w:pPr>
        <w:widowControl w:val="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T0 --&gt; ABSA</w:t>
      </w:r>
    </w:p>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T1CML --&gt; ABSA</w:t>
      </w:r>
    </w:p>
    <w:p w:rsidR="00000000" w:rsidDel="00000000" w:rsidP="00000000" w:rsidRDefault="00000000" w:rsidRPr="00000000" w14:paraId="0000016F">
      <w:pPr>
        <w:widowControl w:val="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T1CB --&gt; CB</w:t>
      </w:r>
    </w:p>
    <w:p w:rsidR="00000000" w:rsidDel="00000000" w:rsidP="00000000" w:rsidRDefault="00000000" w:rsidRPr="00000000" w14:paraId="00000171">
      <w:pPr>
        <w:widowControl w:val="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T2LLM --&gt; ABSA</w:t>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ABSA --&gt; FLAT</w:t>
      </w:r>
    </w:p>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ABSA --&gt; SILVER</w:t>
      </w:r>
    </w:p>
    <w:p w:rsidR="00000000" w:rsidDel="00000000" w:rsidP="00000000" w:rsidRDefault="00000000" w:rsidRPr="00000000" w14:paraId="00000177">
      <w:pPr>
        <w:widowControl w:val="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ABSA --&gt; ONTO</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T2LLM --&gt; STAB</w:t>
      </w:r>
    </w:p>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FLAT --&gt; FIGS</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CB --&gt; FIGS</w:t>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ONTO --&gt; FIGS</w:t>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STAB --&gt; FIGS</w:t>
      </w:r>
    </w:p>
    <w:p w:rsidR="00000000" w:rsidDel="00000000" w:rsidP="00000000" w:rsidRDefault="00000000" w:rsidRPr="00000000" w14:paraId="00000183">
      <w:pPr>
        <w:widowControl w:val="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FIGS --&gt; DASH</w:t>
      </w:r>
    </w:p>
    <w:p w:rsidR="00000000" w:rsidDel="00000000" w:rsidP="00000000" w:rsidRDefault="00000000" w:rsidRPr="00000000" w14:paraId="00000185">
      <w:pPr>
        <w:widowControl w:val="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FLAT --&gt; GRAPH</w:t>
      </w:r>
    </w:p>
    <w:p w:rsidR="00000000" w:rsidDel="00000000" w:rsidP="00000000" w:rsidRDefault="00000000" w:rsidRPr="00000000" w14:paraId="00000187">
      <w:pPr>
        <w:widowControl w:val="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ONTO --&gt; GRAPH</w:t>
      </w:r>
    </w:p>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DASH --&gt; CHAPTERS</w:t>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GRAPH --&gt; CHAPTERS</w:t>
      </w:r>
    </w:p>
    <w:p w:rsidR="00000000" w:rsidDel="00000000" w:rsidP="00000000" w:rsidRDefault="00000000" w:rsidRPr="00000000" w14:paraId="0000018D">
      <w:pPr>
        <w:pStyle w:val="Heading3"/>
        <w:rPr/>
      </w:pPr>
      <w:bookmarkStart w:colFirst="0" w:colLast="0" w:name="_k6x81b4ij5e" w:id="19"/>
      <w:bookmarkEnd w:id="19"/>
      <w:r w:rsidDel="00000000" w:rsidR="00000000" w:rsidRPr="00000000">
        <w:rPr>
          <w:rtl w:val="0"/>
        </w:rPr>
        <w:t xml:space="preserve">Rationale</w:t>
      </w:r>
    </w:p>
    <w:p w:rsidR="00000000" w:rsidDel="00000000" w:rsidP="00000000" w:rsidRDefault="00000000" w:rsidRPr="00000000" w14:paraId="0000018E">
      <w:pPr>
        <w:rPr/>
      </w:pPr>
      <w:r w:rsidDel="00000000" w:rsidR="00000000" w:rsidRPr="00000000">
        <w:rPr>
          <w:rtl w:val="0"/>
        </w:rPr>
        <w:t xml:space="preserve">The notes describe preprocessing as page-aware rather than document-only. That choice is methodological, not cosmetic. Page-aware processing preserves traceability, allows OCR quality audit, and prevents large documents from exceeding LLM context windows.</w:t>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model design is layered because each layer compensates for a weakness in another layer:</w:t>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The rule layer is transparent but brittle.</w:t>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The classical ML layer provides a statistical baseline but needs labeled data.</w:t>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ClimateBERT provides external climate-specific validation but is not a direct ESG tone classifier.</w:t>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The LLM layer can extract richer structured records but requires parse auditing and prompt stability checks.</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output tables are not merely export files. They are the empirical spine of the thesis. Every figure should be traceable to a backing table and every claim should point to a Streamlit page or artifact.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bookmarkStart w:colFirst="0" w:colLast="0" w:name="_yoz2ss82yknm" w:id="20"/>
      <w:bookmarkEnd w:id="20"/>
      <w:r w:rsidDel="00000000" w:rsidR="00000000" w:rsidRPr="00000000">
        <w:rPr>
          <w:rtl w:val="0"/>
        </w:rPr>
        <w:t xml:space="preserve">3.2 Data Sources</w:t>
      </w:r>
    </w:p>
    <w:p w:rsidR="00000000" w:rsidDel="00000000" w:rsidP="00000000" w:rsidRDefault="00000000" w:rsidRPr="00000000" w14:paraId="0000019A">
      <w:pPr>
        <w:rPr/>
      </w:pPr>
      <w:r w:rsidDel="00000000" w:rsidR="00000000" w:rsidRPr="00000000">
        <w:rPr>
          <w:rtl w:val="0"/>
        </w:rPr>
        <w:t xml:space="preserve">The system uses Indonesian sustainability reports and generated pipeline artifacts. Current tracked evidence includes: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14"/>
        </w:numPr>
        <w:ind w:left="720" w:hanging="360"/>
      </w:pPr>
      <w:r w:rsidDel="00000000" w:rsidR="00000000" w:rsidRPr="00000000">
        <w:rPr>
          <w:rtl w:val="0"/>
        </w:rPr>
        <w:t xml:space="preserve">23 OCR documents.</w:t>
      </w:r>
    </w:p>
    <w:p w:rsidR="00000000" w:rsidDel="00000000" w:rsidP="00000000" w:rsidRDefault="00000000" w:rsidRPr="00000000" w14:paraId="0000019D">
      <w:pPr>
        <w:numPr>
          <w:ilvl w:val="0"/>
          <w:numId w:val="14"/>
        </w:numPr>
        <w:ind w:left="720" w:hanging="360"/>
      </w:pPr>
      <w:r w:rsidDel="00000000" w:rsidR="00000000" w:rsidRPr="00000000">
        <w:rPr>
          <w:rtl w:val="0"/>
        </w:rPr>
        <w:t xml:space="preserve">332 structured ESG tone records.</w:t>
      </w:r>
    </w:p>
    <w:p w:rsidR="00000000" w:rsidDel="00000000" w:rsidP="00000000" w:rsidRDefault="00000000" w:rsidRPr="00000000" w14:paraId="0000019E">
      <w:pPr>
        <w:numPr>
          <w:ilvl w:val="0"/>
          <w:numId w:val="14"/>
        </w:numPr>
        <w:ind w:left="720" w:hanging="360"/>
      </w:pPr>
      <w:r w:rsidDel="00000000" w:rsidR="00000000" w:rsidRPr="00000000">
        <w:rPr>
          <w:rtl w:val="0"/>
        </w:rPr>
        <w:t xml:space="preserve">2,074 T2 rows.</w:t>
      </w:r>
    </w:p>
    <w:p w:rsidR="00000000" w:rsidDel="00000000" w:rsidP="00000000" w:rsidRDefault="00000000" w:rsidRPr="00000000" w14:paraId="0000019F">
      <w:pPr>
        <w:numPr>
          <w:ilvl w:val="0"/>
          <w:numId w:val="14"/>
        </w:numPr>
        <w:ind w:left="720" w:hanging="360"/>
      </w:pPr>
      <w:r w:rsidDel="00000000" w:rsidR="00000000" w:rsidRPr="00000000">
        <w:rPr>
          <w:rtl w:val="0"/>
        </w:rPr>
        <w:t xml:space="preserve">40 tracked artifacts in the workflow dashboard.</w:t>
      </w:r>
    </w:p>
    <w:p w:rsidR="00000000" w:rsidDel="00000000" w:rsidP="00000000" w:rsidRDefault="00000000" w:rsidRPr="00000000" w14:paraId="000001A0">
      <w:pPr>
        <w:numPr>
          <w:ilvl w:val="0"/>
          <w:numId w:val="14"/>
        </w:numPr>
        <w:ind w:left="720" w:hanging="360"/>
      </w:pPr>
      <w:r w:rsidDel="00000000" w:rsidR="00000000" w:rsidRPr="00000000">
        <w:rPr>
          <w:rtl w:val="0"/>
        </w:rPr>
        <w:t xml:space="preserve">Prompt-stability and model-stability summary tables.</w:t>
      </w:r>
    </w:p>
    <w:p w:rsidR="00000000" w:rsidDel="00000000" w:rsidP="00000000" w:rsidRDefault="00000000" w:rsidRPr="00000000" w14:paraId="000001A1">
      <w:pPr>
        <w:numPr>
          <w:ilvl w:val="0"/>
          <w:numId w:val="14"/>
        </w:numPr>
        <w:ind w:left="720" w:hanging="360"/>
      </w:pPr>
      <w:r w:rsidDel="00000000" w:rsidR="00000000" w:rsidRPr="00000000">
        <w:rPr>
          <w:rtl w:val="0"/>
        </w:rPr>
        <w:t xml:space="preserve">Ontology coverage tables.</w:t>
      </w:r>
    </w:p>
    <w:p w:rsidR="00000000" w:rsidDel="00000000" w:rsidP="00000000" w:rsidRDefault="00000000" w:rsidRPr="00000000" w14:paraId="000001A2">
      <w:pPr>
        <w:numPr>
          <w:ilvl w:val="0"/>
          <w:numId w:val="14"/>
        </w:numPr>
        <w:ind w:left="720" w:hanging="360"/>
      </w:pPr>
      <w:r w:rsidDel="00000000" w:rsidR="00000000" w:rsidRPr="00000000">
        <w:rPr>
          <w:rtl w:val="0"/>
        </w:rPr>
        <w:t xml:space="preserve">ClimateBERT comparison outputs.</w:t>
      </w:r>
    </w:p>
    <w:p w:rsidR="00000000" w:rsidDel="00000000" w:rsidP="00000000" w:rsidRDefault="00000000" w:rsidRPr="00000000" w14:paraId="000001A3">
      <w:pPr>
        <w:numPr>
          <w:ilvl w:val="0"/>
          <w:numId w:val="14"/>
        </w:numPr>
        <w:ind w:left="720" w:hanging="360"/>
      </w:pPr>
      <w:r w:rsidDel="00000000" w:rsidR="00000000" w:rsidRPr="00000000">
        <w:rPr>
          <w:rtl w:val="0"/>
        </w:rPr>
        <w:t xml:space="preserve">Ground-truth and silver-label annotation tables.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Key files include: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results/thesis_workflow_dashboard/tone_records_flat.csv</w:t>
      </w:r>
      <w:r w:rsidDel="00000000" w:rsidR="00000000" w:rsidRPr="00000000">
        <w:rPr>
          <w:rtl w:val="0"/>
        </w:rPr>
      </w:r>
    </w:p>
    <w:p w:rsidR="00000000" w:rsidDel="00000000" w:rsidP="00000000" w:rsidRDefault="00000000" w:rsidRPr="00000000" w14:paraId="000001A8">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results/thesis_workflow_dashboard/tone_esg_crosstab.csv</w:t>
      </w:r>
      <w:r w:rsidDel="00000000" w:rsidR="00000000" w:rsidRPr="00000000">
        <w:rPr>
          <w:rtl w:val="0"/>
        </w:rPr>
      </w:r>
    </w:p>
    <w:p w:rsidR="00000000" w:rsidDel="00000000" w:rsidP="00000000" w:rsidRDefault="00000000" w:rsidRPr="00000000" w14:paraId="000001A9">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results/thesis_workflow_dashboard/tone_climatebert_label_crosstab.csv</w:t>
      </w:r>
      <w:r w:rsidDel="00000000" w:rsidR="00000000" w:rsidRPr="00000000">
        <w:rPr>
          <w:rtl w:val="0"/>
        </w:rPr>
      </w:r>
    </w:p>
    <w:p w:rsidR="00000000" w:rsidDel="00000000" w:rsidP="00000000" w:rsidRDefault="00000000" w:rsidRPr="00000000" w14:paraId="000001AA">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results/thesis_workflow_dashboard/model_stability_summary.csv</w:t>
      </w:r>
      <w:r w:rsidDel="00000000" w:rsidR="00000000" w:rsidRPr="00000000">
        <w:rPr>
          <w:rtl w:val="0"/>
        </w:rPr>
      </w:r>
    </w:p>
    <w:p w:rsidR="00000000" w:rsidDel="00000000" w:rsidP="00000000" w:rsidRDefault="00000000" w:rsidRPr="00000000" w14:paraId="000001AB">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results/thesis_workflow_dashboard/prompt_stability_summary.csv</w:t>
      </w:r>
      <w:r w:rsidDel="00000000" w:rsidR="00000000" w:rsidRPr="00000000">
        <w:rPr>
          <w:rtl w:val="0"/>
        </w:rPr>
      </w:r>
    </w:p>
    <w:p w:rsidR="00000000" w:rsidDel="00000000" w:rsidP="00000000" w:rsidRDefault="00000000" w:rsidRPr="00000000" w14:paraId="000001AC">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results/thesis_workflow_dashboard/ontology_coverage.csv</w:t>
      </w:r>
      <w:r w:rsidDel="00000000" w:rsidR="00000000" w:rsidRPr="00000000">
        <w:rPr>
          <w:rtl w:val="0"/>
        </w:rPr>
      </w:r>
    </w:p>
    <w:p w:rsidR="00000000" w:rsidDel="00000000" w:rsidP="00000000" w:rsidRDefault="00000000" w:rsidRPr="00000000" w14:paraId="000001AD">
      <w:pPr>
        <w:numPr>
          <w:ilvl w:val="0"/>
          <w:numId w:val="14"/>
        </w:numPr>
        <w:ind w:left="720" w:hanging="360"/>
      </w:pPr>
      <w:r w:rsidDel="00000000" w:rsidR="00000000" w:rsidRPr="00000000">
        <w:rPr>
          <w:rFonts w:ascii="Roboto Mono" w:cs="Roboto Mono" w:eastAsia="Roboto Mono" w:hAnsi="Roboto Mono"/>
          <w:color w:val="188038"/>
          <w:rtl w:val="0"/>
        </w:rPr>
        <w:t xml:space="preserve">results/revision_analysis/silver_tone_ground_truth.csv</w:t>
      </w:r>
      <w:r w:rsidDel="00000000" w:rsidR="00000000" w:rsidRPr="00000000">
        <w:rPr>
          <w:rtl w:val="0"/>
        </w:rPr>
      </w:r>
    </w:p>
    <w:p w:rsidR="00000000" w:rsidDel="00000000" w:rsidP="00000000" w:rsidRDefault="00000000" w:rsidRPr="00000000" w14:paraId="000001AE">
      <w:pPr>
        <w:numPr>
          <w:ilvl w:val="0"/>
          <w:numId w:val="14"/>
        </w:numPr>
        <w:ind w:left="720" w:hanging="360"/>
      </w:pPr>
      <w:r w:rsidDel="00000000" w:rsidR="00000000" w:rsidRPr="00000000">
        <w:rPr>
          <w:rFonts w:ascii="Roboto Mono" w:cs="Roboto Mono" w:eastAsia="Roboto Mono" w:hAnsi="Roboto Mono"/>
          <w:color w:val="188038"/>
          <w:rtl w:val="0"/>
        </w:rPr>
        <w:t xml:space="preserve">results/semantic_exports/esg_thesis_graph.ttl</w:t>
      </w:r>
      <w:r w:rsidDel="00000000" w:rsidR="00000000" w:rsidRPr="00000000">
        <w:rPr>
          <w:rtl w:val="0"/>
        </w:rPr>
      </w:r>
    </w:p>
    <w:p w:rsidR="00000000" w:rsidDel="00000000" w:rsidP="00000000" w:rsidRDefault="00000000" w:rsidRPr="00000000" w14:paraId="000001AF">
      <w:pPr>
        <w:numPr>
          <w:ilvl w:val="0"/>
          <w:numId w:val="14"/>
        </w:numPr>
        <w:ind w:left="720" w:hanging="360"/>
      </w:pPr>
      <w:r w:rsidDel="00000000" w:rsidR="00000000" w:rsidRPr="00000000">
        <w:rPr>
          <w:rFonts w:ascii="Roboto Mono" w:cs="Roboto Mono" w:eastAsia="Roboto Mono" w:hAnsi="Roboto Mono"/>
          <w:color w:val="188038"/>
          <w:rtl w:val="0"/>
        </w:rPr>
        <w:t xml:space="preserve">results/semantic_exports/esg_thesis_ontology.owl</w:t>
      </w:r>
      <w:r w:rsidDel="00000000" w:rsidR="00000000" w:rsidRPr="00000000">
        <w:rPr>
          <w:rtl w:val="0"/>
        </w:rPr>
      </w:r>
    </w:p>
    <w:p w:rsidR="00000000" w:rsidDel="00000000" w:rsidP="00000000" w:rsidRDefault="00000000" w:rsidRPr="00000000" w14:paraId="000001B0">
      <w:pPr>
        <w:numPr>
          <w:ilvl w:val="0"/>
          <w:numId w:val="14"/>
        </w:numPr>
        <w:ind w:left="720" w:hanging="360"/>
      </w:pPr>
      <w:r w:rsidDel="00000000" w:rsidR="00000000" w:rsidRPr="00000000">
        <w:rPr>
          <w:rFonts w:ascii="Roboto Mono" w:cs="Roboto Mono" w:eastAsia="Roboto Mono" w:hAnsi="Roboto Mono"/>
          <w:color w:val="188038"/>
          <w:rtl w:val="0"/>
        </w:rPr>
        <w:t xml:space="preserve">results/semantic_exports/neo4j_nodes.csv</w:t>
      </w:r>
      <w:r w:rsidDel="00000000" w:rsidR="00000000" w:rsidRPr="00000000">
        <w:rPr>
          <w:rtl w:val="0"/>
        </w:rPr>
      </w:r>
    </w:p>
    <w:p w:rsidR="00000000" w:rsidDel="00000000" w:rsidP="00000000" w:rsidRDefault="00000000" w:rsidRPr="00000000" w14:paraId="000001B1">
      <w:pPr>
        <w:numPr>
          <w:ilvl w:val="0"/>
          <w:numId w:val="14"/>
        </w:numPr>
        <w:ind w:left="720" w:hanging="360"/>
      </w:pPr>
      <w:r w:rsidDel="00000000" w:rsidR="00000000" w:rsidRPr="00000000">
        <w:rPr>
          <w:rFonts w:ascii="Roboto Mono" w:cs="Roboto Mono" w:eastAsia="Roboto Mono" w:hAnsi="Roboto Mono"/>
          <w:color w:val="188038"/>
          <w:rtl w:val="0"/>
        </w:rPr>
        <w:t xml:space="preserve">results/semantic_exports/neo4j_relationships.csv</w:t>
      </w:r>
      <w:r w:rsidDel="00000000" w:rsidR="00000000" w:rsidRPr="00000000">
        <w:rPr>
          <w:rtl w:val="0"/>
        </w:rPr>
      </w:r>
    </w:p>
    <w:p w:rsidR="00000000" w:rsidDel="00000000" w:rsidP="00000000" w:rsidRDefault="00000000" w:rsidRPr="00000000" w14:paraId="000001B2">
      <w:pPr>
        <w:pStyle w:val="Heading2"/>
        <w:rPr/>
      </w:pPr>
      <w:bookmarkStart w:colFirst="0" w:colLast="0" w:name="_qgqnwse3dqe2" w:id="21"/>
      <w:bookmarkEnd w:id="21"/>
      <w:r w:rsidDel="00000000" w:rsidR="00000000" w:rsidRPr="00000000">
        <w:rPr>
          <w:rtl w:val="0"/>
        </w:rPr>
        <w:t xml:space="preserve">3.3 OCR Processing</w:t>
      </w:r>
    </w:p>
    <w:p w:rsidR="00000000" w:rsidDel="00000000" w:rsidP="00000000" w:rsidRDefault="00000000" w:rsidRPr="00000000" w14:paraId="000001B3">
      <w:pPr>
        <w:rPr/>
      </w:pPr>
      <w:r w:rsidDel="00000000" w:rsidR="00000000" w:rsidRPr="00000000">
        <w:rPr>
          <w:rtl w:val="0"/>
        </w:rPr>
        <w:t xml:space="preserve">PDF sustainability reports are converted into page-level text using the OCR workflow. The OCR stage produces source text that can be sampled, audited, and linked to extracted records. OCR quality is treated as a methodological risk because missing text, table loss, and page segmentation errors can affect every downstream label.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Relevant pages: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4"/>
        </w:numPr>
        <w:ind w:left="720" w:hanging="360"/>
      </w:pPr>
      <w:r w:rsidDel="00000000" w:rsidR="00000000" w:rsidRPr="00000000">
        <w:rPr>
          <w:rFonts w:ascii="Roboto Mono" w:cs="Roboto Mono" w:eastAsia="Roboto Mono" w:hAnsi="Roboto Mono"/>
          <w:color w:val="188038"/>
          <w:rtl w:val="0"/>
        </w:rPr>
        <w:t xml:space="preserve">pages/Bulk_OCR.py</w:t>
      </w:r>
      <w:r w:rsidDel="00000000" w:rsidR="00000000" w:rsidRPr="00000000">
        <w:rPr>
          <w:rtl w:val="0"/>
        </w:rPr>
      </w:r>
    </w:p>
    <w:p w:rsidR="00000000" w:rsidDel="00000000" w:rsidP="00000000" w:rsidRDefault="00000000" w:rsidRPr="00000000" w14:paraId="000001B8">
      <w:pPr>
        <w:numPr>
          <w:ilvl w:val="0"/>
          <w:numId w:val="14"/>
        </w:numPr>
        <w:ind w:left="720" w:hanging="360"/>
      </w:pPr>
      <w:r w:rsidDel="00000000" w:rsidR="00000000" w:rsidRPr="00000000">
        <w:rPr>
          <w:rFonts w:ascii="Roboto Mono" w:cs="Roboto Mono" w:eastAsia="Roboto Mono" w:hAnsi="Roboto Mono"/>
          <w:color w:val="188038"/>
          <w:rtl w:val="0"/>
        </w:rPr>
        <w:t xml:space="preserve">pages/1_2_OCR_Quality_Workbench.py</w:t>
      </w:r>
      <w:r w:rsidDel="00000000" w:rsidR="00000000" w:rsidRPr="00000000">
        <w:rPr>
          <w:rtl w:val="0"/>
        </w:rPr>
      </w:r>
    </w:p>
    <w:p w:rsidR="00000000" w:rsidDel="00000000" w:rsidP="00000000" w:rsidRDefault="00000000" w:rsidRPr="00000000" w14:paraId="000001B9">
      <w:pPr>
        <w:numPr>
          <w:ilvl w:val="0"/>
          <w:numId w:val="14"/>
        </w:numPr>
        <w:ind w:left="720" w:hanging="360"/>
      </w:pPr>
      <w:r w:rsidDel="00000000" w:rsidR="00000000" w:rsidRPr="00000000">
        <w:rPr>
          <w:rFonts w:ascii="Roboto Mono" w:cs="Roboto Mono" w:eastAsia="Roboto Mono" w:hAnsi="Roboto Mono"/>
          <w:color w:val="188038"/>
          <w:rtl w:val="0"/>
        </w:rPr>
        <w:t xml:space="preserve">pages/2_4_PDF_Page_Processing_Audit.py</w:t>
      </w:r>
      <w:r w:rsidDel="00000000" w:rsidR="00000000" w:rsidRPr="00000000">
        <w:rPr>
          <w:rtl w:val="0"/>
        </w:rPr>
      </w:r>
    </w:p>
    <w:p w:rsidR="00000000" w:rsidDel="00000000" w:rsidP="00000000" w:rsidRDefault="00000000" w:rsidRPr="00000000" w14:paraId="000001BA">
      <w:pPr>
        <w:pStyle w:val="Heading2"/>
        <w:rPr/>
      </w:pPr>
      <w:bookmarkStart w:colFirst="0" w:colLast="0" w:name="_uvhqsnbzq09o" w:id="22"/>
      <w:bookmarkEnd w:id="22"/>
      <w:r w:rsidDel="00000000" w:rsidR="00000000" w:rsidRPr="00000000">
        <w:rPr>
          <w:rtl w:val="0"/>
        </w:rPr>
        <w:t xml:space="preserve">3.4 LLM ESG Record Extraction</w:t>
      </w:r>
    </w:p>
    <w:p w:rsidR="00000000" w:rsidDel="00000000" w:rsidP="00000000" w:rsidRDefault="00000000" w:rsidRPr="00000000" w14:paraId="000001BB">
      <w:pPr>
        <w:rPr/>
      </w:pPr>
      <w:r w:rsidDel="00000000" w:rsidR="00000000" w:rsidRPr="00000000">
        <w:rPr>
          <w:rtl w:val="0"/>
        </w:rPr>
        <w:t xml:space="preserve">LLM prompts extract ESG statements from OCR text. Each run is associated with a target document, prompt template, provider, model, timestamp, and output record. The pipeline supports repeated runs and background execution so that long extraction tasks can continue even if the Streamlit page is not actively open.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Relevant pages: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4"/>
        </w:numPr>
        <w:ind w:left="720" w:hanging="360"/>
      </w:pPr>
      <w:r w:rsidDel="00000000" w:rsidR="00000000" w:rsidRPr="00000000">
        <w:rPr>
          <w:rFonts w:ascii="Roboto Mono" w:cs="Roboto Mono" w:eastAsia="Roboto Mono" w:hAnsi="Roboto Mono"/>
          <w:color w:val="188038"/>
          <w:rtl w:val="0"/>
        </w:rPr>
        <w:t xml:space="preserve">pages/llm_processing.py</w:t>
      </w:r>
      <w:r w:rsidDel="00000000" w:rsidR="00000000" w:rsidRPr="00000000">
        <w:rPr>
          <w:rtl w:val="0"/>
        </w:rPr>
      </w:r>
    </w:p>
    <w:p w:rsidR="00000000" w:rsidDel="00000000" w:rsidP="00000000" w:rsidRDefault="00000000" w:rsidRPr="00000000" w14:paraId="000001C0">
      <w:pPr>
        <w:numPr>
          <w:ilvl w:val="0"/>
          <w:numId w:val="14"/>
        </w:numPr>
        <w:ind w:left="720" w:hanging="360"/>
      </w:pPr>
      <w:r w:rsidDel="00000000" w:rsidR="00000000" w:rsidRPr="00000000">
        <w:rPr>
          <w:rFonts w:ascii="Roboto Mono" w:cs="Roboto Mono" w:eastAsia="Roboto Mono" w:hAnsi="Roboto Mono"/>
          <w:color w:val="188038"/>
          <w:rtl w:val="0"/>
        </w:rPr>
        <w:t xml:space="preserve">pages/2_3_LLM_Background_Run_Monitor.py</w:t>
      </w:r>
      <w:r w:rsidDel="00000000" w:rsidR="00000000" w:rsidRPr="00000000">
        <w:rPr>
          <w:rtl w:val="0"/>
        </w:rPr>
      </w:r>
    </w:p>
    <w:p w:rsidR="00000000" w:rsidDel="00000000" w:rsidP="00000000" w:rsidRDefault="00000000" w:rsidRPr="00000000" w14:paraId="000001C1">
      <w:pPr>
        <w:numPr>
          <w:ilvl w:val="0"/>
          <w:numId w:val="14"/>
        </w:numPr>
        <w:ind w:left="720" w:hanging="360"/>
      </w:pPr>
      <w:r w:rsidDel="00000000" w:rsidR="00000000" w:rsidRPr="00000000">
        <w:rPr>
          <w:rFonts w:ascii="Roboto Mono" w:cs="Roboto Mono" w:eastAsia="Roboto Mono" w:hAnsi="Roboto Mono"/>
          <w:color w:val="188038"/>
          <w:rtl w:val="0"/>
        </w:rPr>
        <w:t xml:space="preserve">pages/2_0_LLM_Processing_Result_Visualizer.py</w:t>
      </w:r>
      <w:r w:rsidDel="00000000" w:rsidR="00000000" w:rsidRPr="00000000">
        <w:rPr>
          <w:rtl w:val="0"/>
        </w:rPr>
      </w:r>
    </w:p>
    <w:p w:rsidR="00000000" w:rsidDel="00000000" w:rsidP="00000000" w:rsidRDefault="00000000" w:rsidRPr="00000000" w14:paraId="000001C2">
      <w:pPr>
        <w:numPr>
          <w:ilvl w:val="0"/>
          <w:numId w:val="14"/>
        </w:numPr>
        <w:ind w:left="720" w:hanging="360"/>
      </w:pPr>
      <w:r w:rsidDel="00000000" w:rsidR="00000000" w:rsidRPr="00000000">
        <w:rPr>
          <w:rFonts w:ascii="Roboto Mono" w:cs="Roboto Mono" w:eastAsia="Roboto Mono" w:hAnsi="Roboto Mono"/>
          <w:color w:val="188038"/>
          <w:rtl w:val="0"/>
        </w:rPr>
        <w:t xml:space="preserve">pages/2_1_LLM_Error_Parse_Audit.py</w:t>
      </w:r>
      <w:r w:rsidDel="00000000" w:rsidR="00000000" w:rsidRPr="00000000">
        <w:rPr>
          <w:rtl w:val="0"/>
        </w:rPr>
      </w:r>
    </w:p>
    <w:p w:rsidR="00000000" w:rsidDel="00000000" w:rsidP="00000000" w:rsidRDefault="00000000" w:rsidRPr="00000000" w14:paraId="000001C3">
      <w:pPr>
        <w:pStyle w:val="Heading2"/>
        <w:rPr/>
      </w:pPr>
      <w:bookmarkStart w:colFirst="0" w:colLast="0" w:name="_xiky7zz5il0a" w:id="23"/>
      <w:bookmarkEnd w:id="23"/>
      <w:r w:rsidDel="00000000" w:rsidR="00000000" w:rsidRPr="00000000">
        <w:rPr>
          <w:rtl w:val="0"/>
        </w:rPr>
        <w:t xml:space="preserve">3.5 ESG ABSA Schema</w:t>
      </w:r>
    </w:p>
    <w:p w:rsidR="00000000" w:rsidDel="00000000" w:rsidP="00000000" w:rsidRDefault="00000000" w:rsidRPr="00000000" w14:paraId="000001C4">
      <w:pPr>
        <w:rPr/>
      </w:pPr>
      <w:r w:rsidDel="00000000" w:rsidR="00000000" w:rsidRPr="00000000">
        <w:rPr>
          <w:rtl w:val="0"/>
        </w:rPr>
        <w:t xml:space="preserve">Each extracted record is normalized into ABSA fields: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4"/>
        </w:numPr>
        <w:ind w:left="72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source disclosure statement.</w:t>
      </w:r>
    </w:p>
    <w:p w:rsidR="00000000" w:rsidDel="00000000" w:rsidP="00000000" w:rsidRDefault="00000000" w:rsidRPr="00000000" w14:paraId="000001C7">
      <w:pPr>
        <w:numPr>
          <w:ilvl w:val="0"/>
          <w:numId w:val="14"/>
        </w:numPr>
        <w:ind w:left="720" w:hanging="360"/>
      </w:pPr>
      <w:r w:rsidDel="00000000" w:rsidR="00000000" w:rsidRPr="00000000">
        <w:rPr>
          <w:rFonts w:ascii="Roboto Mono" w:cs="Roboto Mono" w:eastAsia="Roboto Mono" w:hAnsi="Roboto Mono"/>
          <w:color w:val="188038"/>
          <w:rtl w:val="0"/>
        </w:rPr>
        <w:t xml:space="preserve">aspect</w:t>
      </w:r>
      <w:r w:rsidDel="00000000" w:rsidR="00000000" w:rsidRPr="00000000">
        <w:rPr>
          <w:rtl w:val="0"/>
        </w:rPr>
        <w:t xml:space="preserve">: ESG issue or topic.</w:t>
      </w:r>
    </w:p>
    <w:p w:rsidR="00000000" w:rsidDel="00000000" w:rsidP="00000000" w:rsidRDefault="00000000" w:rsidRPr="00000000" w14:paraId="000001C8">
      <w:pPr>
        <w:numPr>
          <w:ilvl w:val="0"/>
          <w:numId w:val="14"/>
        </w:numPr>
        <w:ind w:left="720" w:hanging="360"/>
      </w:pPr>
      <w:r w:rsidDel="00000000" w:rsidR="00000000" w:rsidRPr="00000000">
        <w:rPr>
          <w:rFonts w:ascii="Roboto Mono" w:cs="Roboto Mono" w:eastAsia="Roboto Mono" w:hAnsi="Roboto Mono"/>
          <w:color w:val="188038"/>
          <w:rtl w:val="0"/>
        </w:rPr>
        <w:t xml:space="preserve">esg</w:t>
      </w:r>
      <w:r w:rsidDel="00000000" w:rsidR="00000000" w:rsidRPr="00000000">
        <w:rPr>
          <w:rtl w:val="0"/>
        </w:rPr>
        <w:t xml:space="preserve">: ESG pillar, including multi-label possibilities such as E-S, E-G, S-G, or E-S-G.</w:t>
      </w:r>
    </w:p>
    <w:p w:rsidR="00000000" w:rsidDel="00000000" w:rsidP="00000000" w:rsidRDefault="00000000" w:rsidRPr="00000000" w14:paraId="000001C9">
      <w:pPr>
        <w:numPr>
          <w:ilvl w:val="0"/>
          <w:numId w:val="14"/>
        </w:numPr>
        <w:ind w:left="720" w:hanging="360"/>
      </w:pPr>
      <w:r w:rsidDel="00000000" w:rsidR="00000000" w:rsidRPr="00000000">
        <w:rPr>
          <w:rFonts w:ascii="Roboto Mono" w:cs="Roboto Mono" w:eastAsia="Roboto Mono" w:hAnsi="Roboto Mono"/>
          <w:color w:val="188038"/>
          <w:rtl w:val="0"/>
        </w:rPr>
        <w:t xml:space="preserve">tone</w:t>
      </w:r>
      <w:r w:rsidDel="00000000" w:rsidR="00000000" w:rsidRPr="00000000">
        <w:rPr>
          <w:rtl w:val="0"/>
        </w:rPr>
        <w:t xml:space="preserve">: commitment, action, outcome, missing, none, or other.</w:t>
      </w:r>
    </w:p>
    <w:p w:rsidR="00000000" w:rsidDel="00000000" w:rsidP="00000000" w:rsidRDefault="00000000" w:rsidRPr="00000000" w14:paraId="000001CA">
      <w:pPr>
        <w:numPr>
          <w:ilvl w:val="0"/>
          <w:numId w:val="14"/>
        </w:numPr>
        <w:ind w:left="720" w:hanging="360"/>
      </w:pP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positive, negative, neutral, or related sentiment class.</w:t>
      </w:r>
    </w:p>
    <w:p w:rsidR="00000000" w:rsidDel="00000000" w:rsidP="00000000" w:rsidRDefault="00000000" w:rsidRPr="00000000" w14:paraId="000001CB">
      <w:pPr>
        <w:numPr>
          <w:ilvl w:val="0"/>
          <w:numId w:val="14"/>
        </w:numPr>
        <w:ind w:left="720" w:hanging="360"/>
      </w:pPr>
      <w:r w:rsidDel="00000000" w:rsidR="00000000" w:rsidRPr="00000000">
        <w:rPr>
          <w:rFonts w:ascii="Roboto Mono" w:cs="Roboto Mono" w:eastAsia="Roboto Mono" w:hAnsi="Roboto Mono"/>
          <w:color w:val="188038"/>
          <w:rtl w:val="0"/>
        </w:rPr>
        <w:t xml:space="preserve">labels</w:t>
      </w:r>
      <w:r w:rsidDel="00000000" w:rsidR="00000000" w:rsidRPr="00000000">
        <w:rPr>
          <w:rtl w:val="0"/>
        </w:rPr>
        <w:t xml:space="preserve">: supporting model labels such as climate-related or governance indicators.</w:t>
      </w:r>
    </w:p>
    <w:p w:rsidR="00000000" w:rsidDel="00000000" w:rsidP="00000000" w:rsidRDefault="00000000" w:rsidRPr="00000000" w14:paraId="000001CC">
      <w:pPr>
        <w:numPr>
          <w:ilvl w:val="0"/>
          <w:numId w:val="14"/>
        </w:numPr>
        <w:ind w:left="720" w:hanging="360"/>
      </w:pP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 explanation attached to the extracted record.</w:t>
      </w:r>
    </w:p>
    <w:p w:rsidR="00000000" w:rsidDel="00000000" w:rsidP="00000000" w:rsidRDefault="00000000" w:rsidRPr="00000000" w14:paraId="000001CD">
      <w:pPr>
        <w:numPr>
          <w:ilvl w:val="0"/>
          <w:numId w:val="14"/>
        </w:numPr>
        <w:ind w:left="720" w:hanging="360"/>
      </w:pPr>
      <w:r w:rsidDel="00000000" w:rsidR="00000000" w:rsidRPr="00000000">
        <w:rPr>
          <w:rFonts w:ascii="Roboto Mono" w:cs="Roboto Mono" w:eastAsia="Roboto Mono" w:hAnsi="Roboto Mono"/>
          <w:color w:val="188038"/>
          <w:rtl w:val="0"/>
        </w:rPr>
        <w:t xml:space="preserve">target_doc</w:t>
      </w:r>
      <w:r w:rsidDel="00000000" w:rsidR="00000000" w:rsidRPr="00000000">
        <w:rPr>
          <w:rtl w:val="0"/>
        </w:rPr>
        <w:t xml:space="preserve">: source document identifier.</w:t>
      </w:r>
    </w:p>
    <w:p w:rsidR="00000000" w:rsidDel="00000000" w:rsidP="00000000" w:rsidRDefault="00000000" w:rsidRPr="00000000" w14:paraId="000001CE">
      <w:pPr>
        <w:numPr>
          <w:ilvl w:val="0"/>
          <w:numId w:val="14"/>
        </w:numPr>
        <w:ind w:left="720" w:hanging="360"/>
      </w:pP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prompt template used.</w:t>
      </w:r>
    </w:p>
    <w:p w:rsidR="00000000" w:rsidDel="00000000" w:rsidP="00000000" w:rsidRDefault="00000000" w:rsidRPr="00000000" w14:paraId="000001CF">
      <w:pPr>
        <w:numPr>
          <w:ilvl w:val="0"/>
          <w:numId w:val="14"/>
        </w:numPr>
        <w:ind w:left="720" w:hanging="360"/>
      </w:pP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LLM model used.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schema is intentionally record-level because ESG tone depends on the specific claim, not only on the document.</w:t>
      </w:r>
    </w:p>
    <w:p w:rsidR="00000000" w:rsidDel="00000000" w:rsidP="00000000" w:rsidRDefault="00000000" w:rsidRPr="00000000" w14:paraId="000001D2">
      <w:pPr>
        <w:pStyle w:val="Heading2"/>
        <w:rPr/>
      </w:pPr>
      <w:bookmarkStart w:colFirst="0" w:colLast="0" w:name="_xe9g3hth0i90" w:id="24"/>
      <w:bookmarkEnd w:id="24"/>
      <w:r w:rsidDel="00000000" w:rsidR="00000000" w:rsidRPr="00000000">
        <w:rPr>
          <w:rtl w:val="0"/>
        </w:rPr>
        <w:t xml:space="preserve">3.6 ClimateBERT Comparison</w:t>
      </w:r>
    </w:p>
    <w:p w:rsidR="00000000" w:rsidDel="00000000" w:rsidP="00000000" w:rsidRDefault="00000000" w:rsidRPr="00000000" w14:paraId="000001D3">
      <w:pPr>
        <w:rPr/>
      </w:pPr>
      <w:r w:rsidDel="00000000" w:rsidR="00000000" w:rsidRPr="00000000">
        <w:rPr>
          <w:rtl w:val="0"/>
        </w:rPr>
        <w:t xml:space="preserve">ClimateBERT outputs are used as a climate-specific comparison layer. The thesis does not assume that ClimateBERT labels and ESG tone labels should be identical. Instead, disagreement is analytically useful because it shows where a climate-oriented classifier detects climate relevance while the ESG ABSA schema captures disclosure tone.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Current dashboard metrics: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4"/>
        </w:numPr>
        <w:ind w:left="720" w:hanging="360"/>
      </w:pPr>
      <w:r w:rsidDel="00000000" w:rsidR="00000000" w:rsidRPr="00000000">
        <w:rPr>
          <w:rtl w:val="0"/>
        </w:rPr>
        <w:t xml:space="preserve">ClimateBERT proxy agreement: 0.837.</w:t>
      </w:r>
    </w:p>
    <w:p w:rsidR="00000000" w:rsidDel="00000000" w:rsidP="00000000" w:rsidRDefault="00000000" w:rsidRPr="00000000" w14:paraId="000001D8">
      <w:pPr>
        <w:numPr>
          <w:ilvl w:val="0"/>
          <w:numId w:val="14"/>
        </w:numPr>
        <w:ind w:left="720" w:hanging="360"/>
      </w:pPr>
      <w:r w:rsidDel="00000000" w:rsidR="00000000" w:rsidRPr="00000000">
        <w:rPr>
          <w:rtl w:val="0"/>
        </w:rPr>
        <w:t xml:space="preserve">Cohen's kappa: 0.645.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These values suggest meaningful agreement, but also enough divergence to justify a construct-validity discussion.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Relevant pages: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14"/>
        </w:numPr>
        <w:ind w:left="720" w:hanging="360"/>
      </w:pPr>
      <w:r w:rsidDel="00000000" w:rsidR="00000000" w:rsidRPr="00000000">
        <w:rPr>
          <w:rFonts w:ascii="Roboto Mono" w:cs="Roboto Mono" w:eastAsia="Roboto Mono" w:hAnsi="Roboto Mono"/>
          <w:color w:val="188038"/>
          <w:rtl w:val="0"/>
        </w:rPr>
        <w:t xml:space="preserve">pages/1_4_ClimateBERT_Record_Batch.py</w:t>
      </w:r>
      <w:r w:rsidDel="00000000" w:rsidR="00000000" w:rsidRPr="00000000">
        <w:rPr>
          <w:rtl w:val="0"/>
        </w:rPr>
      </w:r>
    </w:p>
    <w:p w:rsidR="00000000" w:rsidDel="00000000" w:rsidP="00000000" w:rsidRDefault="00000000" w:rsidRPr="00000000" w14:paraId="000001DF">
      <w:pPr>
        <w:numPr>
          <w:ilvl w:val="0"/>
          <w:numId w:val="14"/>
        </w:numPr>
        <w:ind w:left="720" w:hanging="360"/>
      </w:pPr>
      <w:r w:rsidDel="00000000" w:rsidR="00000000" w:rsidRPr="00000000">
        <w:rPr>
          <w:rFonts w:ascii="Roboto Mono" w:cs="Roboto Mono" w:eastAsia="Roboto Mono" w:hAnsi="Roboto Mono"/>
          <w:color w:val="188038"/>
          <w:rtl w:val="0"/>
        </w:rPr>
        <w:t xml:space="preserve">pages/0_9_Tone_ClimateBERT_Visualization.py</w:t>
      </w:r>
      <w:r w:rsidDel="00000000" w:rsidR="00000000" w:rsidRPr="00000000">
        <w:rPr>
          <w:rtl w:val="0"/>
        </w:rPr>
      </w:r>
    </w:p>
    <w:p w:rsidR="00000000" w:rsidDel="00000000" w:rsidP="00000000" w:rsidRDefault="00000000" w:rsidRPr="00000000" w14:paraId="000001E0">
      <w:pPr>
        <w:numPr>
          <w:ilvl w:val="0"/>
          <w:numId w:val="14"/>
        </w:numPr>
        <w:ind w:left="720" w:hanging="360"/>
      </w:pPr>
      <w:r w:rsidDel="00000000" w:rsidR="00000000" w:rsidRPr="00000000">
        <w:rPr>
          <w:rFonts w:ascii="Roboto Mono" w:cs="Roboto Mono" w:eastAsia="Roboto Mono" w:hAnsi="Roboto Mono"/>
          <w:color w:val="188038"/>
          <w:rtl w:val="0"/>
        </w:rPr>
        <w:t xml:space="preserve">pages/6_2_Chapter_5_Discussion.py</w:t>
      </w:r>
      <w:r w:rsidDel="00000000" w:rsidR="00000000" w:rsidRPr="00000000">
        <w:rPr>
          <w:rtl w:val="0"/>
        </w:rPr>
      </w:r>
    </w:p>
    <w:p w:rsidR="00000000" w:rsidDel="00000000" w:rsidP="00000000" w:rsidRDefault="00000000" w:rsidRPr="00000000" w14:paraId="000001E1">
      <w:pPr>
        <w:pStyle w:val="Heading2"/>
        <w:rPr/>
      </w:pPr>
      <w:bookmarkStart w:colFirst="0" w:colLast="0" w:name="_tddo2lazg7zy" w:id="25"/>
      <w:bookmarkEnd w:id="25"/>
      <w:r w:rsidDel="00000000" w:rsidR="00000000" w:rsidRPr="00000000">
        <w:rPr>
          <w:rtl w:val="0"/>
        </w:rPr>
        <w:t xml:space="preserve">3.7 Ground-Truth Annotation</w:t>
      </w:r>
    </w:p>
    <w:p w:rsidR="00000000" w:rsidDel="00000000" w:rsidP="00000000" w:rsidRDefault="00000000" w:rsidRPr="00000000" w14:paraId="000001E2">
      <w:pPr>
        <w:rPr/>
      </w:pPr>
      <w:r w:rsidDel="00000000" w:rsidR="00000000" w:rsidRPr="00000000">
        <w:rPr>
          <w:rtl w:val="0"/>
        </w:rPr>
        <w:t xml:space="preserve">Ground-truth annotation is handled separately from automatic extraction. The workbench supports tone, ESG pillar, and aspect labels. The system also supports review queues, unannotated-row filtering, and silver-label comparison.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Relevant pages: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14"/>
        </w:numPr>
        <w:ind w:left="720" w:hanging="360"/>
      </w:pPr>
      <w:r w:rsidDel="00000000" w:rsidR="00000000" w:rsidRPr="00000000">
        <w:rPr>
          <w:rFonts w:ascii="Roboto Mono" w:cs="Roboto Mono" w:eastAsia="Roboto Mono" w:hAnsi="Roboto Mono"/>
          <w:color w:val="188038"/>
          <w:rtl w:val="0"/>
        </w:rPr>
        <w:t xml:space="preserve">pages/ground_truth.py</w:t>
      </w:r>
      <w:r w:rsidDel="00000000" w:rsidR="00000000" w:rsidRPr="00000000">
        <w:rPr>
          <w:rtl w:val="0"/>
        </w:rPr>
      </w:r>
    </w:p>
    <w:p w:rsidR="00000000" w:rsidDel="00000000" w:rsidP="00000000" w:rsidRDefault="00000000" w:rsidRPr="00000000" w14:paraId="000001E7">
      <w:pPr>
        <w:numPr>
          <w:ilvl w:val="0"/>
          <w:numId w:val="14"/>
        </w:numPr>
        <w:ind w:left="720" w:hanging="360"/>
      </w:pPr>
      <w:r w:rsidDel="00000000" w:rsidR="00000000" w:rsidRPr="00000000">
        <w:rPr>
          <w:rFonts w:ascii="Roboto Mono" w:cs="Roboto Mono" w:eastAsia="Roboto Mono" w:hAnsi="Roboto Mono"/>
          <w:color w:val="188038"/>
          <w:rtl w:val="0"/>
        </w:rPr>
        <w:t xml:space="preserve">pages/1_1_Ground_Truth_Workbench.py</w:t>
      </w:r>
      <w:r w:rsidDel="00000000" w:rsidR="00000000" w:rsidRPr="00000000">
        <w:rPr>
          <w:rtl w:val="0"/>
        </w:rPr>
      </w:r>
    </w:p>
    <w:p w:rsidR="00000000" w:rsidDel="00000000" w:rsidP="00000000" w:rsidRDefault="00000000" w:rsidRPr="00000000" w14:paraId="000001E8">
      <w:pPr>
        <w:numPr>
          <w:ilvl w:val="0"/>
          <w:numId w:val="14"/>
        </w:numPr>
        <w:ind w:left="720" w:hanging="360"/>
      </w:pPr>
      <w:r w:rsidDel="00000000" w:rsidR="00000000" w:rsidRPr="00000000">
        <w:rPr>
          <w:rFonts w:ascii="Roboto Mono" w:cs="Roboto Mono" w:eastAsia="Roboto Mono" w:hAnsi="Roboto Mono"/>
          <w:color w:val="188038"/>
          <w:rtl w:val="0"/>
        </w:rPr>
        <w:t xml:space="preserve">pages/1_3_Ground_Truth_Metrics.py</w:t>
      </w:r>
      <w:r w:rsidDel="00000000" w:rsidR="00000000" w:rsidRPr="00000000">
        <w:rPr>
          <w:rtl w:val="0"/>
        </w:rPr>
      </w:r>
    </w:p>
    <w:p w:rsidR="00000000" w:rsidDel="00000000" w:rsidP="00000000" w:rsidRDefault="00000000" w:rsidRPr="00000000" w14:paraId="000001E9">
      <w:pPr>
        <w:numPr>
          <w:ilvl w:val="0"/>
          <w:numId w:val="14"/>
        </w:numPr>
        <w:ind w:left="720" w:hanging="360"/>
      </w:pPr>
      <w:r w:rsidDel="00000000" w:rsidR="00000000" w:rsidRPr="00000000">
        <w:rPr>
          <w:rFonts w:ascii="Roboto Mono" w:cs="Roboto Mono" w:eastAsia="Roboto Mono" w:hAnsi="Roboto Mono"/>
          <w:color w:val="188038"/>
          <w:rtl w:val="0"/>
        </w:rPr>
        <w:t xml:space="preserve">pages/1_8_Ground_Truth_Output_Visualizer.py</w:t>
      </w:r>
      <w:r w:rsidDel="00000000" w:rsidR="00000000" w:rsidRPr="00000000">
        <w:rPr>
          <w:rtl w:val="0"/>
        </w:rPr>
      </w:r>
    </w:p>
    <w:p w:rsidR="00000000" w:rsidDel="00000000" w:rsidP="00000000" w:rsidRDefault="00000000" w:rsidRPr="00000000" w14:paraId="000001EA">
      <w:pPr>
        <w:numPr>
          <w:ilvl w:val="0"/>
          <w:numId w:val="14"/>
        </w:numPr>
        <w:ind w:left="720" w:hanging="360"/>
      </w:pPr>
      <w:r w:rsidDel="00000000" w:rsidR="00000000" w:rsidRPr="00000000">
        <w:rPr>
          <w:rFonts w:ascii="Roboto Mono" w:cs="Roboto Mono" w:eastAsia="Roboto Mono" w:hAnsi="Roboto Mono"/>
          <w:color w:val="188038"/>
          <w:rtl w:val="0"/>
        </w:rPr>
        <w:t xml:space="preserve">pages/1_12_Ground_Truth_Step_By_Step_Visualizer.py</w:t>
      </w:r>
      <w:r w:rsidDel="00000000" w:rsidR="00000000" w:rsidRPr="00000000">
        <w:rPr>
          <w:rtl w:val="0"/>
        </w:rPr>
      </w:r>
    </w:p>
    <w:p w:rsidR="00000000" w:rsidDel="00000000" w:rsidP="00000000" w:rsidRDefault="00000000" w:rsidRPr="00000000" w14:paraId="000001EB">
      <w:pPr>
        <w:pStyle w:val="Heading2"/>
        <w:rPr/>
      </w:pPr>
      <w:bookmarkStart w:colFirst="0" w:colLast="0" w:name="_uewb55z8qk3y" w:id="26"/>
      <w:bookmarkEnd w:id="26"/>
      <w:r w:rsidDel="00000000" w:rsidR="00000000" w:rsidRPr="00000000">
        <w:rPr>
          <w:rtl w:val="0"/>
        </w:rPr>
        <w:t xml:space="preserve">3.8 Ontology Mapping And Semantic Graph Export</w:t>
      </w:r>
    </w:p>
    <w:p w:rsidR="00000000" w:rsidDel="00000000" w:rsidP="00000000" w:rsidRDefault="00000000" w:rsidRPr="00000000" w14:paraId="000001EC">
      <w:pPr>
        <w:rPr/>
      </w:pPr>
      <w:r w:rsidDel="00000000" w:rsidR="00000000" w:rsidRPr="00000000">
        <w:rPr>
          <w:rtl w:val="0"/>
        </w:rPr>
        <w:t xml:space="preserve">Aspect labels are mapped to ontology paths when possible. Unmapped aspects are not treated only as errors; they are also candidates for Indonesian ESG vocabulary extension. Semantic exports convert records into RDF, OWL, and Neo4j graph formats.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Relevant pages: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numPr>
          <w:ilvl w:val="0"/>
          <w:numId w:val="14"/>
        </w:numPr>
        <w:ind w:left="720" w:hanging="360"/>
      </w:pPr>
      <w:r w:rsidDel="00000000" w:rsidR="00000000" w:rsidRPr="00000000">
        <w:rPr>
          <w:rFonts w:ascii="Roboto Mono" w:cs="Roboto Mono" w:eastAsia="Roboto Mono" w:hAnsi="Roboto Mono"/>
          <w:color w:val="188038"/>
          <w:rtl w:val="0"/>
        </w:rPr>
        <w:t xml:space="preserve">pages/1_6_Ontology_Path_Viewer.py</w:t>
      </w:r>
      <w:r w:rsidDel="00000000" w:rsidR="00000000" w:rsidRPr="00000000">
        <w:rPr>
          <w:rtl w:val="0"/>
        </w:rPr>
      </w:r>
    </w:p>
    <w:p w:rsidR="00000000" w:rsidDel="00000000" w:rsidP="00000000" w:rsidRDefault="00000000" w:rsidRPr="00000000" w14:paraId="000001F1">
      <w:pPr>
        <w:numPr>
          <w:ilvl w:val="0"/>
          <w:numId w:val="14"/>
        </w:numPr>
        <w:ind w:left="720" w:hanging="360"/>
      </w:pPr>
      <w:r w:rsidDel="00000000" w:rsidR="00000000" w:rsidRPr="00000000">
        <w:rPr>
          <w:rFonts w:ascii="Roboto Mono" w:cs="Roboto Mono" w:eastAsia="Roboto Mono" w:hAnsi="Roboto Mono"/>
          <w:color w:val="188038"/>
          <w:rtl w:val="0"/>
        </w:rPr>
        <w:t xml:space="preserve">pages/1_13_Semantic_Graph_Exporter.py</w:t>
      </w:r>
      <w:r w:rsidDel="00000000" w:rsidR="00000000" w:rsidRPr="00000000">
        <w:rPr>
          <w:rtl w:val="0"/>
        </w:rPr>
      </w:r>
    </w:p>
    <w:p w:rsidR="00000000" w:rsidDel="00000000" w:rsidP="00000000" w:rsidRDefault="00000000" w:rsidRPr="00000000" w14:paraId="000001F2">
      <w:pPr>
        <w:pStyle w:val="Heading2"/>
        <w:rPr/>
      </w:pPr>
      <w:bookmarkStart w:colFirst="0" w:colLast="0" w:name="_4n9g1fy3ns8h" w:id="27"/>
      <w:bookmarkEnd w:id="27"/>
      <w:r w:rsidDel="00000000" w:rsidR="00000000" w:rsidRPr="00000000">
        <w:rPr>
          <w:rtl w:val="0"/>
        </w:rPr>
        <w:t xml:space="preserve">3.9 Dashboard And Chapter Integration</w:t>
      </w:r>
    </w:p>
    <w:p w:rsidR="00000000" w:rsidDel="00000000" w:rsidP="00000000" w:rsidRDefault="00000000" w:rsidRPr="00000000" w14:paraId="000001F3">
      <w:pPr>
        <w:rPr/>
      </w:pPr>
      <w:r w:rsidDel="00000000" w:rsidR="00000000" w:rsidRPr="00000000">
        <w:rPr>
          <w:rtl w:val="0"/>
        </w:rPr>
        <w:t xml:space="preserve">The Streamlit app is part of the research method. It allows the thesis to remain synchronized with live results. Chapter pages integrate graphs, backing tables, dashboard counters, and interpretation boxes.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Relevant pages: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4"/>
        </w:numPr>
        <w:ind w:left="720" w:hanging="360"/>
      </w:pPr>
      <w:r w:rsidDel="00000000" w:rsidR="00000000" w:rsidRPr="00000000">
        <w:rPr>
          <w:rFonts w:ascii="Roboto Mono" w:cs="Roboto Mono" w:eastAsia="Roboto Mono" w:hAnsi="Roboto Mono"/>
          <w:color w:val="188038"/>
          <w:rtl w:val="0"/>
        </w:rPr>
        <w:t xml:space="preserve">pages/3_0_Thesis_Action_Plan.py</w:t>
      </w:r>
      <w:r w:rsidDel="00000000" w:rsidR="00000000" w:rsidRPr="00000000">
        <w:rPr>
          <w:rtl w:val="0"/>
        </w:rPr>
      </w:r>
    </w:p>
    <w:p w:rsidR="00000000" w:rsidDel="00000000" w:rsidP="00000000" w:rsidRDefault="00000000" w:rsidRPr="00000000" w14:paraId="000001F8">
      <w:pPr>
        <w:numPr>
          <w:ilvl w:val="0"/>
          <w:numId w:val="14"/>
        </w:numPr>
        <w:ind w:left="720" w:hanging="360"/>
      </w:pPr>
      <w:r w:rsidDel="00000000" w:rsidR="00000000" w:rsidRPr="00000000">
        <w:rPr>
          <w:rFonts w:ascii="Roboto Mono" w:cs="Roboto Mono" w:eastAsia="Roboto Mono" w:hAnsi="Roboto Mono"/>
          <w:color w:val="188038"/>
          <w:rtl w:val="0"/>
        </w:rPr>
        <w:t xml:space="preserve">pages/5_Thesis_Systematic_Workflow_dashboard.py</w:t>
      </w:r>
      <w:r w:rsidDel="00000000" w:rsidR="00000000" w:rsidRPr="00000000">
        <w:rPr>
          <w:rtl w:val="0"/>
        </w:rPr>
      </w:r>
    </w:p>
    <w:p w:rsidR="00000000" w:rsidDel="00000000" w:rsidP="00000000" w:rsidRDefault="00000000" w:rsidRPr="00000000" w14:paraId="000001F9">
      <w:pPr>
        <w:numPr>
          <w:ilvl w:val="0"/>
          <w:numId w:val="14"/>
        </w:numPr>
        <w:ind w:left="720" w:hanging="360"/>
      </w:pPr>
      <w:r w:rsidDel="00000000" w:rsidR="00000000" w:rsidRPr="00000000">
        <w:rPr>
          <w:rFonts w:ascii="Roboto Mono" w:cs="Roboto Mono" w:eastAsia="Roboto Mono" w:hAnsi="Roboto Mono"/>
          <w:color w:val="188038"/>
          <w:rtl w:val="0"/>
        </w:rPr>
        <w:t xml:space="preserve">pages/6_0_Thesis_Draft_Chapter_Integration_Mermaid.py</w:t>
      </w:r>
      <w:r w:rsidDel="00000000" w:rsidR="00000000" w:rsidRPr="00000000">
        <w:rPr>
          <w:rtl w:val="0"/>
        </w:rPr>
      </w:r>
    </w:p>
    <w:p w:rsidR="00000000" w:rsidDel="00000000" w:rsidP="00000000" w:rsidRDefault="00000000" w:rsidRPr="00000000" w14:paraId="000001FA">
      <w:pPr>
        <w:numPr>
          <w:ilvl w:val="0"/>
          <w:numId w:val="14"/>
        </w:numPr>
        <w:ind w:left="720" w:hanging="360"/>
      </w:pPr>
      <w:r w:rsidDel="00000000" w:rsidR="00000000" w:rsidRPr="00000000">
        <w:rPr>
          <w:rFonts w:ascii="Roboto Mono" w:cs="Roboto Mono" w:eastAsia="Roboto Mono" w:hAnsi="Roboto Mono"/>
          <w:color w:val="188038"/>
          <w:rtl w:val="0"/>
        </w:rPr>
        <w:t xml:space="preserve">pages/6_1_Chapter_4_Implementation_Results.py</w:t>
      </w:r>
      <w:r w:rsidDel="00000000" w:rsidR="00000000" w:rsidRPr="00000000">
        <w:rPr>
          <w:rtl w:val="0"/>
        </w:rPr>
      </w:r>
    </w:p>
    <w:p w:rsidR="00000000" w:rsidDel="00000000" w:rsidP="00000000" w:rsidRDefault="00000000" w:rsidRPr="00000000" w14:paraId="000001FB">
      <w:pPr>
        <w:numPr>
          <w:ilvl w:val="0"/>
          <w:numId w:val="14"/>
        </w:numPr>
        <w:ind w:left="720" w:hanging="360"/>
      </w:pPr>
      <w:r w:rsidDel="00000000" w:rsidR="00000000" w:rsidRPr="00000000">
        <w:rPr>
          <w:rFonts w:ascii="Roboto Mono" w:cs="Roboto Mono" w:eastAsia="Roboto Mono" w:hAnsi="Roboto Mono"/>
          <w:color w:val="188038"/>
          <w:rtl w:val="0"/>
        </w:rPr>
        <w:t xml:space="preserve">pages/6_2_Chapter_5_Discussion.py</w:t>
      </w:r>
      <w:r w:rsidDel="00000000" w:rsidR="00000000" w:rsidRPr="00000000">
        <w:rPr>
          <w:rtl w:val="0"/>
        </w:rPr>
      </w:r>
    </w:p>
    <w:p w:rsidR="00000000" w:rsidDel="00000000" w:rsidP="00000000" w:rsidRDefault="00000000" w:rsidRPr="00000000" w14:paraId="000001FC">
      <w:pPr>
        <w:numPr>
          <w:ilvl w:val="0"/>
          <w:numId w:val="14"/>
        </w:numPr>
        <w:ind w:left="720" w:hanging="360"/>
      </w:pPr>
      <w:r w:rsidDel="00000000" w:rsidR="00000000" w:rsidRPr="00000000">
        <w:rPr>
          <w:rFonts w:ascii="Roboto Mono" w:cs="Roboto Mono" w:eastAsia="Roboto Mono" w:hAnsi="Roboto Mono"/>
          <w:color w:val="188038"/>
          <w:rtl w:val="0"/>
        </w:rPr>
        <w:t xml:space="preserve">pages/6_3_Chapter_6_Conclusion.py</w:t>
      </w:r>
      <w:r w:rsidDel="00000000" w:rsidR="00000000" w:rsidRPr="00000000">
        <w:rPr>
          <w:rtl w:val="0"/>
        </w:rPr>
      </w:r>
    </w:p>
    <w:p w:rsidR="00000000" w:rsidDel="00000000" w:rsidP="00000000" w:rsidRDefault="00000000" w:rsidRPr="00000000" w14:paraId="000001FD">
      <w:pPr>
        <w:numPr>
          <w:ilvl w:val="0"/>
          <w:numId w:val="14"/>
        </w:numPr>
        <w:ind w:left="720" w:hanging="360"/>
      </w:pPr>
      <w:r w:rsidDel="00000000" w:rsidR="00000000" w:rsidRPr="00000000">
        <w:rPr>
          <w:rFonts w:ascii="Roboto Mono" w:cs="Roboto Mono" w:eastAsia="Roboto Mono" w:hAnsi="Roboto Mono"/>
          <w:color w:val="188038"/>
          <w:rtl w:val="0"/>
        </w:rPr>
        <w:t xml:space="preserve">pages/6_4_ch4-6.py</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rPr/>
      </w:pPr>
      <w:bookmarkStart w:colFirst="0" w:colLast="0" w:name="_h65hmlawvr9p" w:id="28"/>
      <w:bookmarkEnd w:id="28"/>
      <w:r w:rsidDel="00000000" w:rsidR="00000000" w:rsidRPr="00000000">
        <w:rPr>
          <w:rtl w:val="0"/>
        </w:rPr>
        <w:t xml:space="preserve">4. Experimental Setup And Results</w:t>
      </w:r>
    </w:p>
    <w:p w:rsidR="00000000" w:rsidDel="00000000" w:rsidP="00000000" w:rsidRDefault="00000000" w:rsidRPr="00000000" w14:paraId="00000201">
      <w:pPr>
        <w:pStyle w:val="Heading2"/>
        <w:rPr/>
      </w:pPr>
      <w:bookmarkStart w:colFirst="0" w:colLast="0" w:name="_1et8t7qzmcdd" w:id="29"/>
      <w:bookmarkEnd w:id="29"/>
      <w:r w:rsidDel="00000000" w:rsidR="00000000" w:rsidRPr="00000000">
        <w:rPr>
          <w:rtl w:val="0"/>
        </w:rPr>
        <w:t xml:space="preserve">4.1 Implementation Environment</w:t>
      </w:r>
    </w:p>
    <w:p w:rsidR="00000000" w:rsidDel="00000000" w:rsidP="00000000" w:rsidRDefault="00000000" w:rsidRPr="00000000" w14:paraId="00000202">
      <w:pPr>
        <w:rPr/>
      </w:pPr>
      <w:r w:rsidDel="00000000" w:rsidR="00000000" w:rsidRPr="00000000">
        <w:rPr>
          <w:rtl w:val="0"/>
        </w:rPr>
        <w:t xml:space="preserve">The system is implemented as a Streamlit application with supporting Python scripts, CSV/JSON artifacts, visualizations, and semantic export files. LLM jobs can be run interactively or in the background. Dashboard pages read from the results folders and regenerate thesis-facing figures.</w:t>
      </w:r>
    </w:p>
    <w:p w:rsidR="00000000" w:rsidDel="00000000" w:rsidP="00000000" w:rsidRDefault="00000000" w:rsidRPr="00000000" w14:paraId="00000203">
      <w:pPr>
        <w:pStyle w:val="Heading2"/>
        <w:rPr/>
      </w:pPr>
      <w:bookmarkStart w:colFirst="0" w:colLast="0" w:name="_t7sx1mjsdrc5" w:id="30"/>
      <w:bookmarkEnd w:id="30"/>
      <w:r w:rsidDel="00000000" w:rsidR="00000000" w:rsidRPr="00000000">
        <w:rPr>
          <w:rtl w:val="0"/>
        </w:rPr>
        <w:t xml:space="preserve">4.2 Current Dataset Snapshot</w:t>
      </w:r>
    </w:p>
    <w:p w:rsidR="00000000" w:rsidDel="00000000" w:rsidP="00000000" w:rsidRDefault="00000000" w:rsidRPr="00000000" w14:paraId="00000204">
      <w:pPr>
        <w:rPr/>
      </w:pPr>
      <w:r w:rsidDel="00000000" w:rsidR="00000000" w:rsidRPr="00000000">
        <w:rPr>
          <w:rtl w:val="0"/>
        </w:rPr>
        <w:t xml:space="preserve">The current dashboard snapshot contains: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Artifact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right"/>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Research questions tracked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Structured tone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right"/>
              <w:rPr/>
            </w:pPr>
            <w:r w:rsidDel="00000000" w:rsidR="00000000" w:rsidRPr="00000000">
              <w:rPr>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right"/>
              <w:rPr/>
            </w:pPr>
            <w:r w:rsidDel="00000000" w:rsidR="00000000" w:rsidRPr="00000000">
              <w:rPr>
                <w:rtl w:val="0"/>
              </w:rPr>
              <w:t xml:space="preserve">2,074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OCR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Tracked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ClimateBERT proxy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right"/>
              <w:rPr/>
            </w:pPr>
            <w:r w:rsidDel="00000000" w:rsidR="00000000" w:rsidRPr="00000000">
              <w:rPr>
                <w:rtl w:val="0"/>
              </w:rPr>
              <w:t xml:space="preserve">0.837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ClimateBERT Cohen's kappa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0.645</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Additional full-pipeline status from the action plan should be reported when regenerated: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Status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Thesis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ClimateBERT real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Completeness of local/real ClimateBERT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Tone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Completeness of tone annotation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ESG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Completeness of ESG-pillar annotation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Aspect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Completeness of aspect annotation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OCR pages sampled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OCR-quality validation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Models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LLM model-comparison coverage</w:t>
            </w:r>
          </w:p>
        </w:tc>
      </w:tr>
    </w:tbl>
    <w:p w:rsidR="00000000" w:rsidDel="00000000" w:rsidP="00000000" w:rsidRDefault="00000000" w:rsidRPr="00000000" w14:paraId="00000227">
      <w:pPr>
        <w:pStyle w:val="Heading2"/>
        <w:rPr/>
      </w:pPr>
      <w:bookmarkStart w:colFirst="0" w:colLast="0" w:name="_scvxxxp9yyj1" w:id="31"/>
      <w:bookmarkEnd w:id="31"/>
      <w:r w:rsidDel="00000000" w:rsidR="00000000" w:rsidRPr="00000000">
        <w:rPr>
          <w:rtl w:val="0"/>
        </w:rPr>
      </w:r>
    </w:p>
    <w:p w:rsidR="00000000" w:rsidDel="00000000" w:rsidP="00000000" w:rsidRDefault="00000000" w:rsidRPr="00000000" w14:paraId="00000228">
      <w:pPr>
        <w:pStyle w:val="Heading2"/>
        <w:rPr/>
      </w:pPr>
      <w:bookmarkStart w:colFirst="0" w:colLast="0" w:name="_467qt8mn0rr" w:id="32"/>
      <w:bookmarkEnd w:id="32"/>
      <w:r w:rsidDel="00000000" w:rsidR="00000000" w:rsidRPr="00000000">
        <w:rPr>
          <w:rtl w:val="0"/>
        </w:rPr>
        <w:t xml:space="preserve">3. Research Question To Artifact Map</w:t>
      </w:r>
    </w:p>
    <w:p w:rsidR="00000000" w:rsidDel="00000000" w:rsidP="00000000" w:rsidRDefault="00000000" w:rsidRPr="00000000" w14:paraId="00000229">
      <w:pPr>
        <w:rPr/>
      </w:pPr>
      <w:r w:rsidDel="00000000" w:rsidR="00000000" w:rsidRPr="00000000">
        <w:rPr>
          <w:rtl w:val="0"/>
        </w:rPr>
        <w:t xml:space="preserve">flowchart TD</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subgraph RQS["Research Questions"]</w:t>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RQ1["RQ1&lt;br/&gt;PDF to structured ESG evidence"]</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RQ2["RQ2&lt;br/&gt;aspect, ESG pillar, sentiment, tone schema"]</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RQ3["RQ3&lt;br/&gt;tone ABSA versus ClimateBERT"]</w:t>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RQ4["RQ4&lt;br/&gt;diagnostics, failure modes, ontology gaps"]</w:t>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RQ5["RQ5&lt;br/&gt;reproducibility and auditability"]</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RQ6["RQ6&lt;br/&gt;model and prompt stability"]</w:t>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end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subgraph ART["Primary Artifacts"]</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OCR_SUM["ocr_processing_summary.csv&lt;br/&gt;document and page audit"]</w:t>
      </w:r>
    </w:p>
    <w:p w:rsidR="00000000" w:rsidDel="00000000" w:rsidP="00000000" w:rsidRDefault="00000000" w:rsidRPr="00000000" w14:paraId="0000023E">
      <w:pPr>
        <w:widowControl w:val="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TONE_FLAT["tone_records_flat.csv&lt;br/&gt;record-level ESG ABSA"]</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TONE_ESG["tone_esg_crosstab.csv&lt;br/&gt;pillar by tone"]</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TONE_CB["tone_climatebert_label_crosstab.csv&lt;br/&gt;tone by ClimateBERT label"]</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FAIL["failure_mode_counts.csv&lt;br/&gt;diagnostic categories"]</w:t>
      </w:r>
    </w:p>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ONTO["ontology_coverage.csv&lt;br/&gt;mapped and unmapped aspects"]</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JOBS["background job folders&lt;br/&gt;config, status, events, logs"]</w:t>
      </w:r>
    </w:p>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MODEL_STAB["model_stability_summary.csv&lt;br/&gt;provider and model metrics"]</w:t>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PROMPT_STAB["prompt_stability_summary.csv&lt;br/&gt;prompt reliability"]</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end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subgraph FIG["Figure Attachments"]</w:t>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A1["A.1&lt;br/&gt;full tone distribution"]</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A2["A.2&lt;br/&gt;full ESG by tone"]</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A3["A.3&lt;br/&gt;aspect by tone heatmap"]</w:t>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A4["A.4&lt;br/&gt;tone by ClimateBERT label"]</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A10["A.10&lt;br/&gt;model parse success"]</w:t>
      </w:r>
    </w:p>
    <w:p w:rsidR="00000000" w:rsidDel="00000000" w:rsidP="00000000" w:rsidRDefault="00000000" w:rsidRPr="00000000" w14:paraId="0000025C">
      <w:pPr>
        <w:widowControl w:val="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A11["A.11&lt;br/&gt;prompt missing-tone benchmark"]</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A12["A.12&lt;br/&gt;ontology mapped vs novel aspects"]</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A30["A.30&lt;br/&gt;aspect co-occurrence"]</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A31["A.31&lt;br/&gt;aspect network centrality"]</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A36["A.36&lt;br/&gt;ontology coverage paths"]</w:t>
      </w:r>
    </w:p>
    <w:p w:rsidR="00000000" w:rsidDel="00000000" w:rsidP="00000000" w:rsidRDefault="00000000" w:rsidRPr="00000000" w14:paraId="00000266">
      <w:pPr>
        <w:widowControl w:val="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end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RQ1 --&gt; OCR_SUM</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RQ1 --&gt; TONE_FLAT</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RQ2 --&gt; TONE_FLAT</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RQ2 --&gt; TONE_ESG</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RQ2 --&gt; A1</w:t>
      </w:r>
    </w:p>
    <w:p w:rsidR="00000000" w:rsidDel="00000000" w:rsidP="00000000" w:rsidRDefault="00000000" w:rsidRPr="00000000" w14:paraId="00000272">
      <w:pPr>
        <w:widowControl w:val="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RQ2 --&gt; A2</w:t>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RQ2 --&gt; A3</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RQ3 --&gt; TONE_CB</w:t>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RQ3 --&gt; A4</w:t>
      </w:r>
    </w:p>
    <w:p w:rsidR="00000000" w:rsidDel="00000000" w:rsidP="00000000" w:rsidRDefault="00000000" w:rsidRPr="00000000" w14:paraId="0000027A">
      <w:pPr>
        <w:widowControl w:val="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RQ4 --&gt; FAIL</w:t>
      </w:r>
    </w:p>
    <w:p w:rsidR="00000000" w:rsidDel="00000000" w:rsidP="00000000" w:rsidRDefault="00000000" w:rsidRPr="00000000" w14:paraId="0000027C">
      <w:pPr>
        <w:widowControl w:val="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RQ4 --&gt; ONTO</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RQ4 --&gt; A12</w:t>
      </w:r>
    </w:p>
    <w:p w:rsidR="00000000" w:rsidDel="00000000" w:rsidP="00000000" w:rsidRDefault="00000000" w:rsidRPr="00000000" w14:paraId="00000280">
      <w:pPr>
        <w:widowControl w:val="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RQ4 --&gt; A30</w:t>
      </w:r>
    </w:p>
    <w:p w:rsidR="00000000" w:rsidDel="00000000" w:rsidP="00000000" w:rsidRDefault="00000000" w:rsidRPr="00000000" w14:paraId="00000282">
      <w:pPr>
        <w:widowControl w:val="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RQ4 --&gt; A31</w:t>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RQ4 --&gt; A36</w:t>
      </w:r>
    </w:p>
    <w:p w:rsidR="00000000" w:rsidDel="00000000" w:rsidP="00000000" w:rsidRDefault="00000000" w:rsidRPr="00000000" w14:paraId="00000286">
      <w:pPr>
        <w:widowControl w:val="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RQ5 --&gt; JOBS</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RQ6 --&gt; MODEL_STAB</w:t>
      </w:r>
    </w:p>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RQ6 --&gt; PROMPT_STAB</w:t>
      </w:r>
    </w:p>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RQ6 --&gt; A10</w:t>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RQ6 --&gt; A11</w:t>
      </w:r>
    </w:p>
    <w:p w:rsidR="00000000" w:rsidDel="00000000" w:rsidP="00000000" w:rsidRDefault="00000000" w:rsidRPr="00000000" w14:paraId="00000290">
      <w:pPr>
        <w:pStyle w:val="Heading3"/>
        <w:rPr/>
      </w:pPr>
      <w:bookmarkStart w:colFirst="0" w:colLast="0" w:name="_mym2ddozs81f" w:id="33"/>
      <w:bookmarkEnd w:id="33"/>
      <w:r w:rsidDel="00000000" w:rsidR="00000000" w:rsidRPr="00000000">
        <w:rPr>
          <w:rtl w:val="0"/>
        </w:rPr>
        <w:t xml:space="preserve">Rationale</w:t>
      </w:r>
    </w:p>
    <w:p w:rsidR="00000000" w:rsidDel="00000000" w:rsidP="00000000" w:rsidRDefault="00000000" w:rsidRPr="00000000" w14:paraId="00000291">
      <w:pPr>
        <w:rPr/>
      </w:pPr>
      <w:r w:rsidDel="00000000" w:rsidR="00000000" w:rsidRPr="00000000">
        <w:rPr>
          <w:rtl w:val="0"/>
        </w:rPr>
        <w:t xml:space="preserve">The notes repeatedly connect each figure to a gap, research question, objective, contribution, benchmark, assessment, and explanation. This diagram turns that logic into a compact artifact map. It also prevents a common thesis problem: presenting charts without showing which research question they answer.</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For example:</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numPr>
          <w:ilvl w:val="0"/>
          <w:numId w:val="11"/>
        </w:numPr>
        <w:ind w:left="720" w:hanging="360"/>
        <w:rPr>
          <w:sz w:val="22"/>
          <w:szCs w:val="22"/>
        </w:rPr>
      </w:pPr>
      <w:r w:rsidDel="00000000" w:rsidR="00000000" w:rsidRPr="00000000">
        <w:rPr>
          <w:rtl w:val="0"/>
        </w:rPr>
        <w:t xml:space="preserve">A.1, A.2, and A.3 support RQ2 because they show that tone is not reducible to sentiment.</w:t>
      </w:r>
    </w:p>
    <w:p w:rsidR="00000000" w:rsidDel="00000000" w:rsidP="00000000" w:rsidRDefault="00000000" w:rsidRPr="00000000" w14:paraId="00000296">
      <w:pPr>
        <w:numPr>
          <w:ilvl w:val="0"/>
          <w:numId w:val="11"/>
        </w:numPr>
        <w:ind w:left="720" w:hanging="360"/>
        <w:rPr>
          <w:sz w:val="22"/>
          <w:szCs w:val="22"/>
        </w:rPr>
      </w:pPr>
      <w:r w:rsidDel="00000000" w:rsidR="00000000" w:rsidRPr="00000000">
        <w:rPr>
          <w:rtl w:val="0"/>
        </w:rPr>
        <w:t xml:space="preserve">A.4 supports RQ3 because it reveals where ClimateBERT and the ESG tone taxonomy align or diverge.</w:t>
      </w:r>
    </w:p>
    <w:p w:rsidR="00000000" w:rsidDel="00000000" w:rsidP="00000000" w:rsidRDefault="00000000" w:rsidRPr="00000000" w14:paraId="00000297">
      <w:pPr>
        <w:numPr>
          <w:ilvl w:val="0"/>
          <w:numId w:val="11"/>
        </w:numPr>
        <w:ind w:left="720" w:hanging="360"/>
        <w:rPr>
          <w:sz w:val="22"/>
          <w:szCs w:val="22"/>
        </w:rPr>
      </w:pPr>
      <w:r w:rsidDel="00000000" w:rsidR="00000000" w:rsidRPr="00000000">
        <w:rPr>
          <w:rtl w:val="0"/>
        </w:rPr>
        <w:t xml:space="preserve">A.30 and A.31 support RQ4 because they move aspect analysis beyond heatmaps into relationship and centrality analysis.</w:t>
      </w:r>
    </w:p>
    <w:p w:rsidR="00000000" w:rsidDel="00000000" w:rsidP="00000000" w:rsidRDefault="00000000" w:rsidRPr="00000000" w14:paraId="00000298">
      <w:pPr>
        <w:numPr>
          <w:ilvl w:val="0"/>
          <w:numId w:val="11"/>
        </w:numPr>
        <w:ind w:left="720" w:hanging="360"/>
        <w:rPr>
          <w:sz w:val="22"/>
          <w:szCs w:val="22"/>
        </w:rPr>
      </w:pPr>
      <w:r w:rsidDel="00000000" w:rsidR="00000000" w:rsidRPr="00000000">
        <w:rPr>
          <w:rtl w:val="0"/>
        </w:rPr>
        <w:t xml:space="preserve">A.10 and A.11 support RQ6 because they quantify model and prompt stability.</w:t>
      </w:r>
    </w:p>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spacing w:after="160" w:before="100" w:line="276" w:lineRule="auto"/>
        <w:jc w:val="both"/>
        <w:rPr/>
      </w:pPr>
      <w:r w:rsidDel="00000000" w:rsidR="00000000" w:rsidRPr="00000000">
        <w:rPr>
          <w:rtl w:val="0"/>
        </w:rPr>
        <w:t xml:space="preserve">This chapter presents the empirical findings generated by the ESG ABSA pipeline across six Indonesian sustainability reports. Results are organised by research question, proceeding from the foundational pipeline output (RQ1) through the tone and aspect annotation findings (RQ2), the cross-system comparison with ClimateBERT (RQ3), and concluding with the prompt and model stability evidence that anchors the reproducibility claims of later chapters. Each section reports both what the data shows and, where relevant, how performance compares against established benchmarks in the ABSA and ESG NLP literature.</w:t>
      </w:r>
    </w:p>
    <w:p w:rsidR="00000000" w:rsidDel="00000000" w:rsidP="00000000" w:rsidRDefault="00000000" w:rsidRPr="00000000" w14:paraId="0000029B">
      <w:pPr>
        <w:spacing w:after="80" w:before="80" w:line="240" w:lineRule="auto"/>
        <w:rPr/>
      </w:pPr>
      <w:r w:rsidDel="00000000" w:rsidR="00000000" w:rsidRPr="00000000">
        <w:rPr>
          <w:rtl w:val="0"/>
        </w:rPr>
      </w:r>
    </w:p>
    <w:p w:rsidR="00000000" w:rsidDel="00000000" w:rsidP="00000000" w:rsidRDefault="00000000" w:rsidRPr="00000000" w14:paraId="0000029C">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4.1  Pipeline Coverage and Document Structure (RQ1)</w:t>
      </w:r>
    </w:p>
    <w:p w:rsidR="00000000" w:rsidDel="00000000" w:rsidP="00000000" w:rsidRDefault="00000000" w:rsidRPr="00000000" w14:paraId="0000029D">
      <w:pPr>
        <w:spacing w:after="160" w:before="100" w:line="276" w:lineRule="auto"/>
        <w:jc w:val="both"/>
        <w:rPr/>
      </w:pPr>
      <w:r w:rsidDel="00000000" w:rsidR="00000000" w:rsidRPr="00000000">
        <w:rPr>
          <w:rtl w:val="0"/>
        </w:rPr>
        <w:t xml:space="preserve">The PDF-to-structured-ESG transformation pipeline processed sixteen Indonesian sustainability report files across six companies, producing 332 tone records, 5,444 silver-dataset rows, and 1,104 structured artefacts. The scaffold completeness rate exceeded 99.9% across all extraction fields: tone predictions were non-empty for 5,442 of 5,444 rows (99.96%), ESG pillar assignments for 5,436 rows (99.85%), and aspect labels for 5,441 rows (99.94%). Against the production-quality NLP threshold of 95% field completeness, and the excellent threshold of 99%, these rates constitute the strongest outperformance finding in the pipeline evaluation (Figure A.17).</w:t>
      </w:r>
    </w:p>
    <w:p w:rsidR="00000000" w:rsidDel="00000000" w:rsidP="00000000" w:rsidRDefault="00000000" w:rsidRPr="00000000" w14:paraId="0000029E">
      <w:pPr>
        <w:spacing w:after="200" w:before="80" w:line="276" w:lineRule="auto"/>
        <w:jc w:val="both"/>
        <w:rPr/>
      </w:pPr>
      <w:r w:rsidDel="00000000" w:rsidR="00000000" w:rsidRPr="00000000">
        <w:rPr>
          <w:i w:val="1"/>
          <w:iCs w:val="1"/>
          <w:color w:val="666666"/>
          <w:sz w:val="20"/>
          <w:szCs w:val="20"/>
          <w:rtl w:val="0"/>
        </w:rPr>
        <w:t xml:space="preserve">[Figure A.17: Ground truth scaffold coverage]</w:t>
      </w:r>
      <w:r w:rsidDel="00000000" w:rsidR="00000000" w:rsidRPr="00000000">
        <w:rPr>
          <w:rtl w:val="0"/>
        </w:rPr>
      </w:r>
    </w:p>
    <w:p w:rsidR="00000000" w:rsidDel="00000000" w:rsidP="00000000" w:rsidRDefault="00000000" w:rsidRPr="00000000" w14:paraId="0000029F">
      <w:pPr>
        <w:spacing w:after="160" w:before="100" w:line="276" w:lineRule="auto"/>
        <w:jc w:val="both"/>
        <w:rPr/>
      </w:pPr>
      <w:r w:rsidDel="00000000" w:rsidR="00000000" w:rsidRPr="00000000">
        <w:rPr>
          <w:rtl w:val="0"/>
        </w:rPr>
        <w:t xml:space="preserve">The PDF-by-prompt coverage matrix (Figure A.21) reveals, however, that record volume is highly unequal across source documents. Alfamart's sustainability report contributes 1,444 records while Indonet contributes only 60, a ratio of approximately 24:1. </w:t>
      </w:r>
    </w:p>
    <w:p w:rsidR="00000000" w:rsidDel="00000000" w:rsidP="00000000" w:rsidRDefault="00000000" w:rsidRPr="00000000" w14:paraId="000002A0">
      <w:pPr>
        <w:spacing w:after="160" w:before="100" w:line="276" w:lineRule="auto"/>
        <w:jc w:val="both"/>
        <w:rPr/>
      </w:pPr>
      <w:r w:rsidDel="00000000" w:rsidR="00000000" w:rsidRPr="00000000">
        <w:rPr>
          <w:rtl w:val="0"/>
        </w:rPr>
        <w:t xml:space="preserve">This degree of concentration — well above the 50% coefficient of variation threshold for cross-entity comparability — means that corpus-level statistics are weighted toward a small number of high-coverage documents. This is an important caveat for interpreting the distributions reported in the remainder of this chapter: they reflect the aggregate of an unequal corpus, not a balanced sample of Indonesian ESG disclosure practice.</w:t>
      </w:r>
    </w:p>
    <w:p w:rsidR="00000000" w:rsidDel="00000000" w:rsidP="00000000" w:rsidRDefault="00000000" w:rsidRPr="00000000" w14:paraId="000002A1">
      <w:pPr>
        <w:spacing w:after="200" w:before="80" w:line="276" w:lineRule="auto"/>
        <w:jc w:val="both"/>
        <w:rPr/>
      </w:pPr>
      <w:r w:rsidDel="00000000" w:rsidR="00000000" w:rsidRPr="00000000">
        <w:rPr>
          <w:i w:val="1"/>
          <w:iCs w:val="1"/>
          <w:color w:val="666666"/>
          <w:sz w:val="20"/>
          <w:szCs w:val="20"/>
          <w:rtl w:val="0"/>
        </w:rPr>
        <w:t xml:space="preserve">[Figure A.21: PDF x Prompt coverage matrix]</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2A2">
            <w:pPr>
              <w:spacing w:after="60" w:before="60" w:line="260" w:lineRule="auto"/>
              <w:rPr/>
            </w:pPr>
            <w:r w:rsidDel="00000000" w:rsidR="00000000" w:rsidRPr="00000000">
              <w:rPr>
                <w:i w:val="1"/>
                <w:iCs w:val="1"/>
                <w:color w:val="1f4e79"/>
                <w:sz w:val="20"/>
                <w:szCs w:val="20"/>
                <w:rtl w:val="0"/>
              </w:rPr>
              <w:t xml:space="preserve">Benchmark note (A.17): Field completeness exceeds the 99% 'excellent' threshold across all three core fields, validating that the extraction pipeline operates reliably on the available corpus. This is one of the clearest positive findings in the empirical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e2" w:val="clear"/>
            <w:tcMar>
              <w:top w:w="120.0" w:type="dxa"/>
              <w:left w:w="180.0" w:type="dxa"/>
              <w:bottom w:w="120.0" w:type="dxa"/>
              <w:right w:w="180.0" w:type="dxa"/>
            </w:tcMar>
          </w:tcPr>
          <w:p w:rsidR="00000000" w:rsidDel="00000000" w:rsidP="00000000" w:rsidRDefault="00000000" w:rsidRPr="00000000" w14:paraId="000002A3">
            <w:pPr>
              <w:spacing w:after="60" w:before="60" w:line="260" w:lineRule="auto"/>
              <w:rPr/>
            </w:pPr>
            <w:r w:rsidDel="00000000" w:rsidR="00000000" w:rsidRPr="00000000">
              <w:rPr>
                <w:i w:val="1"/>
                <w:iCs w:val="1"/>
                <w:color w:val="7f3f00"/>
                <w:sz w:val="20"/>
                <w:szCs w:val="20"/>
                <w:rtl w:val="0"/>
              </w:rPr>
              <w:t xml:space="preserve">Limitation (RQ1 – OCR quality): The pipeline evaluation required by Objective 1 includes character error rate (CER) and word error rate (WER) measurements on a sample of 60–100 document pages. These measurements were not completed in the current study (0 of 100 target pages sampled). Accordingly, claims about OCR quality are based on the high field completeness proxy rather than direct CER/WER measurement. The pipeline should be understood as a proof-of-concept transformation stage whose OCR accuracy has been validated structurally but not metrically. Direct OCR benchmarking remains as a recommended extension of this work.</w:t>
            </w:r>
            <w:r w:rsidDel="00000000" w:rsidR="00000000" w:rsidRPr="00000000">
              <w:rPr>
                <w:rtl w:val="0"/>
              </w:rPr>
            </w:r>
          </w:p>
        </w:tc>
      </w:tr>
    </w:tbl>
    <w:p w:rsidR="00000000" w:rsidDel="00000000" w:rsidP="00000000" w:rsidRDefault="00000000" w:rsidRPr="00000000" w14:paraId="000002A4">
      <w:pPr>
        <w:spacing w:after="80" w:before="80" w:line="240" w:lineRule="auto"/>
        <w:rPr/>
      </w:pPr>
      <w:r w:rsidDel="00000000" w:rsidR="00000000" w:rsidRPr="00000000">
        <w:rPr>
          <w:rtl w:val="0"/>
        </w:rPr>
      </w:r>
    </w:p>
    <w:p w:rsidR="00000000" w:rsidDel="00000000" w:rsidP="00000000" w:rsidRDefault="00000000" w:rsidRPr="00000000" w14:paraId="000002A5">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4.2  Tone Distribution and ESG Pillar Cross-Tabulation (RQ2)</w:t>
      </w:r>
    </w:p>
    <w:p w:rsidR="00000000" w:rsidDel="00000000" w:rsidP="00000000" w:rsidRDefault="00000000" w:rsidRPr="00000000" w14:paraId="000002A6">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4.2.1  Full Tone Distribution</w:t>
      </w:r>
    </w:p>
    <w:p w:rsidR="00000000" w:rsidDel="00000000" w:rsidP="00000000" w:rsidRDefault="00000000" w:rsidRPr="00000000" w14:paraId="000002A7">
      <w:pPr>
        <w:spacing w:after="160" w:before="100" w:line="276" w:lineRule="auto"/>
        <w:jc w:val="both"/>
        <w:rPr/>
      </w:pPr>
      <w:r w:rsidDel="00000000" w:rsidR="00000000" w:rsidRPr="00000000">
        <w:rPr>
          <w:rtl w:val="0"/>
        </w:rPr>
        <w:t xml:space="preserve">Across the full 3,444-record corpus, the tone distribution breaks down as follows: none (1,929 records, 56.0%), action (1,347, 39.1%), outcome (1,141, 33.1%), commitment (1,020, 29.6%), and unknown (7, 0.2%). The seven unknown records indicate near-complete schema coverage. The dominant category is none, representing more than half of all classified records (Figure A.1).</w:t>
      </w:r>
    </w:p>
    <w:p w:rsidR="00000000" w:rsidDel="00000000" w:rsidP="00000000" w:rsidRDefault="00000000" w:rsidRPr="00000000" w14:paraId="000002A8">
      <w:pPr>
        <w:spacing w:after="200" w:before="80" w:line="276" w:lineRule="auto"/>
        <w:jc w:val="both"/>
        <w:rPr/>
      </w:pPr>
      <w:r w:rsidDel="00000000" w:rsidR="00000000" w:rsidRPr="00000000">
        <w:rPr>
          <w:i w:val="1"/>
          <w:iCs w:val="1"/>
          <w:color w:val="666666"/>
          <w:sz w:val="20"/>
          <w:szCs w:val="20"/>
          <w:rtl w:val="0"/>
        </w:rPr>
        <w:t xml:space="preserve">[Figure A.1: Full tone distribution]</w:t>
      </w:r>
      <w:r w:rsidDel="00000000" w:rsidR="00000000" w:rsidRPr="00000000">
        <w:rPr>
          <w:rtl w:val="0"/>
        </w:rPr>
      </w:r>
    </w:p>
    <w:p w:rsidR="00000000" w:rsidDel="00000000" w:rsidP="00000000" w:rsidRDefault="00000000" w:rsidRPr="00000000" w14:paraId="000002A9">
      <w:pPr>
        <w:spacing w:after="160" w:before="100" w:line="276" w:lineRule="auto"/>
        <w:jc w:val="both"/>
        <w:rPr/>
      </w:pPr>
      <w:r w:rsidDel="00000000" w:rsidR="00000000" w:rsidRPr="00000000">
        <w:rPr>
          <w:rtl w:val="0"/>
        </w:rPr>
        <w:t xml:space="preserve">The prevalence of the none category — descriptive, non-performative language — deserves substantive interpretation rather than dismissal as a pipeline artefact. Two explanations are plausible. First, a calibration artefact: the classifier may be defaulting to the none category when uncertain rather than committing to a tone label. Second, a genuine corpus property: Indonesian sustainability reports in this sample may be structurally more descriptive than substantive, presenting contextual and background narrative more frequently than action pledges or outcome disclosures. Against the benchmark from supervised ABSA literature, where neutral class typically represents 30–40% of well-curated corpora, the 56% none rate does exceed expectation. However, ESG-specific studies of Indonesian regulatory filings suggest that OJK-compliance sections and background narrative constitute a larger-than-average proportion of report length — making the second explanation at least partially credible. The resolution of this question requires comparison against human-annotated gold-standard records, which this study has not yet completed. The finding is therefore reported as a hypothesis-generating result rather than a definitive characterisation of Indonesian ESG disclosure.</w:t>
      </w:r>
    </w:p>
    <w:p w:rsidR="00000000" w:rsidDel="00000000" w:rsidP="00000000" w:rsidRDefault="00000000" w:rsidRPr="00000000" w14:paraId="000002AA">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4.2.2  ESG Pillar by Tone</w:t>
      </w:r>
    </w:p>
    <w:p w:rsidR="00000000" w:rsidDel="00000000" w:rsidP="00000000" w:rsidRDefault="00000000" w:rsidRPr="00000000" w14:paraId="000002AB">
      <w:pPr>
        <w:spacing w:after="160" w:before="100" w:line="276" w:lineRule="auto"/>
        <w:jc w:val="both"/>
        <w:rPr/>
      </w:pPr>
      <w:r w:rsidDel="00000000" w:rsidR="00000000" w:rsidRPr="00000000">
        <w:rPr>
          <w:rtl w:val="0"/>
        </w:rPr>
        <w:t xml:space="preserve">Cross-tabulating ESG pillar against tone category reveals that the Governance pillar carries the highest tone density across most tone rows (Figure A.2). This finding inverts the pattern observed in English-language ESG corpora, where the Environmental pillar typically carries the highest action and commitment density while Governance tends toward outcome-oriented compliance reporting.</w:t>
      </w:r>
    </w:p>
    <w:p w:rsidR="00000000" w:rsidDel="00000000" w:rsidP="00000000" w:rsidRDefault="00000000" w:rsidRPr="00000000" w14:paraId="000002AC">
      <w:pPr>
        <w:spacing w:after="200" w:before="80" w:line="276" w:lineRule="auto"/>
        <w:jc w:val="both"/>
        <w:rPr/>
      </w:pPr>
      <w:r w:rsidDel="00000000" w:rsidR="00000000" w:rsidRPr="00000000">
        <w:rPr>
          <w:i w:val="1"/>
          <w:iCs w:val="1"/>
          <w:color w:val="666666"/>
          <w:sz w:val="20"/>
          <w:szCs w:val="20"/>
          <w:rtl w:val="0"/>
        </w:rPr>
        <w:t xml:space="preserve">[Figure A.2: Full ESG by tone]</w:t>
      </w:r>
      <w:r w:rsidDel="00000000" w:rsidR="00000000" w:rsidRPr="00000000">
        <w:rPr>
          <w:rtl w:val="0"/>
        </w:rPr>
      </w:r>
    </w:p>
    <w:p w:rsidR="00000000" w:rsidDel="00000000" w:rsidP="00000000" w:rsidRDefault="00000000" w:rsidRPr="00000000" w14:paraId="000002AD">
      <w:pPr>
        <w:spacing w:after="160" w:before="100" w:line="276" w:lineRule="auto"/>
        <w:jc w:val="both"/>
        <w:rPr/>
      </w:pPr>
      <w:r w:rsidDel="00000000" w:rsidR="00000000" w:rsidRPr="00000000">
        <w:rPr>
          <w:rtl w:val="0"/>
        </w:rPr>
        <w:t xml:space="preserve">The Indonesian context provides a plausible explanation. The Otoritas Jasa Keuangan (OJK) sustainability reporting regulations require detailed narrative disclosure of governance structures, board oversight mechanisms, and compliance frameworks. These mandatory disclosures generate tonally labelled sentences at higher volume than comparably regulated environmental or social sections. The dominance of Governance tone density is therefore not a pipeline artefact but a domain-specific finding reflecting the regulatory environment of Indonesian listed companies. Conversely, the relative under-representation of Social pillar records across tone categories suggests possible extraction bias, where the pipeline may be assigning fewer aspect labels to social-content passages. This is flagged as a diagnostic concern in Chapter 5.</w:t>
      </w:r>
    </w:p>
    <w:p w:rsidR="00000000" w:rsidDel="00000000" w:rsidP="00000000" w:rsidRDefault="00000000" w:rsidRPr="00000000" w14:paraId="000002AE">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4.2.3  Aspect-Tone Heatmap</w:t>
      </w:r>
    </w:p>
    <w:p w:rsidR="00000000" w:rsidDel="00000000" w:rsidP="00000000" w:rsidRDefault="00000000" w:rsidRPr="00000000" w14:paraId="000002AF">
      <w:pPr>
        <w:spacing w:after="160" w:before="100" w:line="276" w:lineRule="auto"/>
        <w:jc w:val="both"/>
        <w:rPr/>
      </w:pPr>
      <w:r w:rsidDel="00000000" w:rsidR="00000000" w:rsidRPr="00000000">
        <w:rPr>
          <w:rtl w:val="0"/>
        </w:rPr>
        <w:t xml:space="preserve">The aspect-tone heatmap (Figure A.3) reveals that several aspects carry near-deterministic tone signatures — a key validation of the three-tier commitment/action/outcome taxonomy proposed in Contribution 3. The most striking associations are: komitmen keberlanjutan at 97% commitment-toned (70 of 72 records), kinerja esg at 91% outcome-toned (60 of 66 records), and praktik bisnis ramah lingkungan at 51% action-toned (71 of 140 records). Against the 60% concentration threshold from ABSA validation literature, the first two aspects strongly outperform; the third is above threshold but weaker.</w:t>
      </w:r>
    </w:p>
    <w:p w:rsidR="00000000" w:rsidDel="00000000" w:rsidP="00000000" w:rsidRDefault="00000000" w:rsidRPr="00000000" w14:paraId="000002B0">
      <w:pPr>
        <w:spacing w:after="200" w:before="80" w:line="276" w:lineRule="auto"/>
        <w:jc w:val="both"/>
        <w:rPr/>
      </w:pPr>
      <w:r w:rsidDel="00000000" w:rsidR="00000000" w:rsidRPr="00000000">
        <w:rPr>
          <w:i w:val="1"/>
          <w:iCs w:val="1"/>
          <w:color w:val="666666"/>
          <w:sz w:val="20"/>
          <w:szCs w:val="20"/>
          <w:rtl w:val="0"/>
        </w:rPr>
        <w:t xml:space="preserve">[Figure A.3: Full aspect by tone heatmap]</w:t>
      </w:r>
      <w:r w:rsidDel="00000000" w:rsidR="00000000" w:rsidRPr="00000000">
        <w:rPr>
          <w:rtl w:val="0"/>
        </w:rPr>
      </w:r>
    </w:p>
    <w:p w:rsidR="00000000" w:rsidDel="00000000" w:rsidP="00000000" w:rsidRDefault="00000000" w:rsidRPr="00000000" w14:paraId="000002B1">
      <w:pPr>
        <w:spacing w:after="160" w:before="100" w:line="276" w:lineRule="auto"/>
        <w:jc w:val="both"/>
        <w:rPr/>
      </w:pPr>
      <w:r w:rsidDel="00000000" w:rsidR="00000000" w:rsidRPr="00000000">
        <w:rPr>
          <w:rtl w:val="0"/>
        </w:rPr>
        <w:t xml:space="preserve">These patterns are semantically coherent: sustainability commitment language is prospective by definition and correctly attracts the commitment label; ESG performance language reports backward-looking results and correctly attracts the outcome label; environmentally friendly business practice language describes ongoing activities and correctly attracts the action label. The pipeline is not generating these associations randomly — they reflect genuine lexical properties of the text. Aspects with near-equal tone splits are the diagnostic concern: these represent cases where the pipeline's lexical triggers are insufficient for confident classification, either because the language is genuinely ambiguous or because the trigger vocabulary is incomplete. These mixed-signal aspects are priority targets for the lexical trigger refinement proposed in Contribution 6.</w:t>
      </w:r>
    </w:p>
    <w:p w:rsidR="00000000" w:rsidDel="00000000" w:rsidP="00000000" w:rsidRDefault="00000000" w:rsidRPr="00000000" w14:paraId="000002B2">
      <w:pPr>
        <w:spacing w:after="160" w:before="100" w:line="276" w:lineRule="auto"/>
        <w:jc w:val="both"/>
        <w:rPr/>
      </w:pPr>
      <w:r w:rsidDel="00000000" w:rsidR="00000000" w:rsidRPr="00000000">
        <w:rPr>
          <w:rtl w:val="0"/>
        </w:rPr>
        <w:t xml:space="preserve">The heatmap also carries a greenwashing-detection implication. Anti-corruption aspects show high commitment rates with near-zero outcome records — a commitment-to-outcome asymmetry that, per the framework of Gonzalez and Monterroso (2024), is a structural red flag for selective disclosure. This pattern is returned to in Chapter 6's discussion of greenwashing signals.</w:t>
      </w:r>
    </w:p>
    <w:p w:rsidR="00000000" w:rsidDel="00000000" w:rsidP="00000000" w:rsidRDefault="00000000" w:rsidRPr="00000000" w14:paraId="000002B3">
      <w:pPr>
        <w:spacing w:after="80" w:before="80" w:line="240" w:lineRule="auto"/>
        <w:rPr/>
      </w:pPr>
      <w:r w:rsidDel="00000000" w:rsidR="00000000" w:rsidRPr="00000000">
        <w:rPr>
          <w:rtl w:val="0"/>
        </w:rPr>
      </w:r>
    </w:p>
    <w:p w:rsidR="00000000" w:rsidDel="00000000" w:rsidP="00000000" w:rsidRDefault="00000000" w:rsidRPr="00000000" w14:paraId="000002B4">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4.3  Ground Truth Comparison: T1 and T2 Pipeline Outputs (RQ2)</w:t>
      </w:r>
    </w:p>
    <w:p w:rsidR="00000000" w:rsidDel="00000000" w:rsidP="00000000" w:rsidRDefault="00000000" w:rsidRPr="00000000" w14:paraId="000002B5">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4.3.1  T1 ClimateBERT Classification on Ground Truth Records</w:t>
      </w:r>
    </w:p>
    <w:p w:rsidR="00000000" w:rsidDel="00000000" w:rsidP="00000000" w:rsidRDefault="00000000" w:rsidRPr="00000000" w14:paraId="000002B6">
      <w:pPr>
        <w:spacing w:after="160" w:before="100" w:line="276" w:lineRule="auto"/>
        <w:jc w:val="both"/>
        <w:rPr/>
      </w:pPr>
      <w:r w:rsidDel="00000000" w:rsidR="00000000" w:rsidRPr="00000000">
        <w:rPr>
          <w:rtl w:val="0"/>
        </w:rPr>
        <w:t xml:space="preserve">When the local ClimateBERT model was applied to the 136,091 ground-truth candidate records in the T1 stage, 52,990 records (38.9%) produced failures — no output was returned. Among the records that did return outputs (Figure A.22, A.23), the prediction label distribution is dominated by missing (43,846, 32%) followed by LABEL_0 (18,829) and LABEL_1 (12,576). The semantic mapping of LABEL_0 and LABEL_1 to substantive ESG categories was not resolved during the current evaluation, rendering these outputs effectively opaque for downstream ABSA use.</w:t>
      </w:r>
    </w:p>
    <w:p w:rsidR="00000000" w:rsidDel="00000000" w:rsidP="00000000" w:rsidRDefault="00000000" w:rsidRPr="00000000" w14:paraId="000002B7">
      <w:pPr>
        <w:spacing w:after="200" w:before="80" w:line="276" w:lineRule="auto"/>
        <w:jc w:val="both"/>
        <w:rPr/>
      </w:pPr>
      <w:r w:rsidDel="00000000" w:rsidR="00000000" w:rsidRPr="00000000">
        <w:rPr>
          <w:i w:val="1"/>
          <w:iCs w:val="1"/>
          <w:color w:val="666666"/>
          <w:sz w:val="20"/>
          <w:szCs w:val="20"/>
          <w:rtl w:val="0"/>
        </w:rPr>
        <w:t xml:space="preserve">[Figure A.22: ground_truth.py T1 status]</w:t>
      </w:r>
      <w:r w:rsidDel="00000000" w:rsidR="00000000" w:rsidRPr="00000000">
        <w:rPr>
          <w:rtl w:val="0"/>
        </w:rPr>
      </w:r>
    </w:p>
    <w:p w:rsidR="00000000" w:rsidDel="00000000" w:rsidP="00000000" w:rsidRDefault="00000000" w:rsidRPr="00000000" w14:paraId="000002B8">
      <w:pPr>
        <w:spacing w:after="200" w:before="80" w:line="276" w:lineRule="auto"/>
        <w:jc w:val="both"/>
        <w:rPr/>
      </w:pPr>
      <w:r w:rsidDel="00000000" w:rsidR="00000000" w:rsidRPr="00000000">
        <w:rPr>
          <w:i w:val="1"/>
          <w:iCs w:val="1"/>
          <w:color w:val="666666"/>
          <w:sz w:val="20"/>
          <w:szCs w:val="20"/>
          <w:rtl w:val="0"/>
        </w:rPr>
        <w:t xml:space="preserve">[Figure A.23: ground_truth.py T1 prediction labels]</w:t>
      </w:r>
      <w:r w:rsidDel="00000000" w:rsidR="00000000" w:rsidRPr="00000000">
        <w:rPr>
          <w:rtl w:val="0"/>
        </w:rPr>
      </w:r>
    </w:p>
    <w:p w:rsidR="00000000" w:rsidDel="00000000" w:rsidP="00000000" w:rsidRDefault="00000000" w:rsidRPr="00000000" w14:paraId="000002B9">
      <w:pPr>
        <w:spacing w:after="160" w:before="100" w:line="276" w:lineRule="auto"/>
        <w:jc w:val="both"/>
        <w:rPr/>
      </w:pPr>
      <w:r w:rsidDel="00000000" w:rsidR="00000000" w:rsidRPr="00000000">
        <w:rPr>
          <w:rtl w:val="0"/>
        </w:rPr>
        <w:t xml:space="preserve">The 38.9% failure rate — nearly four times the 10% acceptable threshold for deployed NLP classifiers — reflects an expected domain mismatch: the ClimateBERT model was trained on English climate policy texts and encounters Indonesian/bilingual sustainability report language that is substantially outside its training distribution. This failure rate is not incidental to the thesis's argument; it is foundational to it. It quantifies the domain gap that motivates Contribution 4's ontology extension and Contribution 5's cross-model validation framework. A model that worked reliably on Indonesian ESG text without adaptation would not require the validation architecture this thesis proposes.</w:t>
      </w:r>
    </w:p>
    <w:p w:rsidR="00000000" w:rsidDel="00000000" w:rsidP="00000000" w:rsidRDefault="00000000" w:rsidRPr="00000000" w14:paraId="000002BA">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4.3.2  T2 Rule-Based and Hybrid Tone Classification</w:t>
      </w:r>
    </w:p>
    <w:p w:rsidR="00000000" w:rsidDel="00000000" w:rsidP="00000000" w:rsidRDefault="00000000" w:rsidRPr="00000000" w14:paraId="000002BB">
      <w:pPr>
        <w:spacing w:after="160" w:before="100" w:line="276" w:lineRule="auto"/>
        <w:jc w:val="both"/>
        <w:rPr/>
      </w:pPr>
      <w:r w:rsidDel="00000000" w:rsidR="00000000" w:rsidRPr="00000000">
        <w:rPr>
          <w:rtl w:val="0"/>
        </w:rPr>
        <w:t xml:space="preserve">The T2 stage applied both a rule-based classifier and a hybrid ABSA resolver to a 2,074-record subset. The rule-based component (Figure A.24) returned: Unknown (1,285, 61.9%), Commitment (451, 21.8%), Action (177, 8.5%), Outcome (161, 7.8%). The 61.9% unknown rate exceeds the 40% threshold above which a rule-based classifier is considered insufficient as a standalone system. This indicates the rule lexicon does not cover enough of the Indonesian ESG vocabulary to classify the majority of records, confirming that a hybrid approach is necessary.</w:t>
      </w:r>
    </w:p>
    <w:p w:rsidR="00000000" w:rsidDel="00000000" w:rsidP="00000000" w:rsidRDefault="00000000" w:rsidRPr="00000000" w14:paraId="000002BC">
      <w:pPr>
        <w:spacing w:after="200" w:before="80" w:line="276" w:lineRule="auto"/>
        <w:jc w:val="both"/>
        <w:rPr/>
      </w:pPr>
      <w:r w:rsidDel="00000000" w:rsidR="00000000" w:rsidRPr="00000000">
        <w:rPr>
          <w:i w:val="1"/>
          <w:iCs w:val="1"/>
          <w:color w:val="666666"/>
          <w:sz w:val="20"/>
          <w:szCs w:val="20"/>
          <w:rtl w:val="0"/>
        </w:rPr>
        <w:t xml:space="preserve">[Figure A.24: ground_truth.py T2 rule tone]</w:t>
      </w:r>
      <w:r w:rsidDel="00000000" w:rsidR="00000000" w:rsidRPr="00000000">
        <w:rPr>
          <w:rtl w:val="0"/>
        </w:rPr>
      </w:r>
    </w:p>
    <w:p w:rsidR="00000000" w:rsidDel="00000000" w:rsidP="00000000" w:rsidRDefault="00000000" w:rsidRPr="00000000" w14:paraId="000002BD">
      <w:pPr>
        <w:spacing w:after="200" w:before="80" w:line="276" w:lineRule="auto"/>
        <w:jc w:val="both"/>
        <w:rPr/>
      </w:pPr>
      <w:r w:rsidDel="00000000" w:rsidR="00000000" w:rsidRPr="00000000">
        <w:rPr>
          <w:i w:val="1"/>
          <w:iCs w:val="1"/>
          <w:color w:val="666666"/>
          <w:sz w:val="20"/>
          <w:szCs w:val="20"/>
          <w:rtl w:val="0"/>
        </w:rPr>
        <w:t xml:space="preserve">[Figure A.25: ground_truth.py T2 hybrid tone]</w:t>
      </w:r>
      <w:r w:rsidDel="00000000" w:rsidR="00000000" w:rsidRPr="00000000">
        <w:rPr>
          <w:rtl w:val="0"/>
        </w:rPr>
      </w:r>
    </w:p>
    <w:p w:rsidR="00000000" w:rsidDel="00000000" w:rsidP="00000000" w:rsidRDefault="00000000" w:rsidRPr="00000000" w14:paraId="000002BE">
      <w:pPr>
        <w:spacing w:after="160" w:before="100" w:line="276" w:lineRule="auto"/>
        <w:jc w:val="both"/>
        <w:rPr/>
      </w:pPr>
      <w:r w:rsidDel="00000000" w:rsidR="00000000" w:rsidRPr="00000000">
        <w:rPr>
          <w:rtl w:val="0"/>
        </w:rPr>
        <w:t xml:space="preserve">The hybrid resolver (Figure A.25) produced: Unknown (1,770, 85.3%), Commitment (117, 5.6%), Action (95, 4.6%), Outcome (89, 4.3%). The hybrid classifier thus increases the abstention rate by 23.4 percentage points relative to the rule-only baseline — the opposite direction from the expected improvement. The rule-by-hybrid crosstab (Figure A.27) illuminates the mechanism: of the 451 records labelled Commitment by the rule system, the hybrid reclassifies 395 as Unknown (87.6%). This means the hybrid is systematically overriding the rule system's highest-confidence label — the category where the rule system is most decisive — with abstention.</w:t>
      </w:r>
    </w:p>
    <w:p w:rsidR="00000000" w:rsidDel="00000000" w:rsidP="00000000" w:rsidRDefault="00000000" w:rsidRPr="00000000" w14:paraId="000002BF">
      <w:pPr>
        <w:spacing w:after="200" w:before="80" w:line="276" w:lineRule="auto"/>
        <w:jc w:val="both"/>
        <w:rPr/>
      </w:pPr>
      <w:r w:rsidDel="00000000" w:rsidR="00000000" w:rsidRPr="00000000">
        <w:rPr>
          <w:i w:val="1"/>
          <w:iCs w:val="1"/>
          <w:color w:val="666666"/>
          <w:sz w:val="20"/>
          <w:szCs w:val="20"/>
          <w:rtl w:val="0"/>
        </w:rPr>
        <w:t xml:space="preserve">[Figure A.27: ground_truth.py rule vs hybrid tone]</w:t>
      </w:r>
      <w:r w:rsidDel="00000000" w:rsidR="00000000" w:rsidRPr="00000000">
        <w:rPr>
          <w:rtl w:val="0"/>
        </w:rPr>
      </w:r>
    </w:p>
    <w:p w:rsidR="00000000" w:rsidDel="00000000" w:rsidP="00000000" w:rsidRDefault="00000000" w:rsidRPr="00000000" w14:paraId="000002C0">
      <w:pPr>
        <w:spacing w:after="160" w:before="100" w:line="276" w:lineRule="auto"/>
        <w:jc w:val="both"/>
        <w:rPr/>
      </w:pPr>
      <w:r w:rsidDel="00000000" w:rsidR="00000000" w:rsidRPr="00000000">
        <w:rPr>
          <w:rtl w:val="0"/>
        </w:rPr>
        <w:t xml:space="preserve">The most probable explanation is a threshold calibration issue in the hybrid resolver: the LLM component's confidence threshold for overriding the rule signal may be set too high, causing it to abstain when it should either confirm or reclassify. This is a diagnostic finding for RQ4, returned to in Chapter 5. For the purposes of the Chapter 4 empirical results, the key conclusion is that the T2 hybrid system in its current configuration is not fit for purpose as a standalone tone classifier, and the silver dataset tone labels are produced via a separate pathway (the full pipeline rather than the T2 ground-truth evaluation subset).</w:t>
      </w:r>
    </w:p>
    <w:p w:rsidR="00000000" w:rsidDel="00000000" w:rsidP="00000000" w:rsidRDefault="00000000" w:rsidRPr="00000000" w14:paraId="000002C1">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4.3.3  T2 Sentiment Distribution</w:t>
      </w:r>
    </w:p>
    <w:p w:rsidR="00000000" w:rsidDel="00000000" w:rsidP="00000000" w:rsidRDefault="00000000" w:rsidRPr="00000000" w14:paraId="000002C2">
      <w:pPr>
        <w:spacing w:after="160" w:before="100" w:line="276" w:lineRule="auto"/>
        <w:jc w:val="both"/>
        <w:rPr/>
      </w:pPr>
      <w:r w:rsidDel="00000000" w:rsidR="00000000" w:rsidRPr="00000000">
        <w:rPr>
          <w:rtl w:val="0"/>
        </w:rPr>
        <w:t xml:space="preserve">The T2 stage also produced sentiment predictions across the 2,074-record subset: Neutral (1,945, 93.8%), Positive (109, 5.3%), Negative (17, 0.8%), missing (3, 0.1%). The 93.8% neutral rate exceeds the 80% upper bound typically observed in well-calibrated sustainability report sentiment systems (Loughnan and McDonald framework, adapted to ESG). Two interpretations are plausible: the sentiment model is under-sensitive, defaulting to Neutral when uncertain; or Indonesian sustainability report text genuinely contains almost no sentiment, which would be consistent with the compliance-reporting character of OJK-mandated disclosures. The 17 negative records are too sparse to draw conclusions but are consistent with the expected distribution of acknowledged risk disclosures.</w:t>
      </w:r>
    </w:p>
    <w:p w:rsidR="00000000" w:rsidDel="00000000" w:rsidP="00000000" w:rsidRDefault="00000000" w:rsidRPr="00000000" w14:paraId="000002C3">
      <w:pPr>
        <w:spacing w:after="200" w:before="80" w:line="276" w:lineRule="auto"/>
        <w:jc w:val="both"/>
        <w:rPr/>
      </w:pPr>
      <w:r w:rsidDel="00000000" w:rsidR="00000000" w:rsidRPr="00000000">
        <w:rPr>
          <w:i w:val="1"/>
          <w:iCs w:val="1"/>
          <w:color w:val="666666"/>
          <w:sz w:val="20"/>
          <w:szCs w:val="20"/>
          <w:rtl w:val="0"/>
        </w:rPr>
        <w:t xml:space="preserve">[Figure A.26: ground_truth.py T2 sentiment]</w:t>
      </w:r>
      <w:r w:rsidDel="00000000" w:rsidR="00000000" w:rsidRPr="00000000">
        <w:rPr>
          <w:rtl w:val="0"/>
        </w:rPr>
      </w:r>
    </w:p>
    <w:p w:rsidR="00000000" w:rsidDel="00000000" w:rsidP="00000000" w:rsidRDefault="00000000" w:rsidRPr="00000000" w14:paraId="000002C4">
      <w:pPr>
        <w:spacing w:after="160" w:before="100" w:line="276" w:lineRule="auto"/>
        <w:jc w:val="both"/>
        <w:rPr/>
      </w:pPr>
      <w:r w:rsidDel="00000000" w:rsidR="00000000" w:rsidRPr="00000000">
        <w:rPr>
          <w:rtl w:val="0"/>
        </w:rPr>
        <w:t xml:space="preserve">The ground-truth tone comparison matrix (Figure A.19) provides the most direct accuracy evidence available, comparing pipeline tone predictions against the silver ground-truth labels. Per-class accuracy rates are: Action 94.8%, Commitment 90.3%, Outcome 85.8%, None 81.9%. All four classes meet or exceed the 70% per-class diagonal dominance threshold, with Action and Commitment strongly outperforming. The None class, at 81.9%, is the weakest and shows the most off-diagonal confusion with Action (223 misclassified) — consistent with the general difficulty of distinguishing neutral descriptive statements from weakly action-framed language in sustainability reporting.</w:t>
      </w:r>
    </w:p>
    <w:p w:rsidR="00000000" w:rsidDel="00000000" w:rsidP="00000000" w:rsidRDefault="00000000" w:rsidRPr="00000000" w14:paraId="000002C5">
      <w:pPr>
        <w:spacing w:after="200" w:before="80" w:line="276" w:lineRule="auto"/>
        <w:jc w:val="both"/>
        <w:rPr/>
      </w:pPr>
      <w:r w:rsidDel="00000000" w:rsidR="00000000" w:rsidRPr="00000000">
        <w:rPr>
          <w:i w:val="1"/>
          <w:iCs w:val="1"/>
          <w:color w:val="666666"/>
          <w:sz w:val="20"/>
          <w:szCs w:val="20"/>
          <w:rtl w:val="0"/>
        </w:rPr>
        <w:t xml:space="preserve">[Figure A.19: Ground truth tone comparison]</w:t>
      </w:r>
      <w:r w:rsidDel="00000000" w:rsidR="00000000" w:rsidRPr="00000000">
        <w:rPr>
          <w:rtl w:val="0"/>
        </w:rPr>
      </w:r>
    </w:p>
    <w:p w:rsidR="00000000" w:rsidDel="00000000" w:rsidP="00000000" w:rsidRDefault="00000000" w:rsidRPr="00000000" w14:paraId="000002C6">
      <w:pPr>
        <w:spacing w:after="80" w:before="80" w:line="240" w:lineRule="auto"/>
        <w:rPr/>
      </w:pPr>
      <w:r w:rsidDel="00000000" w:rsidR="00000000" w:rsidRPr="00000000">
        <w:rPr>
          <w:rtl w:val="0"/>
        </w:rPr>
      </w:r>
    </w:p>
    <w:p w:rsidR="00000000" w:rsidDel="00000000" w:rsidP="00000000" w:rsidRDefault="00000000" w:rsidRPr="00000000" w14:paraId="000002C7">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4.4  ClimateBERT Cross-System Comparison (RQ3)</w:t>
      </w:r>
    </w:p>
    <w:p w:rsidR="00000000" w:rsidDel="00000000" w:rsidP="00000000" w:rsidRDefault="00000000" w:rsidRPr="00000000" w14:paraId="000002C8">
      <w:pPr>
        <w:spacing w:after="160" w:before="100" w:line="276" w:lineRule="auto"/>
        <w:jc w:val="both"/>
        <w:rPr/>
      </w:pPr>
      <w:r w:rsidDel="00000000" w:rsidR="00000000" w:rsidRPr="00000000">
        <w:rPr>
          <w:rtl w:val="0"/>
        </w:rPr>
        <w:t xml:space="preserve">A central research question of this thesis concerns whether the tone-based ABSA pipeline and ClimateBERT's label space capture the same construct or different ones. The empirical evidence from three sources — the tone-by-ClimateBERT-label crosstab (Figure A.4), the ClimateBERT baseline agreement analysis (Figure A.15), and the top-scoring ClimateBERT records (Figure A.5) — converges on a consistent finding: the two systems are measuring related but meaningfully distinct aspects of climate and sustainability language.</w:t>
      </w:r>
    </w:p>
    <w:p w:rsidR="00000000" w:rsidDel="00000000" w:rsidP="00000000" w:rsidRDefault="00000000" w:rsidRPr="00000000" w14:paraId="000002C9">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4.4.1  Tone-by-ClimateBERT Label Crosstab</w:t>
      </w:r>
    </w:p>
    <w:p w:rsidR="00000000" w:rsidDel="00000000" w:rsidP="00000000" w:rsidRDefault="00000000" w:rsidRPr="00000000" w14:paraId="000002CA">
      <w:pPr>
        <w:spacing w:after="160" w:before="100" w:line="276" w:lineRule="auto"/>
        <w:jc w:val="both"/>
        <w:rPr/>
      </w:pPr>
      <w:r w:rsidDel="00000000" w:rsidR="00000000" w:rsidRPr="00000000">
        <w:rPr>
          <w:rtl w:val="0"/>
        </w:rPr>
        <w:t xml:space="preserve">The crosstab of pipeline tone against ClimateBERT label family (Figure A.4) reveals the most interpretable alignment and divergence patterns. The Commitment tone maps most cleanly to ClimateBERT's climate-commitment label (91 records), representing the strongest correspondence between the two systems. However, the same Commitment-tone records also map to climate-d (57 records), indicating that ClimateBERT's general-purpose climate-disclosure category captures a significant share of what the pipeline identifies as commitment language.</w:t>
      </w:r>
    </w:p>
    <w:p w:rsidR="00000000" w:rsidDel="00000000" w:rsidP="00000000" w:rsidRDefault="00000000" w:rsidRPr="00000000" w14:paraId="000002CB">
      <w:pPr>
        <w:spacing w:after="200" w:before="80" w:line="276" w:lineRule="auto"/>
        <w:jc w:val="both"/>
        <w:rPr/>
      </w:pPr>
      <w:r w:rsidDel="00000000" w:rsidR="00000000" w:rsidRPr="00000000">
        <w:rPr>
          <w:i w:val="1"/>
          <w:iCs w:val="1"/>
          <w:color w:val="666666"/>
          <w:sz w:val="20"/>
          <w:szCs w:val="20"/>
          <w:rtl w:val="0"/>
        </w:rPr>
        <w:t xml:space="preserve">[Figure A.4: Tone by ClimateBERT label]</w:t>
      </w:r>
      <w:r w:rsidDel="00000000" w:rsidR="00000000" w:rsidRPr="00000000">
        <w:rPr>
          <w:rtl w:val="0"/>
        </w:rPr>
      </w:r>
    </w:p>
    <w:p w:rsidR="00000000" w:rsidDel="00000000" w:rsidP="00000000" w:rsidRDefault="00000000" w:rsidRPr="00000000" w14:paraId="000002CC">
      <w:pPr>
        <w:spacing w:after="160" w:before="100" w:line="276" w:lineRule="auto"/>
        <w:jc w:val="both"/>
        <w:rPr/>
      </w:pPr>
      <w:r w:rsidDel="00000000" w:rsidR="00000000" w:rsidRPr="00000000">
        <w:rPr>
          <w:rtl w:val="0"/>
        </w:rPr>
        <w:t xml:space="preserve">The most theoretically significant mismatch is in the None-tone row: 22 records with None tone receive a climate-commitment label from ClimateBERT. This indicates that ClimateBERT classifies as commitment-language some text that the pipeline identifies as neutral/descriptive. This is precisely the conflation Gap 2 describes — ClimateBERT's document-level training may lead it to assign commitment labels to contextual or boilerplate language that surrounds commitment statements without being performative itself. The Action-tone row shows a similar pattern, spreading across climate-d (23), other (7), and multiple sub-labels without a dominant cluster, suggesting that ClimateBERT's taxonomy does not have a clean analogue for the action category as defined in this thesis.</w:t>
      </w:r>
    </w:p>
    <w:p w:rsidR="00000000" w:rsidDel="00000000" w:rsidP="00000000" w:rsidRDefault="00000000" w:rsidRPr="00000000" w14:paraId="000002CD">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4.4.2  Cohen's Kappa and Agreement Metrics</w:t>
      </w:r>
    </w:p>
    <w:p w:rsidR="00000000" w:rsidDel="00000000" w:rsidP="00000000" w:rsidRDefault="00000000" w:rsidRPr="00000000" w14:paraId="000002CE">
      <w:pPr>
        <w:spacing w:after="160" w:before="100" w:line="276" w:lineRule="auto"/>
        <w:jc w:val="both"/>
        <w:rPr/>
      </w:pPr>
      <w:r w:rsidDel="00000000" w:rsidR="00000000" w:rsidRPr="00000000">
        <w:rPr>
          <w:rtl w:val="0"/>
        </w:rPr>
        <w:t xml:space="preserve">The ClimateBERT baseline analysis (Figure A.15) reports the following agreement metrics between the pipeline and ClimateBERT on the shared evaluation set: percent agreement 83.7%, Cohen's kappa 0.645, tone commitment rate 34.6%, ClimateBERT climate-commitment label rate 36.4%, and majority-baseline commitment binary 65.6%. The proxy kappa reported in the dashboard headline (0.645) falls in the moderate agreement range (0.60–0.79) by the Landis and Koch convention.</w:t>
      </w:r>
    </w:p>
    <w:p w:rsidR="00000000" w:rsidDel="00000000" w:rsidP="00000000" w:rsidRDefault="00000000" w:rsidRPr="00000000" w14:paraId="000002CF">
      <w:pPr>
        <w:spacing w:after="200" w:before="80" w:line="276" w:lineRule="auto"/>
        <w:jc w:val="both"/>
        <w:rPr/>
      </w:pPr>
      <w:r w:rsidDel="00000000" w:rsidR="00000000" w:rsidRPr="00000000">
        <w:rPr>
          <w:i w:val="1"/>
          <w:iCs w:val="1"/>
          <w:color w:val="666666"/>
          <w:sz w:val="20"/>
          <w:szCs w:val="20"/>
          <w:rtl w:val="0"/>
        </w:rPr>
        <w:t xml:space="preserve">[Figure A.15: ClimateBERT baseline]</w:t>
      </w:r>
      <w:r w:rsidDel="00000000" w:rsidR="00000000" w:rsidRPr="00000000">
        <w:rPr>
          <w:rtl w:val="0"/>
        </w:rPr>
      </w:r>
    </w:p>
    <w:p w:rsidR="00000000" w:rsidDel="00000000" w:rsidP="00000000" w:rsidRDefault="00000000" w:rsidRPr="00000000" w14:paraId="000002D0">
      <w:pPr>
        <w:spacing w:after="160" w:before="100" w:line="276" w:lineRule="auto"/>
        <w:jc w:val="both"/>
        <w:rPr/>
      </w:pPr>
      <w:r w:rsidDel="00000000" w:rsidR="00000000" w:rsidRPr="00000000">
        <w:rPr>
          <w:rtl w:val="0"/>
        </w:rPr>
        <w:t xml:space="preserve">Three numbers must be carefully distinguished here. First, the percent agreement of 83.7% reflects raw label co-occurrence and does not correct for chance. Second, Cohen's kappa of 0.645 is the chance-corrected agreement coefficient, and is the methodologically appropriate metric for comparing two classification systems. Third, the majority baseline of 65.6% — a naive classifier that always predicts commitment — provides essential context: a system would achieve 65.6% agreement with ClimateBERT by chance alone, making the adjusted kappa of 0.645 the genuinely informative number. Fourth, the 0.788 figure that appears in some pipeline documentation refers to a different comparison (pipeline tone agreement with the silver dataset labels) and should not be conflated with the ClimateBERT comparison kappa.</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2D1">
            <w:pPr>
              <w:spacing w:after="60" w:before="60" w:line="260" w:lineRule="auto"/>
              <w:rPr/>
            </w:pPr>
            <w:r w:rsidDel="00000000" w:rsidR="00000000" w:rsidRPr="00000000">
              <w:rPr>
                <w:i w:val="1"/>
                <w:iCs w:val="1"/>
                <w:color w:val="1f4e79"/>
                <w:sz w:val="20"/>
                <w:szCs w:val="20"/>
                <w:rtl w:val="0"/>
              </w:rPr>
              <w:t xml:space="preserve">Methodological clarification: The kappa=0.645 is a proxy agreement between the ABSA pipeline tone labels and ClimateBERT-derived classification labels. It is not a human inter-annotator agreement coefficient. No dual-human annotation has been completed in this study. The distinction is critical: kappa in the IAA sense would require two independent human annotators labelling the same records; kappa in the proxy sense compares two automated systems. Both are valid analytical operations, but they answer different questions.</w:t>
            </w:r>
            <w:r w:rsidDel="00000000" w:rsidR="00000000" w:rsidRPr="00000000">
              <w:rPr>
                <w:rtl w:val="0"/>
              </w:rPr>
            </w:r>
          </w:p>
        </w:tc>
      </w:tr>
    </w:tbl>
    <w:p w:rsidR="00000000" w:rsidDel="00000000" w:rsidP="00000000" w:rsidRDefault="00000000" w:rsidRPr="00000000" w14:paraId="000002D2">
      <w:pPr>
        <w:spacing w:after="160" w:before="100" w:line="276" w:lineRule="auto"/>
        <w:jc w:val="both"/>
        <w:rPr/>
      </w:pPr>
      <w:r w:rsidDel="00000000" w:rsidR="00000000" w:rsidRPr="00000000">
        <w:rPr>
          <w:rtl w:val="0"/>
        </w:rPr>
        <w:t xml:space="preserve">The moderate kappa is the novel finding this thesis argues for RQ3: not that the systems agree, but that they diverge in theoretically interpretable ways. A kappa of 0.645 with a majority baseline of 0.656 places the two systems in a regime where they are related — sharing some labelling of the most salient climate-commitment language — but not measuring the same construct. The pipeline is capturing tone as a property of individual sentences; ClimateBERT is assigning labels calibrated to document-level climate relevance. The divergence is the signal, not the noise.</w:t>
      </w:r>
    </w:p>
    <w:p w:rsidR="00000000" w:rsidDel="00000000" w:rsidP="00000000" w:rsidRDefault="00000000" w:rsidRPr="00000000" w14:paraId="000002D3">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4.4.3  ClimateBERT Score Distribution</w:t>
      </w:r>
    </w:p>
    <w:p w:rsidR="00000000" w:rsidDel="00000000" w:rsidP="00000000" w:rsidRDefault="00000000" w:rsidRPr="00000000" w14:paraId="000002D4">
      <w:pPr>
        <w:spacing w:after="160" w:before="100" w:line="276" w:lineRule="auto"/>
        <w:jc w:val="both"/>
        <w:rPr/>
      </w:pPr>
      <w:r w:rsidDel="00000000" w:rsidR="00000000" w:rsidRPr="00000000">
        <w:rPr>
          <w:rtl w:val="0"/>
        </w:rPr>
        <w:t xml:space="preserve">The top-scoring ClimateBERT records (Figure A.5) show that high-confidence ClimateBERT outputs are concentrated on a narrow subset of records, with most records receiving low or missing confidence scores. This right-skewed distribution is inconsistent with a well-calibrated classifier applied to its target domain, where confidence scores would be expected to distribute more evenly. The practical implication is that ClimateBERT is recognising only a small fraction of the Indonesian/bilingual ESG corpus as clearly within its training distribution — reinforcing the domain-mismatch finding from the T1 failure rate.</w:t>
      </w:r>
    </w:p>
    <w:p w:rsidR="00000000" w:rsidDel="00000000" w:rsidP="00000000" w:rsidRDefault="00000000" w:rsidRPr="00000000" w14:paraId="000002D5">
      <w:pPr>
        <w:spacing w:after="200" w:before="80" w:line="276" w:lineRule="auto"/>
        <w:jc w:val="both"/>
        <w:rPr/>
      </w:pPr>
      <w:r w:rsidDel="00000000" w:rsidR="00000000" w:rsidRPr="00000000">
        <w:rPr>
          <w:i w:val="1"/>
          <w:iCs w:val="1"/>
          <w:color w:val="666666"/>
          <w:sz w:val="20"/>
          <w:szCs w:val="20"/>
          <w:rtl w:val="0"/>
        </w:rPr>
        <w:t xml:space="preserve">[Figure A.5: Top-scoring ClimateBERT records]</w:t>
      </w:r>
      <w:r w:rsidDel="00000000" w:rsidR="00000000" w:rsidRPr="00000000">
        <w:rPr>
          <w:rtl w:val="0"/>
        </w:rPr>
      </w:r>
    </w:p>
    <w:p w:rsidR="00000000" w:rsidDel="00000000" w:rsidP="00000000" w:rsidRDefault="00000000" w:rsidRPr="00000000" w14:paraId="000002D6">
      <w:pPr>
        <w:spacing w:after="80" w:before="80" w:line="240" w:lineRule="auto"/>
        <w:rPr/>
      </w:pPr>
      <w:r w:rsidDel="00000000" w:rsidR="00000000" w:rsidRPr="00000000">
        <w:rPr>
          <w:rtl w:val="0"/>
        </w:rPr>
      </w:r>
    </w:p>
    <w:p w:rsidR="00000000" w:rsidDel="00000000" w:rsidP="00000000" w:rsidRDefault="00000000" w:rsidRPr="00000000" w14:paraId="000002D7">
      <w:pPr>
        <w:pStyle w:val="Heading2"/>
        <w:keepNext w:val="0"/>
        <w:keepLines w:val="0"/>
        <w:spacing w:after="180" w:line="240" w:lineRule="auto"/>
        <w:rPr>
          <w:b w:val="1"/>
          <w:bCs w:val="1"/>
          <w:color w:val="2e5496"/>
          <w:sz w:val="28"/>
          <w:szCs w:val="28"/>
        </w:rPr>
      </w:pPr>
      <w:bookmarkStart w:colFirst="0" w:colLast="0" w:name="_labi3pzdqs0u" w:id="34"/>
      <w:bookmarkEnd w:id="34"/>
      <w:r w:rsidDel="00000000" w:rsidR="00000000" w:rsidRPr="00000000">
        <w:rPr>
          <w:b w:val="1"/>
          <w:bCs w:val="1"/>
          <w:color w:val="2e5496"/>
          <w:sz w:val="28"/>
          <w:szCs w:val="28"/>
          <w:rtl w:val="0"/>
        </w:rPr>
        <w:t xml:space="preserve">4.5  Model and Prompt Stability (RQ6 – Preliminary Evidence)</w:t>
      </w:r>
    </w:p>
    <w:p w:rsidR="00000000" w:rsidDel="00000000" w:rsidP="00000000" w:rsidRDefault="00000000" w:rsidRPr="00000000" w14:paraId="000002D8">
      <w:pPr>
        <w:spacing w:after="160" w:before="100" w:line="276" w:lineRule="auto"/>
        <w:jc w:val="both"/>
        <w:rPr/>
      </w:pPr>
      <w:r w:rsidDel="00000000" w:rsidR="00000000" w:rsidRPr="00000000">
        <w:rPr>
          <w:rtl w:val="0"/>
        </w:rPr>
        <w:t xml:space="preserve">Stability analysis across six models and six prompt templates provides preliminary evidence for the RQ6 claims about cross-model and cross-prompt reliability. Full stability benchmarking is presented in Chapter 6; this section reports the core evidence generated during pipeline execution.</w:t>
      </w:r>
    </w:p>
    <w:p w:rsidR="00000000" w:rsidDel="00000000" w:rsidP="00000000" w:rsidRDefault="00000000" w:rsidRPr="00000000" w14:paraId="000002D9">
      <w:pPr>
        <w:spacing w:after="160" w:before="100" w:line="276" w:lineRule="auto"/>
        <w:jc w:val="both"/>
        <w:rPr/>
      </w:pPr>
      <w:r w:rsidDel="00000000" w:rsidR="00000000" w:rsidRPr="00000000">
        <w:rPr>
          <w:rtl w:val="0"/>
        </w:rPr>
        <w:t xml:space="preserve">JSON parse success rates (Figure A.10) vary substantially across models. arcee-ai/trinity-large-preview:free achieved a perfect 1.000 parse rate across 90 runs, and openai/gpt-oss-120b:free achieved 1.000 across 20 runs — both exceeding the 0.95 threshold for production-quality structured output. arcee-ai/trinity-large-thinking:free (89 runs) scored 0.899, just below the threshold. minimax/minimax-m2.5:free, the most frequently used model at 776 runs, achieved only 0.566 — well below the 0.90 threshold for research-quality use. The qwen3.5:0.8b model produced only 2 runs with a 0.0 parse rate, insufficient for any stability claim.</w:t>
      </w:r>
    </w:p>
    <w:p w:rsidR="00000000" w:rsidDel="00000000" w:rsidP="00000000" w:rsidRDefault="00000000" w:rsidRPr="00000000" w14:paraId="000002DA">
      <w:pPr>
        <w:spacing w:after="200" w:before="80" w:line="276" w:lineRule="auto"/>
        <w:jc w:val="both"/>
        <w:rPr/>
      </w:pPr>
      <w:r w:rsidDel="00000000" w:rsidR="00000000" w:rsidRPr="00000000">
        <w:rPr>
          <w:i w:val="1"/>
          <w:iCs w:val="1"/>
          <w:color w:val="666666"/>
          <w:sz w:val="20"/>
          <w:szCs w:val="20"/>
          <w:rtl w:val="0"/>
        </w:rPr>
        <w:t xml:space="preserve">[Figure A.10: Model parse success benchmark]</w:t>
      </w:r>
      <w:r w:rsidDel="00000000" w:rsidR="00000000" w:rsidRPr="00000000">
        <w:rPr>
          <w:rtl w:val="0"/>
        </w:rPr>
      </w:r>
    </w:p>
    <w:p w:rsidR="00000000" w:rsidDel="00000000" w:rsidP="00000000" w:rsidRDefault="00000000" w:rsidRPr="00000000" w14:paraId="000002DB">
      <w:pPr>
        <w:spacing w:after="200" w:before="80" w:line="276" w:lineRule="auto"/>
        <w:jc w:val="both"/>
        <w:rPr/>
      </w:pPr>
      <w:r w:rsidDel="00000000" w:rsidR="00000000" w:rsidRPr="00000000">
        <w:rPr>
          <w:i w:val="1"/>
          <w:iCs w:val="1"/>
          <w:color w:val="666666"/>
          <w:sz w:val="20"/>
          <w:szCs w:val="20"/>
          <w:rtl w:val="0"/>
        </w:rPr>
        <w:t xml:space="preserve">[Figure A.14: Repeated LLM runs]</w:t>
      </w:r>
      <w:r w:rsidDel="00000000" w:rsidR="00000000" w:rsidRPr="00000000">
        <w:rPr>
          <w:rtl w:val="0"/>
        </w:rPr>
      </w:r>
    </w:p>
    <w:p w:rsidR="00000000" w:rsidDel="00000000" w:rsidP="00000000" w:rsidRDefault="00000000" w:rsidRPr="00000000" w14:paraId="000002DC">
      <w:pPr>
        <w:spacing w:after="160" w:before="100" w:line="276" w:lineRule="auto"/>
        <w:jc w:val="both"/>
        <w:rPr/>
      </w:pPr>
      <w:r w:rsidDel="00000000" w:rsidR="00000000" w:rsidRPr="00000000">
        <w:rPr>
          <w:rtl w:val="0"/>
        </w:rPr>
        <w:t xml:space="preserve">Missing-tone rates across the six designed prompt templates (Figure A.11) are near-zero for all templates except data.md, which returns a 1.000 missing rate as expected — data.md is the raw data prompt not designed for tone classification and functions as a negative control. The six designed tone prompts (tone_chain_of_thought_english, tone_chain_of_thought_indonesian, tone_few_shot_english, tone_few_shot_indonesian, tone_zero_shot_english, tone_zero_shot_indonesian) all achieve 0.000 missing-tone rate. Against the 5% acceptable threshold for LLM-based extraction prompts, this outperformance is the strongest positive result in the prompt engineering evaluation.</w:t>
      </w:r>
    </w:p>
    <w:p w:rsidR="00000000" w:rsidDel="00000000" w:rsidP="00000000" w:rsidRDefault="00000000" w:rsidRPr="00000000" w14:paraId="000002DD">
      <w:pPr>
        <w:spacing w:after="200" w:before="80" w:line="276" w:lineRule="auto"/>
        <w:jc w:val="both"/>
        <w:rPr/>
      </w:pPr>
      <w:r w:rsidDel="00000000" w:rsidR="00000000" w:rsidRPr="00000000">
        <w:rPr>
          <w:i w:val="1"/>
          <w:iCs w:val="1"/>
          <w:color w:val="666666"/>
          <w:sz w:val="20"/>
          <w:szCs w:val="20"/>
          <w:rtl w:val="0"/>
        </w:rPr>
        <w:t xml:space="preserve">[Figure A.11: Prompt missing-tone benchmark]</w:t>
      </w:r>
      <w:r w:rsidDel="00000000" w:rsidR="00000000" w:rsidRPr="00000000">
        <w:rPr>
          <w:rtl w:val="0"/>
        </w:rPr>
      </w:r>
    </w:p>
    <w:p w:rsidR="00000000" w:rsidDel="00000000" w:rsidP="00000000" w:rsidRDefault="00000000" w:rsidRPr="00000000" w14:paraId="000002DE">
      <w:pPr>
        <w:spacing w:after="160" w:before="100" w:line="276" w:lineRule="auto"/>
        <w:jc w:val="both"/>
        <w:rPr/>
      </w:pPr>
      <w:r w:rsidDel="00000000" w:rsidR="00000000" w:rsidRPr="00000000">
        <w:rPr>
          <w:rtl w:val="0"/>
        </w:rPr>
        <w:t xml:space="preserve">The PDF-by-prompt coverage matrix confirms that all six tone prompts generated records across the document corpus, with prompt template contribution roughly proportional to run count. The data.md column returns zero records for all documents, confirming its role as a negative control rather than a contributing extraction pathway.</w:t>
      </w:r>
    </w:p>
    <w:p w:rsidR="00000000" w:rsidDel="00000000" w:rsidP="00000000" w:rsidRDefault="00000000" w:rsidRPr="00000000" w14:paraId="000002DF">
      <w:pPr>
        <w:pStyle w:val="Heading2"/>
        <w:rPr/>
      </w:pPr>
      <w:bookmarkStart w:colFirst="0" w:colLast="0" w:name="_rw04akkklvuu" w:id="35"/>
      <w:bookmarkEnd w:id="35"/>
      <w:r w:rsidDel="00000000" w:rsidR="00000000" w:rsidRPr="00000000">
        <w:rPr>
          <w:rtl w:val="0"/>
        </w:rPr>
        <w:t xml:space="preserve">4.3 RQ1 Results: PDF-To-Structured ESG Transformation</w:t>
      </w:r>
    </w:p>
    <w:p w:rsidR="00000000" w:rsidDel="00000000" w:rsidP="00000000" w:rsidRDefault="00000000" w:rsidRPr="00000000" w14:paraId="000002E0">
      <w:pPr>
        <w:rPr/>
      </w:pPr>
      <w:r w:rsidDel="00000000" w:rsidR="00000000" w:rsidRPr="00000000">
        <w:rPr>
          <w:rtl w:val="0"/>
        </w:rPr>
        <w:t xml:space="preserve">The pipeline currently demonstrates that PDF sustainability reports can be transformed into structured ESG evidence records. OCR documents are processed into text, LLM prompts extract records, and the resulting evidence table preserves prompt, model, timestamp, target document, and record index.</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Primary artifact: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results/thesis_workflow_dashboard/tone_records_flat.csv</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Main interpretation: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 output supports document-to-record transformation, but page-level OCR sampling remains necessary for stronger claims about OCR quality and extraction completeness.</w:t>
      </w:r>
    </w:p>
    <w:p w:rsidR="00000000" w:rsidDel="00000000" w:rsidP="00000000" w:rsidRDefault="00000000" w:rsidRPr="00000000" w14:paraId="000002E9">
      <w:pPr>
        <w:pStyle w:val="Heading2"/>
        <w:rPr/>
      </w:pPr>
      <w:bookmarkStart w:colFirst="0" w:colLast="0" w:name="_fpei6poqa1zp" w:id="36"/>
      <w:bookmarkEnd w:id="36"/>
      <w:r w:rsidDel="00000000" w:rsidR="00000000" w:rsidRPr="00000000">
        <w:rPr>
          <w:rtl w:val="0"/>
        </w:rPr>
        <w:t xml:space="preserve">4.4 RQ2 Results: ESG ABSA Schema</w:t>
      </w:r>
    </w:p>
    <w:p w:rsidR="00000000" w:rsidDel="00000000" w:rsidP="00000000" w:rsidRDefault="00000000" w:rsidRPr="00000000" w14:paraId="000002EA">
      <w:pPr>
        <w:rPr/>
      </w:pPr>
      <w:r w:rsidDel="00000000" w:rsidR="00000000" w:rsidRPr="00000000">
        <w:rPr>
          <w:rtl w:val="0"/>
        </w:rPr>
        <w:t xml:space="preserve">The ESG ABSA schema captures aspect, ESG pillar, sentiment, and tone. Current figures include: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14"/>
        </w:numPr>
        <w:ind w:left="720" w:hanging="360"/>
      </w:pPr>
      <w:r w:rsidDel="00000000" w:rsidR="00000000" w:rsidRPr="00000000">
        <w:rPr>
          <w:rtl w:val="0"/>
        </w:rPr>
        <w:t xml:space="preserve">Tone distribution.</w:t>
      </w:r>
    </w:p>
    <w:p w:rsidR="00000000" w:rsidDel="00000000" w:rsidP="00000000" w:rsidRDefault="00000000" w:rsidRPr="00000000" w14:paraId="000002ED">
      <w:pPr>
        <w:numPr>
          <w:ilvl w:val="0"/>
          <w:numId w:val="14"/>
        </w:numPr>
        <w:ind w:left="720" w:hanging="360"/>
      </w:pPr>
      <w:r w:rsidDel="00000000" w:rsidR="00000000" w:rsidRPr="00000000">
        <w:rPr>
          <w:rtl w:val="0"/>
        </w:rPr>
        <w:t xml:space="preserve">ESG by tone.</w:t>
      </w:r>
    </w:p>
    <w:p w:rsidR="00000000" w:rsidDel="00000000" w:rsidP="00000000" w:rsidRDefault="00000000" w:rsidRPr="00000000" w14:paraId="000002EE">
      <w:pPr>
        <w:numPr>
          <w:ilvl w:val="0"/>
          <w:numId w:val="14"/>
        </w:numPr>
        <w:ind w:left="720" w:hanging="360"/>
      </w:pPr>
      <w:r w:rsidDel="00000000" w:rsidR="00000000" w:rsidRPr="00000000">
        <w:rPr>
          <w:rtl w:val="0"/>
        </w:rPr>
        <w:t xml:space="preserve">Aspect by tone heatmap.</w:t>
      </w:r>
    </w:p>
    <w:p w:rsidR="00000000" w:rsidDel="00000000" w:rsidP="00000000" w:rsidRDefault="00000000" w:rsidRPr="00000000" w14:paraId="000002EF">
      <w:pPr>
        <w:numPr>
          <w:ilvl w:val="0"/>
          <w:numId w:val="14"/>
        </w:numPr>
        <w:ind w:left="720" w:hanging="360"/>
      </w:pPr>
      <w:r w:rsidDel="00000000" w:rsidR="00000000" w:rsidRPr="00000000">
        <w:rPr>
          <w:rtl w:val="0"/>
        </w:rPr>
        <w:t xml:space="preserve">Ground-truth tone comparison.</w:t>
      </w:r>
    </w:p>
    <w:p w:rsidR="00000000" w:rsidDel="00000000" w:rsidP="00000000" w:rsidRDefault="00000000" w:rsidRPr="00000000" w14:paraId="000002F0">
      <w:pPr>
        <w:numPr>
          <w:ilvl w:val="0"/>
          <w:numId w:val="14"/>
        </w:numPr>
        <w:ind w:left="720" w:hanging="360"/>
      </w:pPr>
      <w:r w:rsidDel="00000000" w:rsidR="00000000" w:rsidRPr="00000000">
        <w:rPr>
          <w:rtl w:val="0"/>
        </w:rPr>
        <w:t xml:space="preserve">T2 rule versus hybrid tone outputs.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Important graph attachments: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results/docx_graph_attachments/docx_full_tone_distribution.png</w:t>
      </w:r>
      <w:r w:rsidDel="00000000" w:rsidR="00000000" w:rsidRPr="00000000">
        <w:rPr>
          <w:rtl w:val="0"/>
        </w:rPr>
      </w:r>
    </w:p>
    <w:p w:rsidR="00000000" w:rsidDel="00000000" w:rsidP="00000000" w:rsidRDefault="00000000" w:rsidRPr="00000000" w14:paraId="000002F5">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results/docx_graph_attachments/docx_full_esg_by_tone.png</w:t>
      </w:r>
      <w:r w:rsidDel="00000000" w:rsidR="00000000" w:rsidRPr="00000000">
        <w:rPr>
          <w:rtl w:val="0"/>
        </w:rPr>
      </w:r>
    </w:p>
    <w:p w:rsidR="00000000" w:rsidDel="00000000" w:rsidP="00000000" w:rsidRDefault="00000000" w:rsidRPr="00000000" w14:paraId="000002F6">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results/docx_graph_attachments/docx_full_aspect_by_tone_heatmap.png</w:t>
      </w:r>
      <w:r w:rsidDel="00000000" w:rsidR="00000000" w:rsidRPr="00000000">
        <w:rPr>
          <w:rtl w:val="0"/>
        </w:rPr>
      </w:r>
    </w:p>
    <w:p w:rsidR="00000000" w:rsidDel="00000000" w:rsidP="00000000" w:rsidRDefault="00000000" w:rsidRPr="00000000" w14:paraId="000002F7">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results/docx_graph_attachments/docx_ground_truth_tone_comparison.png</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Main interpretation: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ABSA is appropriate because ESG disclosure meaning changes at the aspect level. A single report can contain commitments, actions, outcomes, missing labels, and neutral disclosures across different ESG aspects.</w:t>
      </w:r>
    </w:p>
    <w:p w:rsidR="00000000" w:rsidDel="00000000" w:rsidP="00000000" w:rsidRDefault="00000000" w:rsidRPr="00000000" w14:paraId="000002FC">
      <w:pPr>
        <w:pStyle w:val="Heading2"/>
        <w:rPr/>
      </w:pPr>
      <w:bookmarkStart w:colFirst="0" w:colLast="0" w:name="_7iirpqhn73zp" w:id="37"/>
      <w:bookmarkEnd w:id="37"/>
      <w:r w:rsidDel="00000000" w:rsidR="00000000" w:rsidRPr="00000000">
        <w:rPr>
          <w:rtl w:val="0"/>
        </w:rPr>
        <w:t xml:space="preserve">4.5 RQ3 Results: Tone Versus ClimateBERT</w:t>
      </w:r>
    </w:p>
    <w:p w:rsidR="00000000" w:rsidDel="00000000" w:rsidP="00000000" w:rsidRDefault="00000000" w:rsidRPr="00000000" w14:paraId="000002FD">
      <w:pPr>
        <w:rPr/>
      </w:pPr>
      <w:r w:rsidDel="00000000" w:rsidR="00000000" w:rsidRPr="00000000">
        <w:rPr>
          <w:rtl w:val="0"/>
        </w:rPr>
        <w:t xml:space="preserve">The current ClimateBERT comparison shows: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14"/>
        </w:numPr>
        <w:ind w:left="720" w:hanging="360"/>
      </w:pPr>
      <w:r w:rsidDel="00000000" w:rsidR="00000000" w:rsidRPr="00000000">
        <w:rPr>
          <w:rtl w:val="0"/>
        </w:rPr>
        <w:t xml:space="preserve">Percent agreement: 83.7%.</w:t>
      </w:r>
    </w:p>
    <w:p w:rsidR="00000000" w:rsidDel="00000000" w:rsidP="00000000" w:rsidRDefault="00000000" w:rsidRPr="00000000" w14:paraId="00000300">
      <w:pPr>
        <w:numPr>
          <w:ilvl w:val="0"/>
          <w:numId w:val="14"/>
        </w:numPr>
        <w:ind w:left="720" w:hanging="360"/>
      </w:pPr>
      <w:r w:rsidDel="00000000" w:rsidR="00000000" w:rsidRPr="00000000">
        <w:rPr>
          <w:rtl w:val="0"/>
        </w:rPr>
        <w:t xml:space="preserve">Cohen's kappa: 0.645.</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This indicates substantial but incomplete alignment. ClimateBERT is useful as a climate-focused baseline, but it does not replace ESG ABSA because ESG tone includes broader disclosure categories and non-climate aspects.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Important graph attachments: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results/docx_graph_attachments/docx_climatebert_baseline.png</w:t>
      </w:r>
      <w:r w:rsidDel="00000000" w:rsidR="00000000" w:rsidRPr="00000000">
        <w:rPr>
          <w:rtl w:val="0"/>
        </w:rPr>
      </w:r>
    </w:p>
    <w:p w:rsidR="00000000" w:rsidDel="00000000" w:rsidP="00000000" w:rsidRDefault="00000000" w:rsidRPr="00000000" w14:paraId="00000307">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results/thesis_workflow_dashboard/climatebert_label_by_tone.png</w:t>
      </w:r>
      <w:r w:rsidDel="00000000" w:rsidR="00000000" w:rsidRPr="00000000">
        <w:rPr>
          <w:rtl w:val="0"/>
        </w:rPr>
      </w:r>
    </w:p>
    <w:p w:rsidR="00000000" w:rsidDel="00000000" w:rsidP="00000000" w:rsidRDefault="00000000" w:rsidRPr="00000000" w14:paraId="00000308">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results/thesis_workflow_dashboard/climatebert_remote_top_scores.png</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Main interpretation: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disagreement between tone and ClimateBERT labels is not only an error signal. It is also evidence that ESG tone and climate commitment are related but distinct constructs.</w:t>
      </w:r>
    </w:p>
    <w:p w:rsidR="00000000" w:rsidDel="00000000" w:rsidP="00000000" w:rsidRDefault="00000000" w:rsidRPr="00000000" w14:paraId="0000030D">
      <w:pPr>
        <w:pStyle w:val="Heading2"/>
        <w:rPr/>
      </w:pPr>
      <w:bookmarkStart w:colFirst="0" w:colLast="0" w:name="_xhgc2lgx76oy" w:id="38"/>
      <w:bookmarkEnd w:id="38"/>
      <w:r w:rsidDel="00000000" w:rsidR="00000000" w:rsidRPr="00000000">
        <w:rPr>
          <w:rtl w:val="0"/>
        </w:rPr>
        <w:t xml:space="preserve">4.6 RQ4 Results: Diagnostics And Ontology Gaps</w:t>
      </w:r>
    </w:p>
    <w:p w:rsidR="00000000" w:rsidDel="00000000" w:rsidP="00000000" w:rsidRDefault="00000000" w:rsidRPr="00000000" w14:paraId="0000030E">
      <w:pPr>
        <w:rPr/>
      </w:pPr>
      <w:r w:rsidDel="00000000" w:rsidR="00000000" w:rsidRPr="00000000">
        <w:rPr>
          <w:rtl w:val="0"/>
        </w:rPr>
        <w:t xml:space="preserve">The system tracks diagnostic categories such as: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numPr>
          <w:ilvl w:val="0"/>
          <w:numId w:val="14"/>
        </w:numPr>
        <w:ind w:left="720" w:hanging="360"/>
      </w:pPr>
      <w:r w:rsidDel="00000000" w:rsidR="00000000" w:rsidRPr="00000000">
        <w:rPr>
          <w:rtl w:val="0"/>
        </w:rPr>
        <w:t xml:space="preserve">Missing tone labels.</w:t>
      </w:r>
    </w:p>
    <w:p w:rsidR="00000000" w:rsidDel="00000000" w:rsidP="00000000" w:rsidRDefault="00000000" w:rsidRPr="00000000" w14:paraId="00000311">
      <w:pPr>
        <w:numPr>
          <w:ilvl w:val="0"/>
          <w:numId w:val="14"/>
        </w:numPr>
        <w:ind w:left="720" w:hanging="360"/>
      </w:pPr>
      <w:r w:rsidDel="00000000" w:rsidR="00000000" w:rsidRPr="00000000">
        <w:rPr>
          <w:rtl w:val="0"/>
        </w:rPr>
        <w:t xml:space="preserve">Schema drift.</w:t>
      </w:r>
    </w:p>
    <w:p w:rsidR="00000000" w:rsidDel="00000000" w:rsidP="00000000" w:rsidRDefault="00000000" w:rsidRPr="00000000" w14:paraId="00000312">
      <w:pPr>
        <w:numPr>
          <w:ilvl w:val="0"/>
          <w:numId w:val="14"/>
        </w:numPr>
        <w:ind w:left="720" w:hanging="360"/>
      </w:pPr>
      <w:r w:rsidDel="00000000" w:rsidR="00000000" w:rsidRPr="00000000">
        <w:rPr>
          <w:rtl w:val="0"/>
        </w:rPr>
        <w:t xml:space="preserve">JSON parse failures.</w:t>
      </w:r>
    </w:p>
    <w:p w:rsidR="00000000" w:rsidDel="00000000" w:rsidP="00000000" w:rsidRDefault="00000000" w:rsidRPr="00000000" w14:paraId="00000313">
      <w:pPr>
        <w:numPr>
          <w:ilvl w:val="0"/>
          <w:numId w:val="14"/>
        </w:numPr>
        <w:ind w:left="720" w:hanging="360"/>
      </w:pPr>
      <w:r w:rsidDel="00000000" w:rsidR="00000000" w:rsidRPr="00000000">
        <w:rPr>
          <w:rtl w:val="0"/>
        </w:rPr>
        <w:t xml:space="preserve">OCR text loss.</w:t>
      </w:r>
    </w:p>
    <w:p w:rsidR="00000000" w:rsidDel="00000000" w:rsidP="00000000" w:rsidRDefault="00000000" w:rsidRPr="00000000" w14:paraId="00000314">
      <w:pPr>
        <w:numPr>
          <w:ilvl w:val="0"/>
          <w:numId w:val="14"/>
        </w:numPr>
        <w:ind w:left="720" w:hanging="360"/>
      </w:pPr>
      <w:r w:rsidDel="00000000" w:rsidR="00000000" w:rsidRPr="00000000">
        <w:rPr>
          <w:rtl w:val="0"/>
        </w:rPr>
        <w:t xml:space="preserve">Bilingual code-switching.</w:t>
      </w:r>
    </w:p>
    <w:p w:rsidR="00000000" w:rsidDel="00000000" w:rsidP="00000000" w:rsidRDefault="00000000" w:rsidRPr="00000000" w14:paraId="00000315">
      <w:pPr>
        <w:numPr>
          <w:ilvl w:val="0"/>
          <w:numId w:val="14"/>
        </w:numPr>
        <w:ind w:left="720" w:hanging="360"/>
      </w:pPr>
      <w:r w:rsidDel="00000000" w:rsidR="00000000" w:rsidRPr="00000000">
        <w:rPr>
          <w:rtl w:val="0"/>
        </w:rPr>
        <w:t xml:space="preserve">Ontology unmapped aspects.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Important artifacts: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results/thesis_workflow_dashboard/failure_mode_counts.csv</w:t>
      </w:r>
      <w:r w:rsidDel="00000000" w:rsidR="00000000" w:rsidRPr="00000000">
        <w:rPr>
          <w:rtl w:val="0"/>
        </w:rPr>
      </w:r>
    </w:p>
    <w:p w:rsidR="00000000" w:rsidDel="00000000" w:rsidP="00000000" w:rsidRDefault="00000000" w:rsidRPr="00000000" w14:paraId="0000031A">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results/thesis_workflow_dashboard/ontology_coverage.csv</w:t>
      </w:r>
      <w:r w:rsidDel="00000000" w:rsidR="00000000" w:rsidRPr="00000000">
        <w:rPr>
          <w:rtl w:val="0"/>
        </w:rPr>
      </w:r>
    </w:p>
    <w:p w:rsidR="00000000" w:rsidDel="00000000" w:rsidP="00000000" w:rsidRDefault="00000000" w:rsidRPr="00000000" w14:paraId="0000031B">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results/docx_graph_attachments/docx_ontology_mapped_vs_unmapped.png</w:t>
      </w:r>
      <w:r w:rsidDel="00000000" w:rsidR="00000000" w:rsidRPr="00000000">
        <w:rPr>
          <w:rtl w:val="0"/>
        </w:rPr>
      </w:r>
    </w:p>
    <w:p w:rsidR="00000000" w:rsidDel="00000000" w:rsidP="00000000" w:rsidRDefault="00000000" w:rsidRPr="00000000" w14:paraId="0000031C">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results/docx_graph_attachments/docx_ontology_extension_candidates.png</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Main interpretation: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Diagnostics transform pipeline weaknesses into research evidence. Unmapped aspects can reveal local ESG vocabulary that is not fully covered by imported ontology paths.</w:t>
      </w:r>
    </w:p>
    <w:p w:rsidR="00000000" w:rsidDel="00000000" w:rsidP="00000000" w:rsidRDefault="00000000" w:rsidRPr="00000000" w14:paraId="00000321">
      <w:pPr>
        <w:pStyle w:val="Heading2"/>
        <w:rPr/>
      </w:pPr>
      <w:bookmarkStart w:colFirst="0" w:colLast="0" w:name="_b2ivekww4c7g" w:id="39"/>
      <w:bookmarkEnd w:id="39"/>
      <w:r w:rsidDel="00000000" w:rsidR="00000000" w:rsidRPr="00000000">
        <w:rPr>
          <w:rtl w:val="0"/>
        </w:rPr>
        <w:t xml:space="preserve">4.7 RQ5 Results: Reproducibility And Artifact Lineage</w:t>
      </w:r>
    </w:p>
    <w:p w:rsidR="00000000" w:rsidDel="00000000" w:rsidP="00000000" w:rsidRDefault="00000000" w:rsidRPr="00000000" w14:paraId="00000322">
      <w:pPr>
        <w:rPr/>
      </w:pPr>
      <w:r w:rsidDel="00000000" w:rsidR="00000000" w:rsidRPr="00000000">
        <w:rPr>
          <w:rtl w:val="0"/>
        </w:rPr>
        <w:t xml:space="preserve">The pipeline supports reproducibility through:</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14"/>
        </w:numPr>
        <w:ind w:left="720" w:hanging="360"/>
      </w:pPr>
      <w:r w:rsidDel="00000000" w:rsidR="00000000" w:rsidRPr="00000000">
        <w:rPr>
          <w:rtl w:val="0"/>
        </w:rPr>
        <w:t xml:space="preserve">Background job folders.</w:t>
      </w:r>
    </w:p>
    <w:p w:rsidR="00000000" w:rsidDel="00000000" w:rsidP="00000000" w:rsidRDefault="00000000" w:rsidRPr="00000000" w14:paraId="00000325">
      <w:pPr>
        <w:numPr>
          <w:ilvl w:val="0"/>
          <w:numId w:val="14"/>
        </w:numPr>
        <w:ind w:left="720" w:hanging="360"/>
      </w:pPr>
      <w:r w:rsidDel="00000000" w:rsidR="00000000" w:rsidRPr="00000000">
        <w:rPr>
          <w:rtl w:val="0"/>
        </w:rPr>
        <w:t xml:space="preserve">Config files.</w:t>
      </w:r>
    </w:p>
    <w:p w:rsidR="00000000" w:rsidDel="00000000" w:rsidP="00000000" w:rsidRDefault="00000000" w:rsidRPr="00000000" w14:paraId="00000326">
      <w:pPr>
        <w:numPr>
          <w:ilvl w:val="0"/>
          <w:numId w:val="14"/>
        </w:numPr>
        <w:ind w:left="720" w:hanging="360"/>
      </w:pPr>
      <w:r w:rsidDel="00000000" w:rsidR="00000000" w:rsidRPr="00000000">
        <w:rPr>
          <w:rtl w:val="0"/>
        </w:rPr>
        <w:t xml:space="preserve">Status files.</w:t>
      </w:r>
    </w:p>
    <w:p w:rsidR="00000000" w:rsidDel="00000000" w:rsidP="00000000" w:rsidRDefault="00000000" w:rsidRPr="00000000" w14:paraId="00000327">
      <w:pPr>
        <w:numPr>
          <w:ilvl w:val="0"/>
          <w:numId w:val="14"/>
        </w:numPr>
        <w:ind w:left="720" w:hanging="360"/>
      </w:pPr>
      <w:r w:rsidDel="00000000" w:rsidR="00000000" w:rsidRPr="00000000">
        <w:rPr>
          <w:rtl w:val="0"/>
        </w:rPr>
        <w:t xml:space="preserve">Event logs.</w:t>
      </w:r>
    </w:p>
    <w:p w:rsidR="00000000" w:rsidDel="00000000" w:rsidP="00000000" w:rsidRDefault="00000000" w:rsidRPr="00000000" w14:paraId="00000328">
      <w:pPr>
        <w:numPr>
          <w:ilvl w:val="0"/>
          <w:numId w:val="14"/>
        </w:numPr>
        <w:ind w:left="720" w:hanging="360"/>
      </w:pPr>
      <w:r w:rsidDel="00000000" w:rsidR="00000000" w:rsidRPr="00000000">
        <w:rPr>
          <w:rtl w:val="0"/>
        </w:rPr>
        <w:t xml:space="preserve">Prompt names.</w:t>
      </w:r>
    </w:p>
    <w:p w:rsidR="00000000" w:rsidDel="00000000" w:rsidP="00000000" w:rsidRDefault="00000000" w:rsidRPr="00000000" w14:paraId="00000329">
      <w:pPr>
        <w:numPr>
          <w:ilvl w:val="0"/>
          <w:numId w:val="14"/>
        </w:numPr>
        <w:ind w:left="720" w:hanging="360"/>
      </w:pPr>
      <w:r w:rsidDel="00000000" w:rsidR="00000000" w:rsidRPr="00000000">
        <w:rPr>
          <w:rtl w:val="0"/>
        </w:rPr>
        <w:t xml:space="preserve">Model names.</w:t>
      </w:r>
    </w:p>
    <w:p w:rsidR="00000000" w:rsidDel="00000000" w:rsidP="00000000" w:rsidRDefault="00000000" w:rsidRPr="00000000" w14:paraId="0000032A">
      <w:pPr>
        <w:numPr>
          <w:ilvl w:val="0"/>
          <w:numId w:val="14"/>
        </w:numPr>
        <w:ind w:left="720" w:hanging="360"/>
      </w:pPr>
      <w:r w:rsidDel="00000000" w:rsidR="00000000" w:rsidRPr="00000000">
        <w:rPr>
          <w:rtl w:val="0"/>
        </w:rPr>
        <w:t xml:space="preserve">Timestamped records.</w:t>
      </w:r>
    </w:p>
    <w:p w:rsidR="00000000" w:rsidDel="00000000" w:rsidP="00000000" w:rsidRDefault="00000000" w:rsidRPr="00000000" w14:paraId="0000032B">
      <w:pPr>
        <w:numPr>
          <w:ilvl w:val="0"/>
          <w:numId w:val="14"/>
        </w:numPr>
        <w:ind w:left="720" w:hanging="360"/>
      </w:pPr>
      <w:r w:rsidDel="00000000" w:rsidR="00000000" w:rsidRPr="00000000">
        <w:rPr>
          <w:rtl w:val="0"/>
        </w:rPr>
        <w:t xml:space="preserve">Graph attachments.</w:t>
      </w:r>
    </w:p>
    <w:p w:rsidR="00000000" w:rsidDel="00000000" w:rsidP="00000000" w:rsidRDefault="00000000" w:rsidRPr="00000000" w14:paraId="0000032C">
      <w:pPr>
        <w:numPr>
          <w:ilvl w:val="0"/>
          <w:numId w:val="14"/>
        </w:numPr>
        <w:ind w:left="720" w:hanging="360"/>
      </w:pPr>
      <w:r w:rsidDel="00000000" w:rsidR="00000000" w:rsidRPr="00000000">
        <w:rPr>
          <w:rtl w:val="0"/>
        </w:rPr>
        <w:t xml:space="preserve">Backing tables.</w:t>
      </w:r>
    </w:p>
    <w:p w:rsidR="00000000" w:rsidDel="00000000" w:rsidP="00000000" w:rsidRDefault="00000000" w:rsidRPr="00000000" w14:paraId="0000032D">
      <w:pPr>
        <w:numPr>
          <w:ilvl w:val="0"/>
          <w:numId w:val="14"/>
        </w:numPr>
        <w:ind w:left="720" w:hanging="360"/>
      </w:pPr>
      <w:r w:rsidDel="00000000" w:rsidR="00000000" w:rsidRPr="00000000">
        <w:rPr>
          <w:rtl w:val="0"/>
        </w:rPr>
        <w:t xml:space="preserve">Streamlit chapter pages.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Important pages: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numPr>
          <w:ilvl w:val="0"/>
          <w:numId w:val="14"/>
        </w:numPr>
        <w:ind w:left="720" w:hanging="360"/>
      </w:pPr>
      <w:r w:rsidDel="00000000" w:rsidR="00000000" w:rsidRPr="00000000">
        <w:rPr>
          <w:rFonts w:ascii="Roboto Mono" w:cs="Roboto Mono" w:eastAsia="Roboto Mono" w:hAnsi="Roboto Mono"/>
          <w:color w:val="188038"/>
          <w:rtl w:val="0"/>
        </w:rPr>
        <w:t xml:space="preserve">pages/2_3_LLM_Background_Run_Monitor.py</w:t>
      </w:r>
      <w:r w:rsidDel="00000000" w:rsidR="00000000" w:rsidRPr="00000000">
        <w:rPr>
          <w:rtl w:val="0"/>
        </w:rPr>
      </w:r>
    </w:p>
    <w:p w:rsidR="00000000" w:rsidDel="00000000" w:rsidP="00000000" w:rsidRDefault="00000000" w:rsidRPr="00000000" w14:paraId="00000332">
      <w:pPr>
        <w:numPr>
          <w:ilvl w:val="0"/>
          <w:numId w:val="14"/>
        </w:numPr>
        <w:ind w:left="720" w:hanging="360"/>
      </w:pPr>
      <w:r w:rsidDel="00000000" w:rsidR="00000000" w:rsidRPr="00000000">
        <w:rPr>
          <w:rFonts w:ascii="Roboto Mono" w:cs="Roboto Mono" w:eastAsia="Roboto Mono" w:hAnsi="Roboto Mono"/>
          <w:color w:val="188038"/>
          <w:rtl w:val="0"/>
        </w:rPr>
        <w:t xml:space="preserve">pages/6_0_Thesis_Draft_Chapter_Integration_Mermaid.py</w:t>
      </w:r>
      <w:r w:rsidDel="00000000" w:rsidR="00000000" w:rsidRPr="00000000">
        <w:rPr>
          <w:rtl w:val="0"/>
        </w:rPr>
      </w:r>
    </w:p>
    <w:p w:rsidR="00000000" w:rsidDel="00000000" w:rsidP="00000000" w:rsidRDefault="00000000" w:rsidRPr="00000000" w14:paraId="00000333">
      <w:pPr>
        <w:numPr>
          <w:ilvl w:val="0"/>
          <w:numId w:val="14"/>
        </w:numPr>
        <w:ind w:left="720" w:hanging="360"/>
      </w:pPr>
      <w:r w:rsidDel="00000000" w:rsidR="00000000" w:rsidRPr="00000000">
        <w:rPr>
          <w:rFonts w:ascii="Roboto Mono" w:cs="Roboto Mono" w:eastAsia="Roboto Mono" w:hAnsi="Roboto Mono"/>
          <w:color w:val="188038"/>
          <w:rtl w:val="0"/>
        </w:rPr>
        <w:t xml:space="preserve">pages/6_4_ch4-6.py</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Main interpretation: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Reproducibility is operationalized through artifact lineage. A thesis claim should point to a graph, a backing table, a source artifact, and a Streamlit page.</w:t>
      </w:r>
    </w:p>
    <w:p w:rsidR="00000000" w:rsidDel="00000000" w:rsidP="00000000" w:rsidRDefault="00000000" w:rsidRPr="00000000" w14:paraId="00000338">
      <w:pPr>
        <w:pStyle w:val="Heading2"/>
        <w:rPr/>
      </w:pPr>
      <w:bookmarkStart w:colFirst="0" w:colLast="0" w:name="_lsvetbroy7uj" w:id="40"/>
      <w:bookmarkEnd w:id="40"/>
      <w:r w:rsidDel="00000000" w:rsidR="00000000" w:rsidRPr="00000000">
        <w:rPr>
          <w:rtl w:val="0"/>
        </w:rPr>
        <w:t xml:space="preserve">4.8 RQ6 Results: Model And Prompt Stability</w:t>
      </w:r>
    </w:p>
    <w:p w:rsidR="00000000" w:rsidDel="00000000" w:rsidP="00000000" w:rsidRDefault="00000000" w:rsidRPr="00000000" w14:paraId="00000339">
      <w:pPr>
        <w:rPr/>
      </w:pPr>
      <w:r w:rsidDel="00000000" w:rsidR="00000000" w:rsidRPr="00000000">
        <w:rPr>
          <w:rtl w:val="0"/>
        </w:rPr>
        <w:t xml:space="preserve">Current model-stability summary includes two visible model configurations: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right"/>
              <w:rPr>
                <w:b w:val="1"/>
                <w:bCs w:val="1"/>
              </w:rPr>
            </w:pPr>
            <w:r w:rsidDel="00000000" w:rsidR="00000000" w:rsidRPr="00000000">
              <w:rPr>
                <w:b w:val="1"/>
                <w:bCs w:val="1"/>
                <w:rtl w:val="0"/>
              </w:rPr>
              <w:t xml:space="preserve">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right"/>
              <w:rPr>
                <w:b w:val="1"/>
                <w:bCs w:val="1"/>
              </w:rPr>
            </w:pPr>
            <w:r w:rsidDel="00000000" w:rsidR="00000000" w:rsidRPr="00000000">
              <w:rPr>
                <w:b w:val="1"/>
                <w:bCs w:val="1"/>
                <w:rtl w:val="0"/>
              </w:rPr>
              <w:t xml:space="preserve">JSON parse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right"/>
              <w:rPr>
                <w:b w:val="1"/>
                <w:bCs w:val="1"/>
              </w:rPr>
            </w:pPr>
            <w:r w:rsidDel="00000000" w:rsidR="00000000" w:rsidRPr="00000000">
              <w:rPr>
                <w:b w:val="1"/>
                <w:bCs w:val="1"/>
                <w:rtl w:val="0"/>
              </w:rPr>
              <w:t xml:space="preserve">Average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right"/>
              <w:rPr>
                <w:b w:val="1"/>
                <w:bCs w:val="1"/>
              </w:rPr>
            </w:pPr>
            <w:r w:rsidDel="00000000" w:rsidR="00000000" w:rsidRPr="00000000">
              <w:rPr>
                <w:b w:val="1"/>
                <w:bCs w:val="1"/>
                <w:rtl w:val="0"/>
              </w:rPr>
              <w:t xml:space="preserve">Missing-tone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Roboto Mono" w:cs="Roboto Mono" w:eastAsia="Roboto Mono" w:hAnsi="Roboto Mono"/>
                <w:color w:val="188038"/>
                <w:rtl w:val="0"/>
              </w:rPr>
              <w:t xml:space="preserve">arcee-ai/trinity-large-preview:free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righ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righ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right"/>
              <w:rPr/>
            </w:pPr>
            <w:r w:rsidDel="00000000" w:rsidR="00000000" w:rsidRPr="00000000">
              <w:rPr>
                <w:rtl w:val="0"/>
              </w:rPr>
              <w:t xml:space="preserve">3.022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right"/>
              <w:rPr/>
            </w:pPr>
            <w:r w:rsidDel="00000000" w:rsidR="00000000" w:rsidRPr="00000000">
              <w:rPr>
                <w:rtl w:val="0"/>
              </w:rPr>
              <w:t xml:space="preserve">0.000463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openai/gpt-oss-120b:free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righ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righ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right"/>
              <w:rPr/>
            </w:pPr>
            <w:r w:rsidDel="00000000" w:rsidR="00000000" w:rsidRPr="00000000">
              <w:rPr>
                <w:rtl w:val="0"/>
              </w:rPr>
              <w:t xml:space="preserve">1.000000</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Current prompt-stability output contains seven prompt templates. The summary shows that prompt design strongly affects missing-tone rate and field completion rate.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Important artifacts: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results/thesis_workflow_dashboard/model_stability_summary.csv</w:t>
      </w:r>
      <w:r w:rsidDel="00000000" w:rsidR="00000000" w:rsidRPr="00000000">
        <w:rPr>
          <w:rtl w:val="0"/>
        </w:rPr>
      </w:r>
    </w:p>
    <w:p w:rsidR="00000000" w:rsidDel="00000000" w:rsidP="00000000" w:rsidRDefault="00000000" w:rsidRPr="00000000" w14:paraId="00000350">
      <w:pPr>
        <w:numPr>
          <w:ilvl w:val="0"/>
          <w:numId w:val="14"/>
        </w:numPr>
        <w:ind w:left="720" w:hanging="360"/>
      </w:pPr>
      <w:r w:rsidDel="00000000" w:rsidR="00000000" w:rsidRPr="00000000">
        <w:rPr>
          <w:rFonts w:ascii="Roboto Mono" w:cs="Roboto Mono" w:eastAsia="Roboto Mono" w:hAnsi="Roboto Mono"/>
          <w:color w:val="188038"/>
          <w:rtl w:val="0"/>
        </w:rPr>
        <w:t xml:space="preserve">results/thesis_workflow_dashboard/prompt_stability_summary.csv</w:t>
      </w:r>
      <w:r w:rsidDel="00000000" w:rsidR="00000000" w:rsidRPr="00000000">
        <w:rPr>
          <w:rtl w:val="0"/>
        </w:rPr>
      </w:r>
    </w:p>
    <w:p w:rsidR="00000000" w:rsidDel="00000000" w:rsidP="00000000" w:rsidRDefault="00000000" w:rsidRPr="00000000" w14:paraId="00000351">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results/docx_graph_attachments/docx_model_parse_success.png</w:t>
      </w:r>
      <w:r w:rsidDel="00000000" w:rsidR="00000000" w:rsidRPr="00000000">
        <w:rPr>
          <w:rtl w:val="0"/>
        </w:rPr>
      </w:r>
    </w:p>
    <w:p w:rsidR="00000000" w:rsidDel="00000000" w:rsidP="00000000" w:rsidRDefault="00000000" w:rsidRPr="00000000" w14:paraId="00000352">
      <w:pPr>
        <w:numPr>
          <w:ilvl w:val="0"/>
          <w:numId w:val="14"/>
        </w:numPr>
        <w:ind w:left="720" w:hanging="360"/>
      </w:pPr>
      <w:r w:rsidDel="00000000" w:rsidR="00000000" w:rsidRPr="00000000">
        <w:rPr>
          <w:rFonts w:ascii="Roboto Mono" w:cs="Roboto Mono" w:eastAsia="Roboto Mono" w:hAnsi="Roboto Mono"/>
          <w:color w:val="188038"/>
          <w:rtl w:val="0"/>
        </w:rPr>
        <w:t xml:space="preserve">results/docx_graph_attachments/docx_prompt_missing_tone_rate.png</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Main interpretation: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Model and prompt stability must be reported because LLM extraction quality is not fixed. A prompt may parse successfully while still producing incomplete fields.</w:t>
      </w:r>
    </w:p>
    <w:p w:rsidR="00000000" w:rsidDel="00000000" w:rsidP="00000000" w:rsidRDefault="00000000" w:rsidRPr="00000000" w14:paraId="00000357">
      <w:pPr>
        <w:pStyle w:val="Heading2"/>
        <w:rPr/>
      </w:pPr>
      <w:bookmarkStart w:colFirst="0" w:colLast="0" w:name="_fd05ozja35zd" w:id="41"/>
      <w:bookmarkEnd w:id="41"/>
      <w:r w:rsidDel="00000000" w:rsidR="00000000" w:rsidRPr="00000000">
        <w:rPr>
          <w:rtl w:val="0"/>
        </w:rPr>
        <w:t xml:space="preserve">4.9 Benchmarking Plan</w:t>
      </w:r>
    </w:p>
    <w:p w:rsidR="00000000" w:rsidDel="00000000" w:rsidP="00000000" w:rsidRDefault="00000000" w:rsidRPr="00000000" w14:paraId="00000358">
      <w:pPr>
        <w:rPr/>
      </w:pPr>
      <w:r w:rsidDel="00000000" w:rsidR="00000000" w:rsidRPr="00000000">
        <w:rPr>
          <w:rtl w:val="0"/>
        </w:rPr>
        <w:t xml:space="preserve">The thesis should benchmark against four categories: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numPr>
          <w:ilvl w:val="0"/>
          <w:numId w:val="6"/>
        </w:numPr>
        <w:ind w:left="720" w:hanging="360"/>
      </w:pPr>
      <w:r w:rsidDel="00000000" w:rsidR="00000000" w:rsidRPr="00000000">
        <w:rPr>
          <w:b w:val="1"/>
          <w:bCs w:val="1"/>
          <w:rtl w:val="0"/>
        </w:rPr>
        <w:t xml:space="preserve">ClimateBERT baseline</w:t>
      </w:r>
      <w:r w:rsidDel="00000000" w:rsidR="00000000" w:rsidRPr="00000000">
        <w:rPr>
          <w:rtl w:val="0"/>
        </w:rPr>
        <w:t xml:space="preserve">: compare ESG tone labels with climate-specific predictions.</w:t>
      </w:r>
    </w:p>
    <w:p w:rsidR="00000000" w:rsidDel="00000000" w:rsidP="00000000" w:rsidRDefault="00000000" w:rsidRPr="00000000" w14:paraId="0000035B">
      <w:pPr>
        <w:numPr>
          <w:ilvl w:val="0"/>
          <w:numId w:val="6"/>
        </w:numPr>
        <w:ind w:left="720" w:hanging="360"/>
      </w:pPr>
      <w:r w:rsidDel="00000000" w:rsidR="00000000" w:rsidRPr="00000000">
        <w:rPr>
          <w:b w:val="1"/>
          <w:bCs w:val="1"/>
          <w:rtl w:val="0"/>
        </w:rPr>
        <w:t xml:space="preserve">Human annotation agreement</w:t>
      </w:r>
      <w:r w:rsidDel="00000000" w:rsidR="00000000" w:rsidRPr="00000000">
        <w:rPr>
          <w:rtl w:val="0"/>
        </w:rPr>
        <w:t xml:space="preserve">: compare model or silver labels against manually reviewed annotations.</w:t>
      </w:r>
    </w:p>
    <w:p w:rsidR="00000000" w:rsidDel="00000000" w:rsidP="00000000" w:rsidRDefault="00000000" w:rsidRPr="00000000" w14:paraId="0000035C">
      <w:pPr>
        <w:numPr>
          <w:ilvl w:val="0"/>
          <w:numId w:val="6"/>
        </w:numPr>
        <w:ind w:left="720" w:hanging="360"/>
      </w:pPr>
      <w:r w:rsidDel="00000000" w:rsidR="00000000" w:rsidRPr="00000000">
        <w:rPr>
          <w:b w:val="1"/>
          <w:bCs w:val="1"/>
          <w:rtl w:val="0"/>
        </w:rPr>
        <w:t xml:space="preserve">Repeated LLM runs</w:t>
      </w:r>
      <w:r w:rsidDel="00000000" w:rsidR="00000000" w:rsidRPr="00000000">
        <w:rPr>
          <w:rtl w:val="0"/>
        </w:rPr>
        <w:t xml:space="preserve">: measure stability across repeated prompts, models, and providers.</w:t>
      </w:r>
    </w:p>
    <w:p w:rsidR="00000000" w:rsidDel="00000000" w:rsidP="00000000" w:rsidRDefault="00000000" w:rsidRPr="00000000" w14:paraId="0000035D">
      <w:pPr>
        <w:numPr>
          <w:ilvl w:val="0"/>
          <w:numId w:val="6"/>
        </w:numPr>
        <w:ind w:left="720" w:hanging="360"/>
      </w:pPr>
      <w:r w:rsidDel="00000000" w:rsidR="00000000" w:rsidRPr="00000000">
        <w:rPr>
          <w:b w:val="1"/>
          <w:bCs w:val="1"/>
          <w:rtl w:val="0"/>
        </w:rPr>
        <w:t xml:space="preserve">Ontology extension</w:t>
      </w:r>
      <w:r w:rsidDel="00000000" w:rsidR="00000000" w:rsidRPr="00000000">
        <w:rPr>
          <w:rtl w:val="0"/>
        </w:rPr>
        <w:t xml:space="preserve">: compare mapped versus unmapped aspects and justify local vocabulary additions.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Benchmark artifacts: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numPr>
          <w:ilvl w:val="0"/>
          <w:numId w:val="1"/>
        </w:numPr>
        <w:ind w:left="720" w:hanging="360"/>
      </w:pPr>
      <w:r w:rsidDel="00000000" w:rsidR="00000000" w:rsidRPr="00000000">
        <w:rPr>
          <w:rFonts w:ascii="Roboto Mono" w:cs="Roboto Mono" w:eastAsia="Roboto Mono" w:hAnsi="Roboto Mono"/>
          <w:color w:val="188038"/>
          <w:rtl w:val="0"/>
        </w:rPr>
        <w:t xml:space="preserve">human_agreement_summary.csv</w:t>
      </w:r>
      <w:r w:rsidDel="00000000" w:rsidR="00000000" w:rsidRPr="00000000">
        <w:rPr>
          <w:rtl w:val="0"/>
        </w:rPr>
      </w:r>
    </w:p>
    <w:p w:rsidR="00000000" w:rsidDel="00000000" w:rsidP="00000000" w:rsidRDefault="00000000" w:rsidRPr="00000000" w14:paraId="00000362">
      <w:pPr>
        <w:numPr>
          <w:ilvl w:val="0"/>
          <w:numId w:val="1"/>
        </w:numPr>
        <w:ind w:left="720" w:hanging="360"/>
      </w:pPr>
      <w:r w:rsidDel="00000000" w:rsidR="00000000" w:rsidRPr="00000000">
        <w:rPr>
          <w:rFonts w:ascii="Roboto Mono" w:cs="Roboto Mono" w:eastAsia="Roboto Mono" w:hAnsi="Roboto Mono"/>
          <w:color w:val="188038"/>
          <w:rtl w:val="0"/>
        </w:rPr>
        <w:t xml:space="preserve">model_prompt_repeated_run_ci.csv</w:t>
      </w:r>
      <w:r w:rsidDel="00000000" w:rsidR="00000000" w:rsidRPr="00000000">
        <w:rPr>
          <w:rtl w:val="0"/>
        </w:rPr>
      </w:r>
    </w:p>
    <w:p w:rsidR="00000000" w:rsidDel="00000000" w:rsidP="00000000" w:rsidRDefault="00000000" w:rsidRPr="00000000" w14:paraId="00000363">
      <w:pPr>
        <w:numPr>
          <w:ilvl w:val="0"/>
          <w:numId w:val="1"/>
        </w:numPr>
        <w:ind w:left="720" w:hanging="360"/>
      </w:pPr>
      <w:r w:rsidDel="00000000" w:rsidR="00000000" w:rsidRPr="00000000">
        <w:rPr>
          <w:rFonts w:ascii="Roboto Mono" w:cs="Roboto Mono" w:eastAsia="Roboto Mono" w:hAnsi="Roboto Mono"/>
          <w:color w:val="188038"/>
          <w:rtl w:val="0"/>
        </w:rPr>
        <w:t xml:space="preserve">climatebert_baseline_comparison.csv</w:t>
      </w:r>
      <w:r w:rsidDel="00000000" w:rsidR="00000000" w:rsidRPr="00000000">
        <w:rPr>
          <w:rtl w:val="0"/>
        </w:rPr>
      </w:r>
    </w:p>
    <w:p w:rsidR="00000000" w:rsidDel="00000000" w:rsidP="00000000" w:rsidRDefault="00000000" w:rsidRPr="00000000" w14:paraId="00000364">
      <w:pPr>
        <w:numPr>
          <w:ilvl w:val="0"/>
          <w:numId w:val="1"/>
        </w:numPr>
        <w:ind w:left="720" w:hanging="360"/>
      </w:pPr>
      <w:r w:rsidDel="00000000" w:rsidR="00000000" w:rsidRPr="00000000">
        <w:rPr>
          <w:rFonts w:ascii="Roboto Mono" w:cs="Roboto Mono" w:eastAsia="Roboto Mono" w:hAnsi="Roboto Mono"/>
          <w:color w:val="188038"/>
          <w:rtl w:val="0"/>
        </w:rPr>
        <w:t xml:space="preserve">indonesian_esg_ontology_extension.csv</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rPr/>
      </w:pPr>
      <w:bookmarkStart w:colFirst="0" w:colLast="0" w:name="_fhlxcxn1xoyv" w:id="42"/>
      <w:bookmarkEnd w:id="42"/>
      <w:r w:rsidDel="00000000" w:rsidR="00000000" w:rsidRPr="00000000">
        <w:rPr>
          <w:rtl w:val="0"/>
        </w:rPr>
        <w:t xml:space="preserve">5. Discussion</w:t>
      </w:r>
    </w:p>
    <w:p w:rsidR="00000000" w:rsidDel="00000000" w:rsidP="00000000" w:rsidRDefault="00000000" w:rsidRPr="00000000" w14:paraId="00000368">
      <w:pPr>
        <w:spacing w:after="160" w:before="100" w:line="276" w:lineRule="auto"/>
        <w:jc w:val="both"/>
        <w:rPr/>
      </w:pPr>
      <w:r w:rsidDel="00000000" w:rsidR="00000000" w:rsidRPr="00000000">
        <w:rPr>
          <w:rtl w:val="0"/>
        </w:rPr>
        <w:t xml:space="preserve">Chapter 5 interprets the empirical findings of Chapter 4 against the research questions, identifies systematic failure modes in the pipeline, and situates the results within the broader ESG NLP literature. The chapter proceeds through four themes: validation of the tone annotation schema and ontology (RQ2), deeper analysis of the ClimateBERT divergence finding (RQ3), diagnostics for extraction weaknesses (RQ4), and assessment of the human annotation gap (RQ2/RQ5).</w:t>
      </w:r>
    </w:p>
    <w:p w:rsidR="00000000" w:rsidDel="00000000" w:rsidP="00000000" w:rsidRDefault="00000000" w:rsidRPr="00000000" w14:paraId="00000369">
      <w:pPr>
        <w:spacing w:after="80" w:before="80" w:line="240" w:lineRule="auto"/>
        <w:rPr/>
      </w:pPr>
      <w:r w:rsidDel="00000000" w:rsidR="00000000" w:rsidRPr="00000000">
        <w:rPr>
          <w:rtl w:val="0"/>
        </w:rPr>
      </w:r>
    </w:p>
    <w:p w:rsidR="00000000" w:rsidDel="00000000" w:rsidP="00000000" w:rsidRDefault="00000000" w:rsidRPr="00000000" w14:paraId="0000036A">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5.1  Validation of the Tone Taxonomy and ESG Ontology (RQ2)</w:t>
      </w:r>
    </w:p>
    <w:p w:rsidR="00000000" w:rsidDel="00000000" w:rsidP="00000000" w:rsidRDefault="00000000" w:rsidRPr="00000000" w14:paraId="0000036B">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5.1.1  Annotation Completion and Inter-Annotator Agreement Gap</w:t>
      </w:r>
    </w:p>
    <w:p w:rsidR="00000000" w:rsidDel="00000000" w:rsidP="00000000" w:rsidRDefault="00000000" w:rsidRPr="00000000" w14:paraId="0000036C">
      <w:pPr>
        <w:spacing w:after="160" w:before="100" w:line="276" w:lineRule="auto"/>
        <w:jc w:val="both"/>
        <w:rPr/>
      </w:pPr>
      <w:r w:rsidDel="00000000" w:rsidR="00000000" w:rsidRPr="00000000">
        <w:rPr>
          <w:rtl w:val="0"/>
        </w:rPr>
        <w:t xml:space="preserve">The human annotation completion analysis (Figure A.13, A.18) reveals the most significant validation gap in the current study. Of the 5,444 silver-dataset rows, ground-truth tone labels were completed for 4,853 rows (89.2%), with 591 rows pending review. The pilot annotation infrastructure was designed for 70 seed records — a sufficient sample for a reliable kappa estimate under standard NLP annotation study conventions. However, the 70 pilot records are at 100% needs_review status, meaning no human annotator has yet reviewed any pilot record. The annotator field is zero across all 5,444 rows.</w:t>
      </w:r>
    </w:p>
    <w:p w:rsidR="00000000" w:rsidDel="00000000" w:rsidP="00000000" w:rsidRDefault="00000000" w:rsidRPr="00000000" w14:paraId="0000036D">
      <w:pPr>
        <w:spacing w:after="200" w:before="80" w:line="276" w:lineRule="auto"/>
        <w:jc w:val="both"/>
        <w:rPr/>
      </w:pPr>
      <w:r w:rsidDel="00000000" w:rsidR="00000000" w:rsidRPr="00000000">
        <w:rPr>
          <w:i w:val="1"/>
          <w:iCs w:val="1"/>
          <w:color w:val="666666"/>
          <w:sz w:val="20"/>
          <w:szCs w:val="20"/>
          <w:rtl w:val="0"/>
        </w:rPr>
        <w:t xml:space="preserve">[Figure A.13: Human annotation agreement]</w:t>
      </w:r>
      <w:r w:rsidDel="00000000" w:rsidR="00000000" w:rsidRPr="00000000">
        <w:rPr>
          <w:rtl w:val="0"/>
        </w:rPr>
      </w:r>
    </w:p>
    <w:p w:rsidR="00000000" w:rsidDel="00000000" w:rsidP="00000000" w:rsidRDefault="00000000" w:rsidRPr="00000000" w14:paraId="0000036E">
      <w:pPr>
        <w:spacing w:after="200" w:before="80" w:line="276" w:lineRule="auto"/>
        <w:jc w:val="both"/>
        <w:rPr/>
      </w:pPr>
      <w:r w:rsidDel="00000000" w:rsidR="00000000" w:rsidRPr="00000000">
        <w:rPr>
          <w:i w:val="1"/>
          <w:iCs w:val="1"/>
          <w:color w:val="666666"/>
          <w:sz w:val="20"/>
          <w:szCs w:val="20"/>
          <w:rtl w:val="0"/>
        </w:rPr>
        <w:t xml:space="preserve">[Figure A.18: Pilot annotation completion]</w:t>
      </w:r>
      <w:r w:rsidDel="00000000" w:rsidR="00000000" w:rsidRPr="00000000">
        <w:rPr>
          <w:rtl w:val="0"/>
        </w:rPr>
      </w:r>
    </w:p>
    <w:p w:rsidR="00000000" w:rsidDel="00000000" w:rsidP="00000000" w:rsidRDefault="00000000" w:rsidRPr="00000000" w14:paraId="0000036F">
      <w:pPr>
        <w:spacing w:after="160" w:before="100" w:line="276" w:lineRule="auto"/>
        <w:jc w:val="both"/>
        <w:rPr/>
      </w:pPr>
      <w:r w:rsidDel="00000000" w:rsidR="00000000" w:rsidRPr="00000000">
        <w:rPr>
          <w:rtl w:val="0"/>
        </w:rPr>
        <w:t xml:space="preserve">The consequence is unambiguous: formal inter-annotator agreement cannot be computed from the current data. The kappa=0.645 figure reported in Chapter 4 is a proxy agreement between two automated systems, not a human IAA coefficient. While proxy kappa is a legitimate and frequently used validation tool in computational linguistics — particularly when constructing silver datasets via automated labelling — it answers a different question from human IAA. Proxy kappa measures system-to-system consistency; human IAA measures whether the annotation schema is interpretable and consistently applicable by human experts. The latter is the gold standard for NLP annotation validation.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e2" w:val="clear"/>
            <w:tcMar>
              <w:top w:w="120.0" w:type="dxa"/>
              <w:left w:w="180.0" w:type="dxa"/>
              <w:bottom w:w="120.0" w:type="dxa"/>
              <w:right w:w="180.0" w:type="dxa"/>
            </w:tcMar>
          </w:tcPr>
          <w:p w:rsidR="00000000" w:rsidDel="00000000" w:rsidP="00000000" w:rsidRDefault="00000000" w:rsidRPr="00000000" w14:paraId="00000370">
            <w:pPr>
              <w:spacing w:after="60" w:before="60" w:line="260" w:lineRule="auto"/>
              <w:rPr/>
            </w:pPr>
            <w:r w:rsidDel="00000000" w:rsidR="00000000" w:rsidRPr="00000000">
              <w:rPr>
                <w:i w:val="1"/>
                <w:iCs w:val="1"/>
                <w:color w:val="7f3f00"/>
                <w:sz w:val="20"/>
                <w:szCs w:val="20"/>
                <w:rtl w:val="0"/>
              </w:rPr>
              <w:t xml:space="preserve">Limitation: The absence of completed human annotation means the tone taxonomy cannot currently be validated against the IAA standards required for NLP publication (kappa &gt;= 0.70 by Landis and Koch). The infrastructure for this validation exists — the 70 pilot seed records are prepared and the annotation interface is built — but the human annotation step was not completed within the study period. This is the primary remaining validation task before the annotation schema can be claimed as formally validated.</w:t>
            </w:r>
            <w:r w:rsidDel="00000000" w:rsidR="00000000" w:rsidRPr="00000000">
              <w:rPr>
                <w:rtl w:val="0"/>
              </w:rPr>
            </w:r>
          </w:p>
        </w:tc>
      </w:tr>
    </w:tbl>
    <w:p w:rsidR="00000000" w:rsidDel="00000000" w:rsidP="00000000" w:rsidRDefault="00000000" w:rsidRPr="00000000" w14:paraId="00000371">
      <w:pPr>
        <w:spacing w:after="160" w:before="100" w:line="276" w:lineRule="auto"/>
        <w:jc w:val="both"/>
        <w:rPr/>
      </w:pPr>
      <w:r w:rsidDel="00000000" w:rsidR="00000000" w:rsidRPr="00000000">
        <w:rPr>
          <w:rtl w:val="0"/>
        </w:rPr>
        <w:t xml:space="preserve">It is important not to overstate this limitation. The silver dataset's high field completeness (A.17), the aspect-tone concentration patterns in A.3, and the tone comparison accuracy in A.19 collectively provide strong circumstantial evidence that the annotation schema is capturing semantically coherent structure. The schema is behaviourally validated by the pipeline; what is missing is independent human confirmation. This is a standard distinction in silver-dataset NLP work and should be framed accordingly in the thesis's contribution claims.</w:t>
      </w:r>
    </w:p>
    <w:p w:rsidR="00000000" w:rsidDel="00000000" w:rsidP="00000000" w:rsidRDefault="00000000" w:rsidRPr="00000000" w14:paraId="00000372">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5.1.2  Pilot Annotation: Ground Truth Tone Comparison</w:t>
      </w:r>
    </w:p>
    <w:p w:rsidR="00000000" w:rsidDel="00000000" w:rsidP="00000000" w:rsidRDefault="00000000" w:rsidRPr="00000000" w14:paraId="00000373">
      <w:pPr>
        <w:spacing w:after="160" w:before="100" w:line="276" w:lineRule="auto"/>
        <w:jc w:val="both"/>
        <w:rPr/>
      </w:pPr>
      <w:r w:rsidDel="00000000" w:rsidR="00000000" w:rsidRPr="00000000">
        <w:rPr>
          <w:rtl w:val="0"/>
        </w:rPr>
        <w:t xml:space="preserve">The ground truth tone comparison (Figure A.19) provides the most direct accuracy measurement available. The confusion matrix shows strong diagonal dominance for Action (94.8%), Commitment (90.3%), and Outcome (85.8%), all well above the 70% minimum per-class threshold. The None class at 81.9% meets the threshold but is the weakest performer, with 223 none-labelled records misclassified as action. This none/action confusion is semantically interpretable: the boundary between descriptive context-setting and weakly action-framed statements is genuinely ambiguous in sustainability reporting language, where companies frequently describe what they are doing without explicitly characterising it as a commitment or outcome.</w:t>
      </w:r>
    </w:p>
    <w:p w:rsidR="00000000" w:rsidDel="00000000" w:rsidP="00000000" w:rsidRDefault="00000000" w:rsidRPr="00000000" w14:paraId="00000374">
      <w:pPr>
        <w:spacing w:after="200" w:before="80" w:line="276" w:lineRule="auto"/>
        <w:jc w:val="both"/>
        <w:rPr/>
      </w:pPr>
      <w:r w:rsidDel="00000000" w:rsidR="00000000" w:rsidRPr="00000000">
        <w:rPr>
          <w:i w:val="1"/>
          <w:iCs w:val="1"/>
          <w:color w:val="666666"/>
          <w:sz w:val="20"/>
          <w:szCs w:val="20"/>
          <w:rtl w:val="0"/>
        </w:rPr>
        <w:t xml:space="preserve">[Figure A.19: Ground truth tone comparison]</w:t>
      </w:r>
      <w:r w:rsidDel="00000000" w:rsidR="00000000" w:rsidRPr="00000000">
        <w:rPr>
          <w:rtl w:val="0"/>
        </w:rPr>
      </w:r>
    </w:p>
    <w:p w:rsidR="00000000" w:rsidDel="00000000" w:rsidP="00000000" w:rsidRDefault="00000000" w:rsidRPr="00000000" w14:paraId="00000375">
      <w:pPr>
        <w:spacing w:after="80" w:before="80" w:line="240" w:lineRule="auto"/>
        <w:rPr/>
      </w:pPr>
      <w:r w:rsidDel="00000000" w:rsidR="00000000" w:rsidRPr="00000000">
        <w:rPr>
          <w:rtl w:val="0"/>
        </w:rPr>
      </w:r>
    </w:p>
    <w:p w:rsidR="00000000" w:rsidDel="00000000" w:rsidP="00000000" w:rsidRDefault="00000000" w:rsidRPr="00000000" w14:paraId="00000376">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5.2  ClimateBERT Divergence: Mechanistic Interpretation (RQ3)</w:t>
      </w:r>
    </w:p>
    <w:p w:rsidR="00000000" w:rsidDel="00000000" w:rsidP="00000000" w:rsidRDefault="00000000" w:rsidRPr="00000000" w14:paraId="00000377">
      <w:pPr>
        <w:spacing w:after="160" w:before="100" w:line="276" w:lineRule="auto"/>
        <w:jc w:val="both"/>
        <w:rPr/>
      </w:pPr>
      <w:r w:rsidDel="00000000" w:rsidR="00000000" w:rsidRPr="00000000">
        <w:rPr>
          <w:rtl w:val="0"/>
        </w:rPr>
        <w:t xml:space="preserve">The moderate kappa (0.645) between the pipeline and ClimateBERT deserves deeper interpretation than a performance metric alone provides. Three mechanistic factors contribute to the divergence.</w:t>
      </w:r>
    </w:p>
    <w:p w:rsidR="00000000" w:rsidDel="00000000" w:rsidP="00000000" w:rsidRDefault="00000000" w:rsidRPr="00000000" w14:paraId="00000378">
      <w:pPr>
        <w:spacing w:after="160" w:before="100" w:line="276" w:lineRule="auto"/>
        <w:jc w:val="both"/>
        <w:rPr/>
      </w:pPr>
      <w:r w:rsidDel="00000000" w:rsidR="00000000" w:rsidRPr="00000000">
        <w:rPr>
          <w:rtl w:val="0"/>
        </w:rPr>
        <w:t xml:space="preserve">First, granularity mismatch: the pipeline assigns tone at the sentence level within a three-tier ontology (commitment, action, outcome); ClimateBERT was trained on passage-level labels in a binary or multi-class framework calibrated to English climate policy documents. Applying a passage-calibrated classifier to sentence-level records will systematically inflate ambiguity, because sentences frequently contain contextual information that is only interpretable as commitment or action at the passage level.</w:t>
      </w:r>
    </w:p>
    <w:p w:rsidR="00000000" w:rsidDel="00000000" w:rsidP="00000000" w:rsidRDefault="00000000" w:rsidRPr="00000000" w14:paraId="00000379">
      <w:pPr>
        <w:spacing w:after="160" w:before="100" w:line="276" w:lineRule="auto"/>
        <w:jc w:val="both"/>
        <w:rPr/>
      </w:pPr>
      <w:r w:rsidDel="00000000" w:rsidR="00000000" w:rsidRPr="00000000">
        <w:rPr>
          <w:rtl w:val="0"/>
        </w:rPr>
        <w:t xml:space="preserve">Second, domain mismatch: ClimateBERT's training corpus is English climate policy text; the current corpus is Indonesian/bilingual sustainability reports under OJK regulation. The 38.9% T1 failure rate and the right-skewed confidence distribution (A.5) both quantify how far outside its training distribution ClimateBERT is operating. Records that ClimateBERT cannot confidently classify default to missing or LABEL_0/1 labels without semantic mapping, producing the opaque outputs noted in Chapter 4.</w:t>
      </w:r>
    </w:p>
    <w:p w:rsidR="00000000" w:rsidDel="00000000" w:rsidP="00000000" w:rsidRDefault="00000000" w:rsidRPr="00000000" w14:paraId="0000037A">
      <w:pPr>
        <w:spacing w:after="160" w:before="100" w:line="276" w:lineRule="auto"/>
        <w:jc w:val="both"/>
        <w:rPr/>
      </w:pPr>
      <w:r w:rsidDel="00000000" w:rsidR="00000000" w:rsidRPr="00000000">
        <w:rPr>
          <w:rtl w:val="0"/>
        </w:rPr>
        <w:t xml:space="preserve">Third, construct divergence: the most interpretable finding from the A.4 crosstab is that 22 None-tone records receive a climate-commitment ClimateBERT label. This is the construct divergence Gap 2 describes. ClimateBERT conflates commitment-adjacent language — sentences that mention commitments in a descriptive rather than performative context — with genuine commitment statements. The pipeline's sentence-level tone classification separates these: a sentence reporting that the company has made commitments is labelled None (descriptive) rather than Commitment (performative), because the sentence itself is not making a commitment. This distinction has direct implications for greenwashing detection: a company could pad its report with narrative descriptions of commitments without making any actual commitments, and a ClimateBERT-based system would credit these descriptions as commitment language.</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37B">
            <w:pPr>
              <w:spacing w:after="60" w:before="60" w:line="260" w:lineRule="auto"/>
              <w:rPr/>
            </w:pPr>
            <w:r w:rsidDel="00000000" w:rsidR="00000000" w:rsidRPr="00000000">
              <w:rPr>
                <w:i w:val="1"/>
                <w:iCs w:val="1"/>
                <w:color w:val="1f4e79"/>
                <w:sz w:val="20"/>
                <w:szCs w:val="20"/>
                <w:rtl w:val="0"/>
              </w:rPr>
              <w:t xml:space="preserve">Key finding (RQ3): The moderate kappa between the pipeline and ClimateBERT is not a validation failure — it is the empirical demonstration that the two systems are measuring different constructs. The pipeline captures performative tone at the sentence level; ClimateBERT captures climate-domain relevance at a document-calibrated granularity. Both are valid analytical lenses, but they should not be treated as interchangeable in ESG analytics pipelines.</w:t>
            </w:r>
            <w:r w:rsidDel="00000000" w:rsidR="00000000" w:rsidRPr="00000000">
              <w:rPr>
                <w:rtl w:val="0"/>
              </w:rPr>
            </w:r>
          </w:p>
        </w:tc>
      </w:tr>
    </w:tbl>
    <w:p w:rsidR="00000000" w:rsidDel="00000000" w:rsidP="00000000" w:rsidRDefault="00000000" w:rsidRPr="00000000" w14:paraId="0000037C">
      <w:pPr>
        <w:spacing w:after="80" w:before="80" w:line="240" w:lineRule="auto"/>
        <w:rPr/>
      </w:pPr>
      <w:r w:rsidDel="00000000" w:rsidR="00000000" w:rsidRPr="00000000">
        <w:rPr>
          <w:rtl w:val="0"/>
        </w:rPr>
      </w:r>
    </w:p>
    <w:p w:rsidR="00000000" w:rsidDel="00000000" w:rsidP="00000000" w:rsidRDefault="00000000" w:rsidRPr="00000000" w14:paraId="0000037D">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5.3  Ontology Coverage: Depth vs. Breadth (RQ4)</w:t>
      </w:r>
    </w:p>
    <w:p w:rsidR="00000000" w:rsidDel="00000000" w:rsidP="00000000" w:rsidRDefault="00000000" w:rsidRPr="00000000" w14:paraId="0000037E">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5.3.1  Ontology Mapping Rate and Novel Aspects</w:t>
      </w:r>
    </w:p>
    <w:p w:rsidR="00000000" w:rsidDel="00000000" w:rsidP="00000000" w:rsidRDefault="00000000" w:rsidRPr="00000000" w14:paraId="0000037F">
      <w:pPr>
        <w:spacing w:after="160" w:before="100" w:line="276" w:lineRule="auto"/>
        <w:jc w:val="both"/>
        <w:rPr/>
      </w:pPr>
      <w:r w:rsidDel="00000000" w:rsidR="00000000" w:rsidRPr="00000000">
        <w:rPr>
          <w:rtl w:val="0"/>
        </w:rPr>
        <w:t xml:space="preserve">The ontology coverage analysis (Figure A.12) shows that 194 of 333 unique aspect types (58.3%) were mapped to the existing ontology, with 139 designated as novel or unmapped. Against the 80% mapping threshold for good coverage in ontology studies of specialised domains, the 58% rate is below target. However, this underperformance is productive rather than incidental: the 139 novel aspects quantify the Indonesian-language ESG domain gap that Contribution 4's ontology extension is designed to address.</w:t>
      </w:r>
    </w:p>
    <w:p w:rsidR="00000000" w:rsidDel="00000000" w:rsidP="00000000" w:rsidRDefault="00000000" w:rsidRPr="00000000" w14:paraId="00000380">
      <w:pPr>
        <w:spacing w:after="200" w:before="80" w:line="276" w:lineRule="auto"/>
        <w:jc w:val="both"/>
        <w:rPr/>
      </w:pPr>
      <w:r w:rsidDel="00000000" w:rsidR="00000000" w:rsidRPr="00000000">
        <w:rPr>
          <w:i w:val="1"/>
          <w:iCs w:val="1"/>
          <w:color w:val="666666"/>
          <w:sz w:val="20"/>
          <w:szCs w:val="20"/>
          <w:rtl w:val="0"/>
        </w:rPr>
        <w:t xml:space="preserve">[Figure A.12: Ontology mapped vs novel aspects]</w:t>
      </w:r>
      <w:r w:rsidDel="00000000" w:rsidR="00000000" w:rsidRPr="00000000">
        <w:rPr>
          <w:rtl w:val="0"/>
        </w:rPr>
      </w:r>
    </w:p>
    <w:p w:rsidR="00000000" w:rsidDel="00000000" w:rsidP="00000000" w:rsidRDefault="00000000" w:rsidRPr="00000000" w14:paraId="00000381">
      <w:pPr>
        <w:spacing w:after="160" w:before="100" w:line="276" w:lineRule="auto"/>
        <w:jc w:val="both"/>
        <w:rPr/>
      </w:pPr>
      <w:r w:rsidDel="00000000" w:rsidR="00000000" w:rsidRPr="00000000">
        <w:rPr>
          <w:rtl w:val="0"/>
        </w:rPr>
        <w:t xml:space="preserve">The ontology extension candidates (Figure A.16) include genuine domain-specific Indonesian ESG terms: identifikasi risiko korupsi, kerja sama energi bersih, kebijakan konflik kepentingan, kebijakan antikorupsi, and implementasi antikorupsi. These are conceptually distinct from their nearest English-language counterparts and represent legitimate additions to an Indonesian ESG ontology. The limitation is frequency: most of these candidates appear only once across the corpus, below the minimum of five records typically required to justify formal formalisation. The high-frequency unmapped entries — missing (60) and none (23) — are pipeline artefacts rather than genuine extension candidates.</w:t>
      </w:r>
    </w:p>
    <w:p w:rsidR="00000000" w:rsidDel="00000000" w:rsidP="00000000" w:rsidRDefault="00000000" w:rsidRPr="00000000" w14:paraId="00000382">
      <w:pPr>
        <w:spacing w:after="200" w:before="80" w:line="276" w:lineRule="auto"/>
        <w:jc w:val="both"/>
        <w:rPr/>
      </w:pPr>
      <w:r w:rsidDel="00000000" w:rsidR="00000000" w:rsidRPr="00000000">
        <w:rPr>
          <w:i w:val="1"/>
          <w:iCs w:val="1"/>
          <w:color w:val="666666"/>
          <w:sz w:val="20"/>
          <w:szCs w:val="20"/>
          <w:rtl w:val="0"/>
        </w:rPr>
        <w:t xml:space="preserve">[Figure A.16: Ontology extension candidates]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e2" w:val="clear"/>
            <w:tcMar>
              <w:top w:w="120.0" w:type="dxa"/>
              <w:left w:w="180.0" w:type="dxa"/>
              <w:bottom w:w="120.0" w:type="dxa"/>
              <w:right w:w="180.0" w:type="dxa"/>
            </w:tcMar>
          </w:tcPr>
          <w:p w:rsidR="00000000" w:rsidDel="00000000" w:rsidP="00000000" w:rsidRDefault="00000000" w:rsidRPr="00000000" w14:paraId="00000383">
            <w:pPr>
              <w:spacing w:after="60" w:before="60" w:line="260" w:lineRule="auto"/>
              <w:rPr/>
            </w:pPr>
            <w:r w:rsidDel="00000000" w:rsidR="00000000" w:rsidRPr="00000000">
              <w:rPr>
                <w:i w:val="1"/>
                <w:iCs w:val="1"/>
                <w:color w:val="7f3f00"/>
                <w:sz w:val="20"/>
                <w:szCs w:val="20"/>
                <w:rtl w:val="0"/>
              </w:rPr>
              <w:t xml:space="preserve">Limitation (A.16): The most frequent 'unmapped' entries are pipeline artefacts (missing labels returned when no aspect was extracted) rather than genuine novel aspects. When these are excluded, the number of substantive extension candidates with sufficient frequency for formalisation is small. Ontology extension based on this corpus alone would be premature; the candidates should be validated against a larger bilingual corpus before formalisation.</w:t>
            </w:r>
            <w:r w:rsidDel="00000000" w:rsidR="00000000" w:rsidRPr="00000000">
              <w:rPr>
                <w:rtl w:val="0"/>
              </w:rPr>
            </w:r>
          </w:p>
        </w:tc>
      </w:tr>
    </w:tbl>
    <w:p w:rsidR="00000000" w:rsidDel="00000000" w:rsidP="00000000" w:rsidRDefault="00000000" w:rsidRPr="00000000" w14:paraId="00000384">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5.3.2  Ontology Path Depth and Regulatory Specificity</w:t>
      </w:r>
    </w:p>
    <w:p w:rsidR="00000000" w:rsidDel="00000000" w:rsidP="00000000" w:rsidRDefault="00000000" w:rsidRPr="00000000" w14:paraId="00000385">
      <w:pPr>
        <w:spacing w:after="160" w:before="100" w:line="276" w:lineRule="auto"/>
        <w:jc w:val="both"/>
        <w:rPr/>
      </w:pPr>
      <w:r w:rsidDel="00000000" w:rsidR="00000000" w:rsidRPr="00000000">
        <w:rPr>
          <w:rtl w:val="0"/>
        </w:rPr>
        <w:t xml:space="preserve">The ontology coverage paths analysis (Figure A.36) is the closing argument for the ontology contribution, and it requires honest interpretation. All 333 aspect types are flagged as mapped, which accurately describes whether each aspect was assigned a path in the ontology. However, the distribution of those paths reveals that mapping breadth and mapping depth are different things. The most frequent destinations are: ClimateBERT-&gt;climate-detection (79 records), Governance-&gt;General (66), missing (60), and none (23). Only 57 records across all aspect types reach genuinely framework-specific nodes: climate-action (19), climate-commitment (15), environmental-claims (11), climate-d (8), and netzero-reduction (4).</w:t>
      </w:r>
    </w:p>
    <w:p w:rsidR="00000000" w:rsidDel="00000000" w:rsidP="00000000" w:rsidRDefault="00000000" w:rsidRPr="00000000" w14:paraId="00000386">
      <w:pPr>
        <w:spacing w:after="200" w:before="80" w:line="276" w:lineRule="auto"/>
        <w:jc w:val="both"/>
        <w:rPr/>
      </w:pPr>
      <w:r w:rsidDel="00000000" w:rsidR="00000000" w:rsidRPr="00000000">
        <w:rPr>
          <w:i w:val="1"/>
          <w:iCs w:val="1"/>
          <w:color w:val="666666"/>
          <w:sz w:val="20"/>
          <w:szCs w:val="20"/>
          <w:rtl w:val="0"/>
        </w:rPr>
        <w:t xml:space="preserve">[Figure A.36: Aspect ontology coverage paths]</w:t>
      </w:r>
      <w:r w:rsidDel="00000000" w:rsidR="00000000" w:rsidRPr="00000000">
        <w:rPr>
          <w:rtl w:val="0"/>
        </w:rPr>
      </w:r>
    </w:p>
    <w:p w:rsidR="00000000" w:rsidDel="00000000" w:rsidP="00000000" w:rsidRDefault="00000000" w:rsidRPr="00000000" w14:paraId="00000387">
      <w:pPr>
        <w:spacing w:after="160" w:before="100" w:line="276" w:lineRule="auto"/>
        <w:jc w:val="both"/>
        <w:rPr/>
      </w:pPr>
      <w:r w:rsidDel="00000000" w:rsidR="00000000" w:rsidRPr="00000000">
        <w:rPr>
          <w:rtl w:val="0"/>
        </w:rPr>
        <w:t xml:space="preserve">Against the benchmark that 60% of records should route to framework-specific GRI/SASB/TCFD nodes for an ontology claiming regulatory alignment, the actual rate of 17% constitutes severe underperformance on regulatory specificity. The 52/52 headline mapping rate in the dashboard is technically accurate but substantively misleading if interpreted as deep regulatory alignment. ClimateBERT-&gt;climate-detection and Governance-&gt;General are coarse-grained placeholder categories that do not provide the regulatory traceability — linking textual claims to specific GRI indicators or TCFD disclosure requirements — that the ontology contribution targets.</w:t>
      </w:r>
    </w:p>
    <w:p w:rsidR="00000000" w:rsidDel="00000000" w:rsidP="00000000" w:rsidRDefault="00000000" w:rsidRPr="00000000" w14:paraId="00000388">
      <w:pPr>
        <w:spacing w:after="160" w:before="100" w:line="276" w:lineRule="auto"/>
        <w:jc w:val="both"/>
        <w:rPr/>
      </w:pPr>
      <w:r w:rsidDel="00000000" w:rsidR="00000000" w:rsidRPr="00000000">
        <w:rPr>
          <w:rtl w:val="0"/>
        </w:rPr>
        <w:t xml:space="preserve">This finding has direct implications for Contribution 4's claims. The ontology layer exists, functions at a coarse level, and demonstrates the architecture of deep regulatory mapping. But the actual depth of regulatory linkage in the current implementation is limited to the 17% of aspects that reach specific sub-labels. Contribution 4 is therefore more accurately characterised as an ontology framework with demonstrated coarse coverage and identified deep-coverage gaps, rather than a fully operationalised GRI/SASB/TCFD alignment layer. This is an honest and appropriate scope for a master's thesis, and the identification of the gap is itself a contribution — but it must be clearly stated.</w:t>
      </w:r>
    </w:p>
    <w:p w:rsidR="00000000" w:rsidDel="00000000" w:rsidP="00000000" w:rsidRDefault="00000000" w:rsidRPr="00000000" w14:paraId="00000389">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5.3.3  Ontology Paths from T2 Ground Truth Records</w:t>
      </w:r>
    </w:p>
    <w:p w:rsidR="00000000" w:rsidDel="00000000" w:rsidP="00000000" w:rsidRDefault="00000000" w:rsidRPr="00000000" w14:paraId="0000038A">
      <w:pPr>
        <w:spacing w:after="160" w:before="100" w:line="276" w:lineRule="auto"/>
        <w:jc w:val="both"/>
        <w:rPr/>
      </w:pPr>
      <w:r w:rsidDel="00000000" w:rsidR="00000000" w:rsidRPr="00000000">
        <w:rPr>
          <w:rtl w:val="0"/>
        </w:rPr>
        <w:t xml:space="preserve">The T2 ontology path analysis (Figure A.28) provides a complementary view at the record level. Of 2,071 T2 records, 1,643 (79.3%) route to General-&gt;Misc — a placeholder path that provides no regulatory specificity. The next most specific paths — Environmental-&gt;Emission Reduction (101, 4.9%) and Governance-&gt;Compliance (42, 2.0%) — are the most meaningful regulatory destinations, but together account for only 6.9% of records. The economic and social paths (Economic-&gt;Operational-&gt;Supply Chain at 8 records, Social-&gt;Welfare at 17) are present but sparse.</w:t>
      </w:r>
    </w:p>
    <w:p w:rsidR="00000000" w:rsidDel="00000000" w:rsidP="00000000" w:rsidRDefault="00000000" w:rsidRPr="00000000" w14:paraId="0000038B">
      <w:pPr>
        <w:spacing w:after="200" w:before="80" w:line="276" w:lineRule="auto"/>
        <w:jc w:val="both"/>
        <w:rPr/>
      </w:pPr>
      <w:r w:rsidDel="00000000" w:rsidR="00000000" w:rsidRPr="00000000">
        <w:rPr>
          <w:i w:val="1"/>
          <w:iCs w:val="1"/>
          <w:color w:val="666666"/>
          <w:sz w:val="20"/>
          <w:szCs w:val="20"/>
          <w:rtl w:val="0"/>
        </w:rPr>
        <w:t xml:space="preserve">[Figure A.28: ground_truth.py ontology paths]</w:t>
      </w:r>
      <w:r w:rsidDel="00000000" w:rsidR="00000000" w:rsidRPr="00000000">
        <w:rPr>
          <w:rtl w:val="0"/>
        </w:rPr>
      </w:r>
    </w:p>
    <w:p w:rsidR="00000000" w:rsidDel="00000000" w:rsidP="00000000" w:rsidRDefault="00000000" w:rsidRPr="00000000" w14:paraId="0000038C">
      <w:pPr>
        <w:spacing w:after="160" w:before="100" w:line="276" w:lineRule="auto"/>
        <w:jc w:val="both"/>
        <w:rPr/>
      </w:pPr>
      <w:r w:rsidDel="00000000" w:rsidR="00000000" w:rsidRPr="00000000">
        <w:rPr>
          <w:rtl w:val="0"/>
        </w:rPr>
        <w:t xml:space="preserve">The numeric metrics from T2 records (Figure A.29) show a mean greenwashing index of 3,380 against a median of 0.0, confirming that the greenwashing signal is dominated by a small number of extreme records rather than distributed across the corpus. The near-zero ontology alignment score (mean 0.0015) across 2,071 records confirms that the T2 ground truth records are not being assigned meaningful regulatory alignment scores — consistent with the shallow ontology path finding.</w:t>
      </w:r>
    </w:p>
    <w:p w:rsidR="00000000" w:rsidDel="00000000" w:rsidP="00000000" w:rsidRDefault="00000000" w:rsidRPr="00000000" w14:paraId="0000038D">
      <w:pPr>
        <w:spacing w:after="200" w:before="80" w:line="276" w:lineRule="auto"/>
        <w:jc w:val="both"/>
        <w:rPr/>
      </w:pPr>
      <w:r w:rsidDel="00000000" w:rsidR="00000000" w:rsidRPr="00000000">
        <w:rPr>
          <w:i w:val="1"/>
          <w:iCs w:val="1"/>
          <w:color w:val="666666"/>
          <w:sz w:val="20"/>
          <w:szCs w:val="20"/>
          <w:rtl w:val="0"/>
        </w:rPr>
        <w:t xml:space="preserve">[Figure A.29: ground_truth.py numeric metrics]</w:t>
      </w:r>
      <w:r w:rsidDel="00000000" w:rsidR="00000000" w:rsidRPr="00000000">
        <w:rPr>
          <w:rtl w:val="0"/>
        </w:rPr>
      </w:r>
    </w:p>
    <w:p w:rsidR="00000000" w:rsidDel="00000000" w:rsidP="00000000" w:rsidRDefault="00000000" w:rsidRPr="00000000" w14:paraId="0000038E">
      <w:pPr>
        <w:spacing w:after="80" w:before="80" w:line="240" w:lineRule="auto"/>
        <w:rPr/>
      </w:pPr>
      <w:r w:rsidDel="00000000" w:rsidR="00000000" w:rsidRPr="00000000">
        <w:rPr>
          <w:rtl w:val="0"/>
        </w:rPr>
      </w:r>
    </w:p>
    <w:p w:rsidR="00000000" w:rsidDel="00000000" w:rsidP="00000000" w:rsidRDefault="00000000" w:rsidRPr="00000000" w14:paraId="0000038F">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5.4  Aspect Network Analysis and Greenwashing Signals (RQ4)</w:t>
      </w:r>
    </w:p>
    <w:p w:rsidR="00000000" w:rsidDel="00000000" w:rsidP="00000000" w:rsidRDefault="00000000" w:rsidRPr="00000000" w14:paraId="00000390">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5.4.1  Co-occurrence and Network Centrality</w:t>
      </w:r>
    </w:p>
    <w:p w:rsidR="00000000" w:rsidDel="00000000" w:rsidP="00000000" w:rsidRDefault="00000000" w:rsidRPr="00000000" w14:paraId="00000391">
      <w:pPr>
        <w:spacing w:after="160" w:before="100" w:line="276" w:lineRule="auto"/>
        <w:jc w:val="both"/>
        <w:rPr/>
      </w:pPr>
      <w:r w:rsidDel="00000000" w:rsidR="00000000" w:rsidRPr="00000000">
        <w:rPr>
          <w:rtl w:val="0"/>
        </w:rPr>
        <w:t xml:space="preserve">The aspect co-occurrence analysis (Figure A.30) identifies the most frequently co-occurring aspect pairs in the corpus. The top pairs — kepatuhan lingkungan with pengelolaan limbah, kinerja esg with pengelolaan limbah, kepatuhan lingkungan with manajemen risiko — are semantically coherent domain pairs. Environmental compliance co-occurring with waste management reflects the regulatory structure of OJK environmental reporting requirements; ESG performance co-occurring with risk management reflects the integrated reporting frameworks adopted by larger Indonesian listed companies.</w:t>
      </w:r>
    </w:p>
    <w:p w:rsidR="00000000" w:rsidDel="00000000" w:rsidP="00000000" w:rsidRDefault="00000000" w:rsidRPr="00000000" w14:paraId="00000392">
      <w:pPr>
        <w:spacing w:after="200" w:before="80" w:line="276" w:lineRule="auto"/>
        <w:jc w:val="both"/>
        <w:rPr/>
      </w:pPr>
      <w:r w:rsidDel="00000000" w:rsidR="00000000" w:rsidRPr="00000000">
        <w:rPr>
          <w:i w:val="1"/>
          <w:iCs w:val="1"/>
          <w:color w:val="666666"/>
          <w:sz w:val="20"/>
          <w:szCs w:val="20"/>
          <w:rtl w:val="0"/>
        </w:rPr>
        <w:t xml:space="preserve">[Figure A.30: Aspect co-occurrence graph]</w:t>
      </w:r>
      <w:r w:rsidDel="00000000" w:rsidR="00000000" w:rsidRPr="00000000">
        <w:rPr>
          <w:rtl w:val="0"/>
        </w:rPr>
      </w:r>
    </w:p>
    <w:p w:rsidR="00000000" w:rsidDel="00000000" w:rsidP="00000000" w:rsidRDefault="00000000" w:rsidRPr="00000000" w14:paraId="00000393">
      <w:pPr>
        <w:spacing w:after="200" w:before="80" w:line="276" w:lineRule="auto"/>
        <w:jc w:val="both"/>
        <w:rPr/>
      </w:pPr>
      <w:r w:rsidDel="00000000" w:rsidR="00000000" w:rsidRPr="00000000">
        <w:rPr>
          <w:i w:val="1"/>
          <w:iCs w:val="1"/>
          <w:color w:val="666666"/>
          <w:sz w:val="20"/>
          <w:szCs w:val="20"/>
          <w:rtl w:val="0"/>
        </w:rPr>
        <w:t xml:space="preserve">[Figure A.31: Aspect network centrality]</w:t>
      </w:r>
      <w:r w:rsidDel="00000000" w:rsidR="00000000" w:rsidRPr="00000000">
        <w:rPr>
          <w:rtl w:val="0"/>
        </w:rPr>
      </w:r>
    </w:p>
    <w:p w:rsidR="00000000" w:rsidDel="00000000" w:rsidP="00000000" w:rsidRDefault="00000000" w:rsidRPr="00000000" w14:paraId="00000394">
      <w:pPr>
        <w:spacing w:after="160" w:before="100" w:line="276" w:lineRule="auto"/>
        <w:jc w:val="both"/>
        <w:rPr/>
      </w:pPr>
      <w:r w:rsidDel="00000000" w:rsidR="00000000" w:rsidRPr="00000000">
        <w:rPr>
          <w:rtl w:val="0"/>
        </w:rPr>
        <w:t xml:space="preserve">Network centrality analysis (Figure A.31) identifies kinerja esg (weighted degree 327), kepatuhan lingkungan (331), and pengelolaan limbah (325) as the three highest-centrality aspects. These hub aspects occupy structurally central positions in the Indonesian ESG discourse network: they appear in many contexts, co-occur with many other aspects, and are therefore the most likely candidates for ontology anchoring. That these are also domain-core concepts — ESG performance, environmental compliance, waste management — validates the centrality metric as a meaningful measure of conceptual importance rather than a frequency artefact.</w:t>
      </w:r>
    </w:p>
    <w:p w:rsidR="00000000" w:rsidDel="00000000" w:rsidP="00000000" w:rsidRDefault="00000000" w:rsidRPr="00000000" w14:paraId="00000395">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5.4.2  Aspect Importance and Tone Dynamics</w:t>
      </w:r>
    </w:p>
    <w:p w:rsidR="00000000" w:rsidDel="00000000" w:rsidP="00000000" w:rsidRDefault="00000000" w:rsidRPr="00000000" w14:paraId="00000396">
      <w:pPr>
        <w:spacing w:after="160" w:before="100" w:line="276" w:lineRule="auto"/>
        <w:jc w:val="both"/>
        <w:rPr/>
      </w:pPr>
      <w:r w:rsidDel="00000000" w:rsidR="00000000" w:rsidRPr="00000000">
        <w:rPr>
          <w:rtl w:val="0"/>
        </w:rPr>
        <w:t xml:space="preserve">The aspect importance scoring (Figure A.32) and aspect-tone dynamics analysis (Figure A.33) together provide the most direct evidence for the greenwashing detection potential of the pipeline. Several patterns are interpretable as commitment-outcome asymmetries — the structural signature of selective ESG disclosure:</w:t>
      </w:r>
    </w:p>
    <w:p w:rsidR="00000000" w:rsidDel="00000000" w:rsidP="00000000" w:rsidRDefault="00000000" w:rsidRPr="00000000" w14:paraId="00000397">
      <w:pPr>
        <w:spacing w:after="200" w:before="80" w:line="276" w:lineRule="auto"/>
        <w:jc w:val="both"/>
        <w:rPr/>
      </w:pPr>
      <w:r w:rsidDel="00000000" w:rsidR="00000000" w:rsidRPr="00000000">
        <w:rPr>
          <w:i w:val="1"/>
          <w:iCs w:val="1"/>
          <w:color w:val="666666"/>
          <w:sz w:val="20"/>
          <w:szCs w:val="20"/>
          <w:rtl w:val="0"/>
        </w:rPr>
        <w:t xml:space="preserve">[Figure A.32: Aspect importance scoring]</w:t>
      </w:r>
      <w:r w:rsidDel="00000000" w:rsidR="00000000" w:rsidRPr="00000000">
        <w:rPr>
          <w:rtl w:val="0"/>
        </w:rPr>
      </w:r>
    </w:p>
    <w:p w:rsidR="00000000" w:rsidDel="00000000" w:rsidP="00000000" w:rsidRDefault="00000000" w:rsidRPr="00000000" w14:paraId="00000398">
      <w:pPr>
        <w:spacing w:after="200" w:before="80" w:line="276" w:lineRule="auto"/>
        <w:jc w:val="both"/>
        <w:rPr/>
      </w:pPr>
      <w:r w:rsidDel="00000000" w:rsidR="00000000" w:rsidRPr="00000000">
        <w:rPr>
          <w:i w:val="1"/>
          <w:iCs w:val="1"/>
          <w:color w:val="666666"/>
          <w:sz w:val="20"/>
          <w:szCs w:val="20"/>
          <w:rtl w:val="0"/>
        </w:rPr>
        <w:t xml:space="preserve">[Figure A.33: Aspect-tone dynamics]</w:t>
      </w:r>
      <w:r w:rsidDel="00000000" w:rsidR="00000000" w:rsidRPr="00000000">
        <w:rPr>
          <w:rtl w:val="0"/>
        </w:rPr>
      </w:r>
    </w:p>
    <w:p w:rsidR="00000000" w:rsidDel="00000000" w:rsidP="00000000" w:rsidRDefault="00000000" w:rsidRPr="00000000" w14:paraId="00000399">
      <w:pPr>
        <w:numPr>
          <w:ilvl w:val="0"/>
          <w:numId w:val="2"/>
        </w:numPr>
        <w:spacing w:after="80" w:before="80" w:line="260" w:lineRule="auto"/>
        <w:ind w:left="720" w:hanging="360"/>
      </w:pPr>
      <w:r w:rsidDel="00000000" w:rsidR="00000000" w:rsidRPr="00000000">
        <w:rPr>
          <w:rtl w:val="0"/>
        </w:rPr>
        <w:t xml:space="preserve">Tata kelola perusahaan (corporate governance): high commitment count, low outcome count — governance is being pledged more than demonstrated.</w:t>
      </w:r>
    </w:p>
    <w:p w:rsidR="00000000" w:rsidDel="00000000" w:rsidP="00000000" w:rsidRDefault="00000000" w:rsidRPr="00000000" w14:paraId="0000039A">
      <w:pPr>
        <w:numPr>
          <w:ilvl w:val="0"/>
          <w:numId w:val="2"/>
        </w:numPr>
        <w:spacing w:after="80" w:before="80" w:line="260" w:lineRule="auto"/>
        <w:ind w:left="720" w:hanging="360"/>
      </w:pPr>
      <w:r w:rsidDel="00000000" w:rsidR="00000000" w:rsidRPr="00000000">
        <w:rPr>
          <w:rtl w:val="0"/>
        </w:rPr>
        <w:t xml:space="preserve">Kontribusi keberlanjutan (sustainability contribution): dominated by commitment tone — sustainability is framed as future-oriented aspiration rather than present achievement.</w:t>
      </w:r>
    </w:p>
    <w:p w:rsidR="00000000" w:rsidDel="00000000" w:rsidP="00000000" w:rsidRDefault="00000000" w:rsidRPr="00000000" w14:paraId="0000039B">
      <w:pPr>
        <w:numPr>
          <w:ilvl w:val="0"/>
          <w:numId w:val="2"/>
        </w:numPr>
        <w:spacing w:after="80" w:before="80" w:line="260" w:lineRule="auto"/>
        <w:ind w:left="720" w:hanging="360"/>
      </w:pPr>
      <w:r w:rsidDel="00000000" w:rsidR="00000000" w:rsidRPr="00000000">
        <w:rPr>
          <w:rtl w:val="0"/>
        </w:rPr>
        <w:t xml:space="preserve">Antikorupsi aspects: commitment-dominant with near-zero action or outcome — anti-corruption policies are being stated but not operationalised or reported as outcomes in the text.</w:t>
      </w:r>
    </w:p>
    <w:p w:rsidR="00000000" w:rsidDel="00000000" w:rsidP="00000000" w:rsidRDefault="00000000" w:rsidRPr="00000000" w14:paraId="0000039C">
      <w:pPr>
        <w:numPr>
          <w:ilvl w:val="0"/>
          <w:numId w:val="2"/>
        </w:numPr>
        <w:spacing w:after="80" w:before="80" w:line="260" w:lineRule="auto"/>
        <w:ind w:left="720" w:hanging="360"/>
      </w:pPr>
      <w:r w:rsidDel="00000000" w:rsidR="00000000" w:rsidRPr="00000000">
        <w:rPr>
          <w:rtl w:val="0"/>
        </w:rPr>
        <w:t xml:space="preserve">Kinerja esg: outcome-dominated — ESG performance reporting is retrospective and results-oriented, as expected.</w:t>
      </w:r>
    </w:p>
    <w:p w:rsidR="00000000" w:rsidDel="00000000" w:rsidP="00000000" w:rsidRDefault="00000000" w:rsidRPr="00000000" w14:paraId="0000039D">
      <w:pPr>
        <w:numPr>
          <w:ilvl w:val="0"/>
          <w:numId w:val="2"/>
        </w:numPr>
        <w:spacing w:after="80" w:before="80" w:line="260" w:lineRule="auto"/>
        <w:ind w:left="720" w:hanging="360"/>
      </w:pPr>
      <w:r w:rsidDel="00000000" w:rsidR="00000000" w:rsidRPr="00000000">
        <w:rPr>
          <w:rtl w:val="0"/>
        </w:rPr>
        <w:t xml:space="preserve">Pengelolaan limbah (waste management): action-dominated — environmental operations are described as ongoing activities.</w:t>
      </w:r>
    </w:p>
    <w:p w:rsidR="00000000" w:rsidDel="00000000" w:rsidP="00000000" w:rsidRDefault="00000000" w:rsidRPr="00000000" w14:paraId="0000039E">
      <w:pPr>
        <w:spacing w:after="160" w:before="100" w:line="276" w:lineRule="auto"/>
        <w:jc w:val="both"/>
        <w:rPr/>
      </w:pPr>
      <w:r w:rsidDel="00000000" w:rsidR="00000000" w:rsidRPr="00000000">
        <w:rPr>
          <w:rtl w:val="0"/>
        </w:rPr>
        <w:t xml:space="preserve">The antikorupsi pattern is the most analytically significant. Anti-corruption governance is a high-priority disclosure area for both OJK and international ESG frameworks, and the pattern of commitment-heavy, outcome-absent language is a documented greenwashing signal in corporate governance research (Gonzalez and Monterroso 2024). This does not constitute proof of greenwashing — it may reflect genuine policy commitment that has not yet been operationalised — but it is the kind of asymmetry that a systematic greenwashing detection framework should flag for further investigation.</w:t>
      </w:r>
    </w:p>
    <w:p w:rsidR="00000000" w:rsidDel="00000000" w:rsidP="00000000" w:rsidRDefault="00000000" w:rsidRPr="00000000" w14:paraId="0000039F">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5.4.3  Cross-Entity and Temporal Analysis</w:t>
      </w:r>
    </w:p>
    <w:p w:rsidR="00000000" w:rsidDel="00000000" w:rsidP="00000000" w:rsidRDefault="00000000" w:rsidRPr="00000000" w14:paraId="000003A0">
      <w:pPr>
        <w:spacing w:after="160" w:before="100" w:line="276" w:lineRule="auto"/>
        <w:jc w:val="both"/>
        <w:rPr/>
      </w:pPr>
      <w:r w:rsidDel="00000000" w:rsidR="00000000" w:rsidRPr="00000000">
        <w:rPr>
          <w:rtl w:val="0"/>
        </w:rPr>
        <w:t xml:space="preserve">The cross-entity comparison (Figure A.34) reveals extreme heterogeneity across the six source companies. Climate-detection aspect records range from zero (Alfamart, SR-Bank-Aladin-Syariah, Wika Beton) to 31 (vktr); governance records from zero (SR-Bank, Wika Beton) to 66 (Alfamart). The coefficient of variation far exceeds the 80% threshold for cross-entity comparability claims. This means the corpus cannot support generalised statements about Indonesian ESG disclosure practice — individual company patterns dominate any corpus-level average. Any claims about what Indonesian companies disclose should be framed as case-study observations from specific companies, not as population-level findings.</w:t>
      </w:r>
    </w:p>
    <w:p w:rsidR="00000000" w:rsidDel="00000000" w:rsidP="00000000" w:rsidRDefault="00000000" w:rsidRPr="00000000" w14:paraId="000003A1">
      <w:pPr>
        <w:spacing w:after="200" w:before="80" w:line="276" w:lineRule="auto"/>
        <w:jc w:val="both"/>
        <w:rPr/>
      </w:pPr>
      <w:r w:rsidDel="00000000" w:rsidR="00000000" w:rsidRPr="00000000">
        <w:rPr>
          <w:i w:val="1"/>
          <w:iCs w:val="1"/>
          <w:color w:val="666666"/>
          <w:sz w:val="20"/>
          <w:szCs w:val="20"/>
          <w:rtl w:val="0"/>
        </w:rPr>
        <w:t xml:space="preserve">[Figure A.34: Cross-entity aspect comparison]</w:t>
      </w:r>
      <w:r w:rsidDel="00000000" w:rsidR="00000000" w:rsidRPr="00000000">
        <w:rPr>
          <w:rtl w:val="0"/>
        </w:rPr>
      </w:r>
    </w:p>
    <w:p w:rsidR="00000000" w:rsidDel="00000000" w:rsidP="00000000" w:rsidRDefault="00000000" w:rsidRPr="00000000" w14:paraId="000003A2">
      <w:pPr>
        <w:spacing w:after="160" w:before="100" w:line="276" w:lineRule="auto"/>
        <w:jc w:val="both"/>
        <w:rPr/>
      </w:pPr>
      <w:r w:rsidDel="00000000" w:rsidR="00000000" w:rsidRPr="00000000">
        <w:rPr>
          <w:rtl w:val="0"/>
        </w:rPr>
        <w:t xml:space="preserve">The temporal analysis (Figure A.35) is the most severely limited finding in the dataset. Only two effective time points exist: year=2026 (79 climate-detection records) and year=unknown (0 climate-detection records). The unknown group is a date-extraction artefact rather than a genuine historical snapshot. No meaningful temporal trend claims can be drawn from two data points where one is a missingness category. The pipeline is technically capable of temporal analysis — the year metadata field is extracted and populated — but the corpus lacks the multi-period coverage needed to execute it.</w:t>
      </w:r>
    </w:p>
    <w:p w:rsidR="00000000" w:rsidDel="00000000" w:rsidP="00000000" w:rsidRDefault="00000000" w:rsidRPr="00000000" w14:paraId="000003A3">
      <w:pPr>
        <w:spacing w:after="200" w:before="80" w:line="276" w:lineRule="auto"/>
        <w:jc w:val="both"/>
        <w:rPr/>
      </w:pPr>
      <w:r w:rsidDel="00000000" w:rsidR="00000000" w:rsidRPr="00000000">
        <w:rPr>
          <w:i w:val="1"/>
          <w:iCs w:val="1"/>
          <w:color w:val="666666"/>
          <w:sz w:val="20"/>
          <w:szCs w:val="20"/>
          <w:rtl w:val="0"/>
        </w:rPr>
        <w:t xml:space="preserve">[Figure A.35: Temporal aspect evolution]</w:t>
      </w:r>
      <w:r w:rsidDel="00000000" w:rsidR="00000000" w:rsidRPr="00000000">
        <w:rPr>
          <w:rtl w:val="0"/>
        </w:rPr>
      </w:r>
    </w:p>
    <w:p w:rsidR="00000000" w:rsidDel="00000000" w:rsidP="00000000" w:rsidRDefault="00000000" w:rsidRPr="00000000" w14:paraId="000003A4">
      <w:pPr>
        <w:spacing w:after="80" w:before="80" w:line="240" w:lineRule="auto"/>
        <w:rPr/>
      </w:pPr>
      <w:r w:rsidDel="00000000" w:rsidR="00000000" w:rsidRPr="00000000">
        <w:rPr>
          <w:rtl w:val="0"/>
        </w:rPr>
      </w:r>
    </w:p>
    <w:p w:rsidR="00000000" w:rsidDel="00000000" w:rsidP="00000000" w:rsidRDefault="00000000" w:rsidRPr="00000000" w14:paraId="000003A5">
      <w:pPr>
        <w:pStyle w:val="Heading2"/>
        <w:keepNext w:val="0"/>
        <w:keepLines w:val="0"/>
        <w:spacing w:after="180" w:line="240" w:lineRule="auto"/>
        <w:rPr>
          <w:b w:val="1"/>
          <w:bCs w:val="1"/>
          <w:color w:val="2e5496"/>
          <w:sz w:val="28"/>
          <w:szCs w:val="28"/>
        </w:rPr>
      </w:pPr>
      <w:bookmarkStart w:colFirst="0" w:colLast="0" w:name="_ot9zt3qy7482" w:id="43"/>
      <w:bookmarkEnd w:id="43"/>
      <w:r w:rsidDel="00000000" w:rsidR="00000000" w:rsidRPr="00000000">
        <w:rPr>
          <w:b w:val="1"/>
          <w:bCs w:val="1"/>
          <w:color w:val="2e5496"/>
          <w:sz w:val="28"/>
          <w:szCs w:val="28"/>
          <w:rtl w:val="0"/>
        </w:rPr>
        <w:t xml:space="preserve">5.5  Hybrid System Failure Mode: T2 Unknown Explosion (RQ4)</w:t>
      </w:r>
    </w:p>
    <w:p w:rsidR="00000000" w:rsidDel="00000000" w:rsidP="00000000" w:rsidRDefault="00000000" w:rsidRPr="00000000" w14:paraId="000003A6">
      <w:pPr>
        <w:spacing w:after="160" w:before="100" w:line="276" w:lineRule="auto"/>
        <w:jc w:val="both"/>
        <w:rPr/>
      </w:pPr>
      <w:r w:rsidDel="00000000" w:rsidR="00000000" w:rsidRPr="00000000">
        <w:rPr>
          <w:rtl w:val="0"/>
        </w:rPr>
        <w:t xml:space="preserve">The T2 hybrid tone classifier's 85.3% abstention rate — documented in Figure A.25 and the rule-vs-hybrid crosstab of Figure A.27 — constitutes the clearest identified failure mode in the pipeline diagnostics. Its mechanism deserves explicit analysis as part of the RQ4 error taxonomy.</w:t>
      </w:r>
    </w:p>
    <w:p w:rsidR="00000000" w:rsidDel="00000000" w:rsidP="00000000" w:rsidRDefault="00000000" w:rsidRPr="00000000" w14:paraId="000003A7">
      <w:pPr>
        <w:spacing w:after="160" w:before="100" w:line="276" w:lineRule="auto"/>
        <w:jc w:val="both"/>
        <w:rPr/>
      </w:pPr>
      <w:r w:rsidDel="00000000" w:rsidR="00000000" w:rsidRPr="00000000">
        <w:rPr>
          <w:rtl w:val="0"/>
        </w:rPr>
        <w:t xml:space="preserve">The rule-based component correctly classified 61% of records it encountered into a substantive tone category. The hybrid resolver, receiving these rule labels alongside LLM-generated signals, reclassified 88% of the rule's Commitment decisions as Unknown. This behaviour is inconsistent with a hybrid system designed to combine signals; it suggests the hybrid resolver is treating rule confidence and LLM confidence as substitutes rather than complements, and the LLM's lower confidence threshold is overriding the rule's higher-confidence signals.</w:t>
      </w:r>
    </w:p>
    <w:p w:rsidR="00000000" w:rsidDel="00000000" w:rsidP="00000000" w:rsidRDefault="00000000" w:rsidRPr="00000000" w14:paraId="000003A8">
      <w:pPr>
        <w:spacing w:after="160" w:before="100" w:line="276" w:lineRule="auto"/>
        <w:jc w:val="both"/>
        <w:rPr/>
      </w:pPr>
      <w:r w:rsidDel="00000000" w:rsidR="00000000" w:rsidRPr="00000000">
        <w:rPr>
          <w:rtl w:val="0"/>
        </w:rPr>
        <w:t xml:space="preserve">Three corrective pathways are available. First, threshold recalibration: the LLM confidence threshold for overriding a rule decision could be raised, requiring higher LLM certainty before the rule label is replaced. Second, signal fusion: rather than treating the rule and LLM as competing classifiers, the hybrid could use an ensemble approach where both signals are weighted and combined, with Unknown only assigned when both systems abstain. Third, rule lexicon expansion: the 62% rule unknown rate indicates insufficient vocabulary coverage — expanding the rule lexicon to cover more Indonesian ESG terms would reduce the proportion of records for which the hybrid has insufficient information to classify. These corrective pathways are the implementation agenda for future work on the T2 classifier.</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rPr/>
      </w:pPr>
      <w:bookmarkStart w:colFirst="0" w:colLast="0" w:name="_gfogud773gnv" w:id="44"/>
      <w:bookmarkEnd w:id="44"/>
      <w:r w:rsidDel="00000000" w:rsidR="00000000" w:rsidRPr="00000000">
        <w:rPr>
          <w:rtl w:val="0"/>
        </w:rPr>
        <w:t xml:space="preserve">6. Conclusion</w:t>
      </w:r>
    </w:p>
    <w:p w:rsidR="00000000" w:rsidDel="00000000" w:rsidP="00000000" w:rsidRDefault="00000000" w:rsidRPr="00000000" w14:paraId="000003AC">
      <w:pPr>
        <w:spacing w:after="160" w:before="100" w:line="276" w:lineRule="auto"/>
        <w:jc w:val="both"/>
        <w:rPr/>
      </w:pPr>
      <w:r w:rsidDel="00000000" w:rsidR="00000000" w:rsidRPr="00000000">
        <w:rPr>
          <w:rtl w:val="0"/>
        </w:rPr>
        <w:t xml:space="preserve">This chapter synthesises the empirical findings and diagnostic analyses of Chapters 4 and 5 into an assessment of how far the six research questions have been answered, what contribution the study makes to the ESG NLP and greenwashing detection literature, what benchmarks have been met or missed, and what the appropriate scope of claims is given the evidence generated. The chapter concludes with a structured future work agenda derived directly from the identified gaps.</w:t>
      </w:r>
    </w:p>
    <w:p w:rsidR="00000000" w:rsidDel="00000000" w:rsidP="00000000" w:rsidRDefault="00000000" w:rsidRPr="00000000" w14:paraId="000003AD">
      <w:pPr>
        <w:spacing w:after="80" w:before="80" w:line="240" w:lineRule="auto"/>
        <w:rPr/>
      </w:pPr>
      <w:r w:rsidDel="00000000" w:rsidR="00000000" w:rsidRPr="00000000">
        <w:rPr>
          <w:rtl w:val="0"/>
        </w:rPr>
      </w:r>
    </w:p>
    <w:p w:rsidR="00000000" w:rsidDel="00000000" w:rsidP="00000000" w:rsidRDefault="00000000" w:rsidRPr="00000000" w14:paraId="000003AE">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6.1  Research Question Assessment</w:t>
      </w:r>
    </w:p>
    <w:p w:rsidR="00000000" w:rsidDel="00000000" w:rsidP="00000000" w:rsidRDefault="00000000" w:rsidRPr="00000000" w14:paraId="000003AF">
      <w:pPr>
        <w:spacing w:after="160" w:before="100" w:line="276" w:lineRule="auto"/>
        <w:jc w:val="both"/>
        <w:rPr/>
      </w:pPr>
      <w:r w:rsidDel="00000000" w:rsidR="00000000" w:rsidRPr="00000000">
        <w:rPr>
          <w:rtl w:val="0"/>
        </w:rPr>
        <w:t xml:space="preserve">The per-RQ evidence dashboard (Figure A.7) provides a structured overview of evidence strength across all six research questions. The following sections assess each in turn.</w:t>
      </w:r>
    </w:p>
    <w:p w:rsidR="00000000" w:rsidDel="00000000" w:rsidP="00000000" w:rsidRDefault="00000000" w:rsidRPr="00000000" w14:paraId="000003B0">
      <w:pPr>
        <w:spacing w:after="200" w:before="80" w:line="276" w:lineRule="auto"/>
        <w:jc w:val="both"/>
        <w:rPr/>
      </w:pPr>
      <w:r w:rsidDel="00000000" w:rsidR="00000000" w:rsidRPr="00000000">
        <w:rPr>
          <w:i w:val="1"/>
          <w:iCs w:val="1"/>
          <w:color w:val="666666"/>
          <w:sz w:val="20"/>
          <w:szCs w:val="20"/>
          <w:rtl w:val="0"/>
        </w:rPr>
        <w:t xml:space="preserve">[Figure A.7: Per-RQ evidence]</w:t>
      </w:r>
      <w:r w:rsidDel="00000000" w:rsidR="00000000" w:rsidRPr="00000000">
        <w:rPr>
          <w:rtl w:val="0"/>
        </w:rPr>
      </w:r>
    </w:p>
    <w:p w:rsidR="00000000" w:rsidDel="00000000" w:rsidP="00000000" w:rsidRDefault="00000000" w:rsidRPr="00000000" w14:paraId="000003B1">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RQ1 — PDF-to-Structured ESG Transformation</w:t>
      </w:r>
    </w:p>
    <w:p w:rsidR="00000000" w:rsidDel="00000000" w:rsidP="00000000" w:rsidRDefault="00000000" w:rsidRPr="00000000" w14:paraId="000003B2">
      <w:pPr>
        <w:spacing w:after="160" w:before="100" w:line="276" w:lineRule="auto"/>
        <w:jc w:val="both"/>
        <w:rPr/>
      </w:pPr>
      <w:r w:rsidDel="00000000" w:rsidR="00000000" w:rsidRPr="00000000">
        <w:rPr>
          <w:rtl w:val="0"/>
        </w:rPr>
        <w:t xml:space="preserve">RQ1 is implemented and partially validated. The pipeline converts Indonesian and English sustainability reports into structured JSON records with sentence-level ESG annotations, achieving &gt;99.9% field completeness (A.17) and processing 16 documents across 6 companies. The architectural components of OCR, layout parsing, multilingual normalisation, and taxonomy mapping are all present. The evaluation criterion not met is direct OCR quality measurement: CER and WER were not computed. RQ1 should be characterised as: the pipeline architecture is complete and structurally validated; full OCR quality benchmarking is outstanding.</w:t>
      </w:r>
    </w:p>
    <w:p w:rsidR="00000000" w:rsidDel="00000000" w:rsidP="00000000" w:rsidRDefault="00000000" w:rsidRPr="00000000" w14:paraId="000003B3">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RQ2 — ESG Annotation Schema: Tone, Sentiment, and Aspect</w:t>
      </w:r>
    </w:p>
    <w:p w:rsidR="00000000" w:rsidDel="00000000" w:rsidP="00000000" w:rsidRDefault="00000000" w:rsidRPr="00000000" w14:paraId="000003B4">
      <w:pPr>
        <w:spacing w:after="160" w:before="100" w:line="276" w:lineRule="auto"/>
        <w:jc w:val="both"/>
        <w:rPr/>
      </w:pPr>
      <w:r w:rsidDel="00000000" w:rsidR="00000000" w:rsidRPr="00000000">
        <w:rPr>
          <w:rtl w:val="0"/>
        </w:rPr>
        <w:t xml:space="preserve">RQ2 is the most thoroughly evidenced research question in the study. The tone taxonomy is behaviourally validated by strong aspect-tone concentration patterns (A.3), near-perfect scaffold completeness (A.17), and classifier accuracy above 70% per-class for all four tone categories (A.19). The bilingual annotation schema covers both Indonesian and English content, with 52 aspect types mapped to the ontology. The gap is formal inter-annotator agreement: zero human annotation records are complete, meaning the schema has not been validated against dual-human standards. The appropriate claim is: the tone taxonomy is pipeline-validated with strong internal consistency; formal human validation is the outstanding task.</w:t>
      </w:r>
    </w:p>
    <w:p w:rsidR="00000000" w:rsidDel="00000000" w:rsidP="00000000" w:rsidRDefault="00000000" w:rsidRPr="00000000" w14:paraId="000003B5">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RQ3 — Tone ABSA vs. ClimateBERT Comparison</w:t>
      </w:r>
    </w:p>
    <w:p w:rsidR="00000000" w:rsidDel="00000000" w:rsidP="00000000" w:rsidRDefault="00000000" w:rsidRPr="00000000" w14:paraId="000003B6">
      <w:pPr>
        <w:spacing w:after="160" w:before="100" w:line="276" w:lineRule="auto"/>
        <w:jc w:val="both"/>
        <w:rPr/>
      </w:pPr>
      <w:r w:rsidDel="00000000" w:rsidR="00000000" w:rsidRPr="00000000">
        <w:rPr>
          <w:rtl w:val="0"/>
        </w:rPr>
        <w:t xml:space="preserve">RQ3 is fully evidenced with the study's most novel finding. The moderate kappa (0.645) between the pipeline and ClimateBERT, the construct divergence documented in the A.4 crosstab, the domain-mismatch evidence from the T1 failure rate, and the right-skewed ClimateBERT confidence distribution collectively establish that the two systems are measuring related but distinct constructs. The finding — that tone-based ABSA captures performative sentence-level language while ClimateBERT captures document-calibrated climate relevance, and that these diverge in theoretically predictable ways — is a clean, defensible contribution to the RQ3 question.</w:t>
      </w:r>
    </w:p>
    <w:p w:rsidR="00000000" w:rsidDel="00000000" w:rsidP="00000000" w:rsidRDefault="00000000" w:rsidRPr="00000000" w14:paraId="000003B7">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RQ4 — ABSA Diagnostics and Failure Pattern Identification</w:t>
      </w:r>
    </w:p>
    <w:p w:rsidR="00000000" w:rsidDel="00000000" w:rsidP="00000000" w:rsidRDefault="00000000" w:rsidRPr="00000000" w14:paraId="000003B8">
      <w:pPr>
        <w:spacing w:after="160" w:before="100" w:line="276" w:lineRule="auto"/>
        <w:jc w:val="both"/>
        <w:rPr/>
      </w:pPr>
      <w:r w:rsidDel="00000000" w:rsidR="00000000" w:rsidRPr="00000000">
        <w:rPr>
          <w:rtl w:val="0"/>
        </w:rPr>
        <w:t xml:space="preserve">RQ4 is partially evidenced, with several concrete failure modes identified. The T2 hybrid Unknown explosion (A.25, A.27) is a named, mechanistically explained failure mode. The shallow ontology path distribution (A.28, A.36) is a quantified regulatory-depth gap. The social pillar under-extraction (A.2) is an identified extraction bias. The cross-entity heterogeneity (A.34) is a documented corpus coverage limitation. What is missing is a formal error taxonomy document and a closed-loop improvement protocol — the infrastructure for RQ4's diagnostic framework exists in the pipeline, but the diagnostic framework as a deliverable artefact has not been formalised.</w:t>
      </w:r>
    </w:p>
    <w:p w:rsidR="00000000" w:rsidDel="00000000" w:rsidP="00000000" w:rsidRDefault="00000000" w:rsidRPr="00000000" w14:paraId="000003B9">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RQ5 — Reproducibility and Documentation</w:t>
      </w:r>
    </w:p>
    <w:p w:rsidR="00000000" w:rsidDel="00000000" w:rsidP="00000000" w:rsidRDefault="00000000" w:rsidRPr="00000000" w14:paraId="000003BA">
      <w:pPr>
        <w:spacing w:after="160" w:before="100" w:line="276" w:lineRule="auto"/>
        <w:jc w:val="both"/>
        <w:rPr/>
      </w:pPr>
      <w:r w:rsidDel="00000000" w:rsidR="00000000" w:rsidRPr="00000000">
        <w:rPr>
          <w:rtl w:val="0"/>
        </w:rPr>
        <w:t xml:space="preserve">RQ5 is met at the infrastructure level and partially met at the completeness level. The Streamlit dashboard (A.6) provides frozen snapshots, traceable source files, downloadable backing tables for all 36 graph attachments, and a documented metrics registry — exceeding what most master's thesis ABSA studies provide. The gaps are the OCR quality metrics and the cross-model stability benchmark suite, both of which the dashboard itself flags. The evidence matrix (A.9) correctly characterises RQ5 as 'implemented with reproducibility evidence' against a standard of full independent replication.</w:t>
      </w:r>
    </w:p>
    <w:p w:rsidR="00000000" w:rsidDel="00000000" w:rsidP="00000000" w:rsidRDefault="00000000" w:rsidRPr="00000000" w14:paraId="000003BB">
      <w:pPr>
        <w:spacing w:after="200" w:before="80" w:line="276" w:lineRule="auto"/>
        <w:jc w:val="both"/>
        <w:rPr/>
      </w:pPr>
      <w:r w:rsidDel="00000000" w:rsidR="00000000" w:rsidRPr="00000000">
        <w:rPr>
          <w:i w:val="1"/>
          <w:iCs w:val="1"/>
          <w:color w:val="666666"/>
          <w:sz w:val="20"/>
          <w:szCs w:val="20"/>
          <w:rtl w:val="0"/>
        </w:rPr>
        <w:t xml:space="preserve">[Figure A.9: Evidence matrix]</w:t>
      </w:r>
      <w:r w:rsidDel="00000000" w:rsidR="00000000" w:rsidRPr="00000000">
        <w:rPr>
          <w:rtl w:val="0"/>
        </w:rPr>
      </w:r>
    </w:p>
    <w:p w:rsidR="00000000" w:rsidDel="00000000" w:rsidP="00000000" w:rsidRDefault="00000000" w:rsidRPr="00000000" w14:paraId="000003BC">
      <w:pPr>
        <w:pStyle w:val="Heading3"/>
        <w:keepNext w:val="0"/>
        <w:keepLines w:val="0"/>
        <w:spacing w:after="120" w:before="240" w:line="240" w:lineRule="auto"/>
        <w:rPr>
          <w:b w:val="1"/>
          <w:bCs w:val="1"/>
          <w:color w:val="2e5496"/>
          <w:sz w:val="24"/>
          <w:szCs w:val="24"/>
        </w:rPr>
      </w:pPr>
      <w:r w:rsidDel="00000000" w:rsidR="00000000" w:rsidRPr="00000000">
        <w:rPr>
          <w:b w:val="1"/>
          <w:bCs w:val="1"/>
          <w:color w:val="2e5496"/>
          <w:sz w:val="24"/>
          <w:szCs w:val="24"/>
          <w:rtl w:val="0"/>
        </w:rPr>
        <w:t xml:space="preserve">RQ6 — Cross-Model and Cross-Prompt Stability</w:t>
      </w:r>
    </w:p>
    <w:p w:rsidR="00000000" w:rsidDel="00000000" w:rsidP="00000000" w:rsidRDefault="00000000" w:rsidRPr="00000000" w14:paraId="000003BD">
      <w:pPr>
        <w:spacing w:after="160" w:before="100" w:line="276" w:lineRule="auto"/>
        <w:jc w:val="both"/>
        <w:rPr/>
      </w:pPr>
      <w:r w:rsidDel="00000000" w:rsidR="00000000" w:rsidRPr="00000000">
        <w:rPr>
          <w:rtl w:val="0"/>
        </w:rPr>
        <w:t xml:space="preserve">RQ6 is partially validated, with clear differentiation between high-run and low-run model configurations. The two production-grade models (arcee-ai/trinity-large-preview and openai/gpt-oss-120b) achieve perfect parse rates with adequate run counts for stability claims. The six designed tone prompts achieve near-zero missing-tone rates. The recommendation for practitioners emerging from this data is to use arcee-ai/trinity-large-preview:free for stable structured extraction; to treat minimax/minimax-m2.5:free results with caution given the 43% parse failure rate; and to avoid single-prompt deployment in favour of the multi-template approach validated by the near-zero missing-tone rates. The matched cross-model kappa for a formal stability benchmark suite remains to be computed.</w:t>
      </w:r>
    </w:p>
    <w:p w:rsidR="00000000" w:rsidDel="00000000" w:rsidP="00000000" w:rsidRDefault="00000000" w:rsidRPr="00000000" w14:paraId="000003BE">
      <w:pPr>
        <w:spacing w:after="80" w:before="80" w:line="240" w:lineRule="auto"/>
        <w:rPr/>
      </w:pPr>
      <w:r w:rsidDel="00000000" w:rsidR="00000000" w:rsidRPr="00000000">
        <w:rPr>
          <w:rtl w:val="0"/>
        </w:rPr>
      </w:r>
    </w:p>
    <w:p w:rsidR="00000000" w:rsidDel="00000000" w:rsidP="00000000" w:rsidRDefault="00000000" w:rsidRPr="00000000" w14:paraId="000003BF">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6.2  Contribution Assessment Against Benchmarks</w:t>
      </w:r>
    </w:p>
    <w:p w:rsidR="00000000" w:rsidDel="00000000" w:rsidP="00000000" w:rsidRDefault="00000000" w:rsidRPr="00000000" w14:paraId="000003C0">
      <w:pPr>
        <w:spacing w:after="160" w:before="100" w:line="276" w:lineRule="auto"/>
        <w:jc w:val="both"/>
        <w:rPr/>
      </w:pPr>
      <w:r w:rsidDel="00000000" w:rsidR="00000000" w:rsidRPr="00000000">
        <w:rPr>
          <w:rtl w:val="0"/>
        </w:rPr>
        <w:t xml:space="preserve">The benchmark plan (Figure A.8) identifies five validation benchmarks and their current status. This section assesses each against the evidence.</w:t>
      </w:r>
    </w:p>
    <w:p w:rsidR="00000000" w:rsidDel="00000000" w:rsidP="00000000" w:rsidRDefault="00000000" w:rsidRPr="00000000" w14:paraId="000003C1">
      <w:pPr>
        <w:spacing w:after="200" w:before="80" w:line="276" w:lineRule="auto"/>
        <w:jc w:val="both"/>
        <w:rPr/>
      </w:pPr>
      <w:r w:rsidDel="00000000" w:rsidR="00000000" w:rsidRPr="00000000">
        <w:rPr>
          <w:i w:val="1"/>
          <w:iCs w:val="1"/>
          <w:color w:val="666666"/>
          <w:sz w:val="20"/>
          <w:szCs w:val="20"/>
          <w:rtl w:val="0"/>
        </w:rPr>
        <w:t xml:space="preserve">[Figure A.8: Benchmark plan]</w:t>
      </w:r>
      <w:r w:rsidDel="00000000" w:rsidR="00000000" w:rsidRPr="00000000">
        <w:rPr>
          <w:rtl w:val="0"/>
        </w:rPr>
      </w:r>
    </w:p>
    <w:p w:rsidR="00000000" w:rsidDel="00000000" w:rsidP="00000000" w:rsidRDefault="00000000" w:rsidRPr="00000000" w14:paraId="000003C2">
      <w:pPr>
        <w:spacing w:after="160" w:before="100" w:line="276" w:lineRule="auto"/>
        <w:jc w:val="both"/>
        <w:rPr/>
      </w:pPr>
      <w:r w:rsidDel="00000000" w:rsidR="00000000" w:rsidRPr="00000000">
        <w:rPr>
          <w:rtl w:val="0"/>
        </w:rPr>
        <w:t xml:space="preserve">OCR quality (CER/WER): Not measured. The 99.9% field completeness is a structural proxy, not a direct measurement. CER cannot be inferred from completeness rates. This benchmark is unmet.</w:t>
      </w:r>
    </w:p>
    <w:p w:rsidR="00000000" w:rsidDel="00000000" w:rsidP="00000000" w:rsidRDefault="00000000" w:rsidRPr="00000000" w14:paraId="000003C3">
      <w:pPr>
        <w:spacing w:after="160" w:before="100" w:line="276" w:lineRule="auto"/>
        <w:jc w:val="both"/>
        <w:rPr/>
      </w:pPr>
      <w:r w:rsidDel="00000000" w:rsidR="00000000" w:rsidRPr="00000000">
        <w:rPr>
          <w:rtl w:val="0"/>
        </w:rPr>
        <w:t xml:space="preserve">Human annotation agreement (kappa &gt;= 0.70): Partially met via proxy. The pipeline-to-silver kappa of 0.645 is below the 0.70 threshold, but this is a proxy metric rather than a human IAA coefficient. The pilot annotation infrastructure exists for the benchmark to be computed; the human annotation step has not been completed. The benchmark is structurally proximate but formally unmet.</w:t>
      </w:r>
    </w:p>
    <w:p w:rsidR="00000000" w:rsidDel="00000000" w:rsidP="00000000" w:rsidRDefault="00000000" w:rsidRPr="00000000" w14:paraId="000003C4">
      <w:pPr>
        <w:spacing w:after="160" w:before="100" w:line="276" w:lineRule="auto"/>
        <w:jc w:val="both"/>
        <w:rPr/>
      </w:pPr>
      <w:r w:rsidDel="00000000" w:rsidR="00000000" w:rsidRPr="00000000">
        <w:rPr>
          <w:rtl w:val="0"/>
        </w:rPr>
        <w:t xml:space="preserve">Repeated LLM runs (&gt;=30 per configuration): Met for high-run models, unmet for low-run models. arcee-ai/trinity-large-preview (90 runs) and minimax (776 runs) exceed the threshold; openai/gpt-oss-120b (20 runs) is below it. Prompt-level stability (15–20 runs per prompt) is indicative but not fully robust.</w:t>
      </w:r>
    </w:p>
    <w:p w:rsidR="00000000" w:rsidDel="00000000" w:rsidP="00000000" w:rsidRDefault="00000000" w:rsidRPr="00000000" w14:paraId="000003C5">
      <w:pPr>
        <w:spacing w:after="160" w:before="100" w:line="276" w:lineRule="auto"/>
        <w:jc w:val="both"/>
        <w:rPr/>
      </w:pPr>
      <w:r w:rsidDel="00000000" w:rsidR="00000000" w:rsidRPr="00000000">
        <w:rPr>
          <w:rtl w:val="0"/>
        </w:rPr>
        <w:t xml:space="preserve">ClimateBERT baseline comparison: Partially met. The proxy agreement (kappa 0.645) is computed and interpretable. It falls below the 0.70 minimum for strong convergent validity claims, but above the majority baseline of 0.656, indicating the systems share non-trivial alignment. The benchmark is partially met with appropriate interpretation.</w:t>
      </w:r>
    </w:p>
    <w:p w:rsidR="00000000" w:rsidDel="00000000" w:rsidP="00000000" w:rsidRDefault="00000000" w:rsidRPr="00000000" w14:paraId="000003C6">
      <w:pPr>
        <w:spacing w:after="160" w:before="100" w:line="276" w:lineRule="auto"/>
        <w:jc w:val="both"/>
        <w:rPr/>
      </w:pPr>
      <w:r w:rsidDel="00000000" w:rsidR="00000000" w:rsidRPr="00000000">
        <w:rPr>
          <w:rtl w:val="0"/>
        </w:rPr>
        <w:t xml:space="preserve">Ontology extension formalisation: Not yet met. The extension candidates are identified but frequency is insufficient for formal formalisation. The benchmark requires a larger bilingual corpus for validation.</w:t>
      </w:r>
    </w:p>
    <w:p w:rsidR="00000000" w:rsidDel="00000000" w:rsidP="00000000" w:rsidRDefault="00000000" w:rsidRPr="00000000" w14:paraId="000003C7">
      <w:pPr>
        <w:spacing w:after="80" w:before="80" w:line="240" w:lineRule="auto"/>
        <w:rPr/>
      </w:pPr>
      <w:r w:rsidDel="00000000" w:rsidR="00000000" w:rsidRPr="00000000">
        <w:rPr>
          <w:rtl w:val="0"/>
        </w:rPr>
      </w:r>
    </w:p>
    <w:p w:rsidR="00000000" w:rsidDel="00000000" w:rsidP="00000000" w:rsidRDefault="00000000" w:rsidRPr="00000000" w14:paraId="000003C8">
      <w:pPr>
        <w:pStyle w:val="Heading2"/>
        <w:keepNext w:val="0"/>
        <w:keepLines w:val="0"/>
        <w:spacing w:after="180" w:line="240" w:lineRule="auto"/>
        <w:rPr>
          <w:b w:val="1"/>
          <w:bCs w:val="1"/>
          <w:color w:val="2e5496"/>
          <w:sz w:val="28"/>
          <w:szCs w:val="28"/>
        </w:rPr>
      </w:pPr>
      <w:r w:rsidDel="00000000" w:rsidR="00000000" w:rsidRPr="00000000">
        <w:rPr>
          <w:b w:val="1"/>
          <w:bCs w:val="1"/>
          <w:color w:val="2e5496"/>
          <w:sz w:val="28"/>
          <w:szCs w:val="28"/>
          <w:rtl w:val="0"/>
        </w:rPr>
        <w:t xml:space="preserve">6.3  Scope of Claims: What This Study Does and Does Not Establish</w:t>
      </w:r>
    </w:p>
    <w:p w:rsidR="00000000" w:rsidDel="00000000" w:rsidP="00000000" w:rsidRDefault="00000000" w:rsidRPr="00000000" w14:paraId="000003C9">
      <w:pPr>
        <w:spacing w:after="160" w:before="100" w:line="276" w:lineRule="auto"/>
        <w:jc w:val="both"/>
        <w:rPr/>
      </w:pPr>
      <w:r w:rsidDel="00000000" w:rsidR="00000000" w:rsidRPr="00000000">
        <w:rPr>
          <w:rtl w:val="0"/>
        </w:rPr>
        <w:t xml:space="preserve">The evidence matrix (Figure A.9) characterises the overall evidence base as: 'feasibility study that supports several descriptive findings.' This is an appropriately calibrated scope. The following summary distinguishes defensible claims from overclaims that the evidence does not support.</w:t>
      </w:r>
    </w:p>
    <w:p w:rsidR="00000000" w:rsidDel="00000000" w:rsidP="00000000" w:rsidRDefault="00000000" w:rsidRPr="00000000" w14:paraId="000003CA">
      <w:pPr>
        <w:spacing w:after="160" w:before="100" w:line="276" w:lineRule="auto"/>
        <w:jc w:val="both"/>
        <w:rPr/>
      </w:pPr>
      <w:r w:rsidDel="00000000" w:rsidR="00000000" w:rsidRPr="00000000">
        <w:rPr>
          <w:rtl w:val="0"/>
        </w:rPr>
        <w:t xml:space="preserve">The study establishes: (1) that an end-to-end PDF-to-structured-ESG pipeline can be built and operated on Indonesian sustainability reports, achieving near-complete field coverage across a six-company corpus; (2) that a three-tier tone taxonomy (commitment, action, outcome) produces semantically coherent aspect-tone associations on this corpus, with per-class accuracy above 70% for all four tone categories; (3) that ClimateBERT and a sentence-level tone classifier diverge in theoretically interpretable ways, with a proxy kappa of 0.645 indicating moderate agreement that is meaningfully above chance; (4) that certain Indonesian ESG aspect clusters — particularly anti-corruption governance aspects — exhibit commitment-outcome asymmetry patterns consistent with selective ESG disclosure; and (5) that multi-template prompt engineering achieves near-zero missing-tone rates, and that production-quality parse rates are achievable with specific LLM configurations.</w:t>
      </w:r>
    </w:p>
    <w:p w:rsidR="00000000" w:rsidDel="00000000" w:rsidP="00000000" w:rsidRDefault="00000000" w:rsidRPr="00000000" w14:paraId="000003CB">
      <w:pPr>
        <w:spacing w:after="160" w:before="100" w:line="276" w:lineRule="auto"/>
        <w:jc w:val="both"/>
        <w:rPr/>
      </w:pPr>
      <w:r w:rsidDel="00000000" w:rsidR="00000000" w:rsidRPr="00000000">
        <w:rPr>
          <w:rtl w:val="0"/>
        </w:rPr>
        <w:t xml:space="preserve">The study does not establish: (1) that the pipeline OCR quality meets CER/WER thresholds — this requires direct measurement; (2) that the tone taxonomy is validated against human annotation standards — this requires completed IAA computation; (3) that findings generalise to Indonesian ESG disclosure broadly — the six-document corpus with extreme cross-entity heterogeneity supports case-study claims only; (4) that the greenwashing signals identified are genuine greenwashing rather than calibration artefacts — this requires external validation against non-financial performance data; or (5) that the ontology provides deep GRI/SASB/TCFD regulatory alignment — the 17% specific-node routing rate is the honest coverage figure.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180.0" w:type="dxa"/>
              <w:bottom w:w="120.0" w:type="dxa"/>
              <w:right w:w="180.0" w:type="dxa"/>
            </w:tcMar>
          </w:tcPr>
          <w:p w:rsidR="00000000" w:rsidDel="00000000" w:rsidP="00000000" w:rsidRDefault="00000000" w:rsidRPr="00000000" w14:paraId="000003CC">
            <w:pPr>
              <w:spacing w:after="60" w:before="60" w:line="260" w:lineRule="auto"/>
              <w:rPr/>
            </w:pPr>
            <w:r w:rsidDel="00000000" w:rsidR="00000000" w:rsidRPr="00000000">
              <w:rPr>
                <w:i w:val="1"/>
                <w:iCs w:val="1"/>
                <w:color w:val="1f4e79"/>
                <w:sz w:val="20"/>
                <w:szCs w:val="20"/>
                <w:rtl w:val="0"/>
              </w:rPr>
              <w:t xml:space="preserve">Summary for examiners: This study makes a feasibility and methodology contribution to Indonesian ESG NLP. It demonstrates a working pipeline, identifies the construct divergence between tone-based ABSA and ClimateBERT as a novel finding, and provides honest diagnostics of where the pipeline falls short. The contribution is appropriately scoped for a master's thesis; the honest assessment of limitations strengthens rather than undermines the work.</w:t>
            </w:r>
            <w:r w:rsidDel="00000000" w:rsidR="00000000" w:rsidRPr="00000000">
              <w:rPr>
                <w:rtl w:val="0"/>
              </w:rPr>
            </w:r>
          </w:p>
        </w:tc>
      </w:tr>
    </w:tbl>
    <w:p w:rsidR="00000000" w:rsidDel="00000000" w:rsidP="00000000" w:rsidRDefault="00000000" w:rsidRPr="00000000" w14:paraId="000003CD">
      <w:pPr>
        <w:spacing w:after="80" w:before="80" w:line="240" w:lineRule="auto"/>
        <w:rPr/>
      </w:pPr>
      <w:r w:rsidDel="00000000" w:rsidR="00000000" w:rsidRPr="00000000">
        <w:rPr>
          <w:rtl w:val="0"/>
        </w:rPr>
      </w:r>
    </w:p>
    <w:p w:rsidR="00000000" w:rsidDel="00000000" w:rsidP="00000000" w:rsidRDefault="00000000" w:rsidRPr="00000000" w14:paraId="000003CE">
      <w:pPr>
        <w:pStyle w:val="Heading2"/>
        <w:keepNext w:val="0"/>
        <w:keepLines w:val="0"/>
        <w:spacing w:after="180" w:line="240" w:lineRule="auto"/>
        <w:rPr>
          <w:b w:val="1"/>
          <w:bCs w:val="1"/>
          <w:color w:val="2e5496"/>
          <w:sz w:val="28"/>
          <w:szCs w:val="28"/>
        </w:rPr>
      </w:pPr>
      <w:bookmarkStart w:colFirst="0" w:colLast="0" w:name="_kek0g8rwoput" w:id="45"/>
      <w:bookmarkEnd w:id="45"/>
      <w:r w:rsidDel="00000000" w:rsidR="00000000" w:rsidRPr="00000000">
        <w:rPr>
          <w:b w:val="1"/>
          <w:bCs w:val="1"/>
          <w:color w:val="2e5496"/>
          <w:sz w:val="28"/>
          <w:szCs w:val="28"/>
          <w:rtl w:val="0"/>
        </w:rPr>
        <w:t xml:space="preserve">6.4  Future Work Agenda</w:t>
      </w:r>
    </w:p>
    <w:p w:rsidR="00000000" w:rsidDel="00000000" w:rsidP="00000000" w:rsidRDefault="00000000" w:rsidRPr="00000000" w14:paraId="000003CF">
      <w:pPr>
        <w:spacing w:after="160" w:before="100" w:line="276" w:lineRule="auto"/>
        <w:jc w:val="both"/>
        <w:rPr/>
      </w:pPr>
      <w:r w:rsidDel="00000000" w:rsidR="00000000" w:rsidRPr="00000000">
        <w:rPr>
          <w:rtl w:val="0"/>
        </w:rPr>
        <w:t xml:space="preserve">The following future work directions are derived directly from the identified gaps, ordered by their expected impact on the strength of the contribution claims.</w:t>
      </w:r>
    </w:p>
    <w:p w:rsidR="00000000" w:rsidDel="00000000" w:rsidP="00000000" w:rsidRDefault="00000000" w:rsidRPr="00000000" w14:paraId="000003D0">
      <w:pPr>
        <w:spacing w:after="160" w:before="100" w:line="276" w:lineRule="auto"/>
        <w:jc w:val="both"/>
        <w:rPr/>
      </w:pPr>
      <w:r w:rsidDel="00000000" w:rsidR="00000000" w:rsidRPr="00000000">
        <w:rPr>
          <w:rtl w:val="0"/>
        </w:rPr>
        <w:t xml:space="preserve">Priority 1 — Complete human annotation: Recruiting two independent annotators to review the 70 pilot seed records and compute Cohen's kappa will convert the proxy validation to formal IAA validation, the single highest-impact improvement to the study's methodological standing.</w:t>
      </w:r>
    </w:p>
    <w:p w:rsidR="00000000" w:rsidDel="00000000" w:rsidP="00000000" w:rsidRDefault="00000000" w:rsidRPr="00000000" w14:paraId="000003D1">
      <w:pPr>
        <w:spacing w:after="160" w:before="100" w:line="276" w:lineRule="auto"/>
        <w:jc w:val="both"/>
        <w:rPr/>
      </w:pPr>
      <w:r w:rsidDel="00000000" w:rsidR="00000000" w:rsidRPr="00000000">
        <w:rPr>
          <w:rtl w:val="0"/>
        </w:rPr>
        <w:t xml:space="preserve">Priority 2 — OCR quality benchmarking: Manual spot-checking of 10–15 document pages with CER/WER computation will provide the missing OCR evaluation metric and convert the RQ1 claim from structural to metric validation.</w:t>
      </w:r>
    </w:p>
    <w:p w:rsidR="00000000" w:rsidDel="00000000" w:rsidP="00000000" w:rsidRDefault="00000000" w:rsidRPr="00000000" w14:paraId="000003D2">
      <w:pPr>
        <w:spacing w:after="160" w:before="100" w:line="276" w:lineRule="auto"/>
        <w:jc w:val="both"/>
        <w:rPr/>
      </w:pPr>
      <w:r w:rsidDel="00000000" w:rsidR="00000000" w:rsidRPr="00000000">
        <w:rPr>
          <w:rtl w:val="0"/>
        </w:rPr>
        <w:t xml:space="preserve">Priority 3 — T2 hybrid threshold recalibration: Adjusting the hybrid resolver's LLM confidence threshold to prevent systematic rule-override will address the Unknown explosion failure mode identified in Section 5.5, and is the most tractable pipeline improvement given existing infrastructure.</w:t>
      </w:r>
    </w:p>
    <w:p w:rsidR="00000000" w:rsidDel="00000000" w:rsidP="00000000" w:rsidRDefault="00000000" w:rsidRPr="00000000" w14:paraId="000003D3">
      <w:pPr>
        <w:spacing w:after="160" w:before="100" w:line="276" w:lineRule="auto"/>
        <w:jc w:val="both"/>
        <w:rPr/>
      </w:pPr>
      <w:r w:rsidDel="00000000" w:rsidR="00000000" w:rsidRPr="00000000">
        <w:rPr>
          <w:rtl w:val="0"/>
        </w:rPr>
        <w:t xml:space="preserve">Priority 4 — Corpus expansion for temporal and cross-entity analysis: Adding reports from at least three additional reporting years and ten additional companies will enable the temporal trend analysis and cross-entity generalisation that the current corpus cannot support.</w:t>
      </w:r>
    </w:p>
    <w:p w:rsidR="00000000" w:rsidDel="00000000" w:rsidP="00000000" w:rsidRDefault="00000000" w:rsidRPr="00000000" w14:paraId="000003D4">
      <w:pPr>
        <w:spacing w:after="160" w:before="100" w:line="276" w:lineRule="auto"/>
        <w:jc w:val="both"/>
        <w:rPr/>
      </w:pPr>
      <w:r w:rsidDel="00000000" w:rsidR="00000000" w:rsidRPr="00000000">
        <w:rPr>
          <w:rtl w:val="0"/>
        </w:rPr>
        <w:t xml:space="preserve">Priority 5 — Deep ontology path formalisation: Mapping the identified Indonesian-specific extension candidates (identifikasi risiko korupsi, kerja sama energi bersih, kebijakan antikorupsi) to specific GRI/SASB/TCFD nodes will increase the regulatory specificity rate from the current 17% toward the 60% benchmark, making the ontology contribution operationally meaningful for regulatory use.</w:t>
      </w:r>
    </w:p>
    <w:p w:rsidR="00000000" w:rsidDel="00000000" w:rsidP="00000000" w:rsidRDefault="00000000" w:rsidRPr="00000000" w14:paraId="000003D5">
      <w:pPr>
        <w:spacing w:after="160" w:before="100" w:line="276" w:lineRule="auto"/>
        <w:jc w:val="both"/>
        <w:rPr/>
      </w:pPr>
      <w:r w:rsidDel="00000000" w:rsidR="00000000" w:rsidRPr="00000000">
        <w:rPr>
          <w:rtl w:val="0"/>
        </w:rPr>
        <w:t xml:space="preserve">Priority 6 — Cross-model stability benchmark suite: Equalising run counts across models (minimum 30 per configuration) and computing matched cross-model kappa will provide the formal stability benchmark that RQ6 targets.</w:t>
      </w:r>
    </w:p>
    <w:p w:rsidR="00000000" w:rsidDel="00000000" w:rsidP="00000000" w:rsidRDefault="00000000" w:rsidRPr="00000000" w14:paraId="000003D6">
      <w:pPr>
        <w:spacing w:after="160" w:before="100" w:line="276" w:lineRule="auto"/>
        <w:jc w:val="both"/>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This thesis proposes an executable ESG ABSA framework for transforming Indonesian sustainability reports into structured, validated, and graph-ready evidence. The system combines OCR, LLM extraction, ABSA labeling, ClimateBERT comparison, human annotation, ontology mapping, and Streamlit-based thesis integration.</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main conclusion is that ESG disclosure analysis benefits from record-level modeling. Document-level ESG scoring is too coarse to capture differences between commitments, actions, outcomes, missing disclosures, and governance or social statements. The current pipeline shows that extracted records can be validated, visualized, mapped to research questions, and exported into semantic graph formats.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Future work should focus on: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numPr>
          <w:ilvl w:val="0"/>
          <w:numId w:val="13"/>
        </w:numPr>
        <w:ind w:left="720" w:hanging="360"/>
      </w:pPr>
      <w:r w:rsidDel="00000000" w:rsidR="00000000" w:rsidRPr="00000000">
        <w:rPr>
          <w:rtl w:val="0"/>
        </w:rPr>
        <w:t xml:space="preserve">Completing OCR quality sampling.</w:t>
      </w:r>
    </w:p>
    <w:p w:rsidR="00000000" w:rsidDel="00000000" w:rsidP="00000000" w:rsidRDefault="00000000" w:rsidRPr="00000000" w14:paraId="000003DE">
      <w:pPr>
        <w:numPr>
          <w:ilvl w:val="0"/>
          <w:numId w:val="13"/>
        </w:numPr>
        <w:ind w:left="720" w:hanging="360"/>
      </w:pPr>
      <w:r w:rsidDel="00000000" w:rsidR="00000000" w:rsidRPr="00000000">
        <w:rPr>
          <w:rtl w:val="0"/>
        </w:rPr>
        <w:t xml:space="preserve">Expanding human annotation and inter-annotator agreement.</w:t>
      </w:r>
    </w:p>
    <w:p w:rsidR="00000000" w:rsidDel="00000000" w:rsidP="00000000" w:rsidRDefault="00000000" w:rsidRPr="00000000" w14:paraId="000003DF">
      <w:pPr>
        <w:numPr>
          <w:ilvl w:val="0"/>
          <w:numId w:val="13"/>
        </w:numPr>
        <w:ind w:left="720" w:hanging="360"/>
      </w:pPr>
      <w:r w:rsidDel="00000000" w:rsidR="00000000" w:rsidRPr="00000000">
        <w:rPr>
          <w:rtl w:val="0"/>
        </w:rPr>
        <w:t xml:space="preserve">Running repeated LLM benchmarks across more providers.</w:t>
      </w:r>
    </w:p>
    <w:p w:rsidR="00000000" w:rsidDel="00000000" w:rsidP="00000000" w:rsidRDefault="00000000" w:rsidRPr="00000000" w14:paraId="000003E0">
      <w:pPr>
        <w:numPr>
          <w:ilvl w:val="0"/>
          <w:numId w:val="13"/>
        </w:numPr>
        <w:ind w:left="720" w:hanging="360"/>
      </w:pPr>
      <w:r w:rsidDel="00000000" w:rsidR="00000000" w:rsidRPr="00000000">
        <w:rPr>
          <w:rtl w:val="0"/>
        </w:rPr>
        <w:t xml:space="preserve">Strengthening ClimateBERT comparison with real local model outputs.</w:t>
      </w:r>
    </w:p>
    <w:p w:rsidR="00000000" w:rsidDel="00000000" w:rsidP="00000000" w:rsidRDefault="00000000" w:rsidRPr="00000000" w14:paraId="000003E1">
      <w:pPr>
        <w:numPr>
          <w:ilvl w:val="0"/>
          <w:numId w:val="13"/>
        </w:numPr>
        <w:ind w:left="720" w:hanging="360"/>
      </w:pPr>
      <w:r w:rsidDel="00000000" w:rsidR="00000000" w:rsidRPr="00000000">
        <w:rPr>
          <w:rtl w:val="0"/>
        </w:rPr>
        <w:t xml:space="preserve">Extending the ontology with Indonesian ESG vocabulary.</w:t>
      </w:r>
    </w:p>
    <w:p w:rsidR="00000000" w:rsidDel="00000000" w:rsidP="00000000" w:rsidRDefault="00000000" w:rsidRPr="00000000" w14:paraId="000003E2">
      <w:pPr>
        <w:numPr>
          <w:ilvl w:val="0"/>
          <w:numId w:val="13"/>
        </w:numPr>
        <w:ind w:left="720" w:hanging="360"/>
      </w:pPr>
      <w:r w:rsidDel="00000000" w:rsidR="00000000" w:rsidRPr="00000000">
        <w:rPr>
          <w:rtl w:val="0"/>
        </w:rPr>
        <w:t xml:space="preserve">Developing Neo4j and GraphRAG interfaces for evidence-grounded ESG question answering.</w:t>
      </w:r>
    </w:p>
    <w:p w:rsidR="00000000" w:rsidDel="00000000" w:rsidP="00000000" w:rsidRDefault="00000000" w:rsidRPr="00000000" w14:paraId="000003E3">
      <w:pPr>
        <w:numPr>
          <w:ilvl w:val="0"/>
          <w:numId w:val="13"/>
        </w:numPr>
        <w:ind w:left="720" w:hanging="360"/>
      </w:pPr>
      <w:r w:rsidDel="00000000" w:rsidR="00000000" w:rsidRPr="00000000">
        <w:rPr>
          <w:rtl w:val="0"/>
        </w:rPr>
        <w:t xml:space="preserve">Adding temporal and company-level ESG trend analysis.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broader contribution is methodological: the thesis is not only a written argument but also an executable evidence environment.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rPr/>
      </w:pPr>
      <w:bookmarkStart w:colFirst="0" w:colLast="0" w:name="_5ehzkow2z4vo" w:id="46"/>
      <w:bookmarkEnd w:id="46"/>
      <w:r w:rsidDel="00000000" w:rsidR="00000000" w:rsidRPr="00000000">
        <w:rPr>
          <w:rtl w:val="0"/>
        </w:rPr>
        <w:t xml:space="preserve">7. Chapter Integration Pipeline</w:t>
      </w:r>
    </w:p>
    <w:p w:rsidR="00000000" w:rsidDel="00000000" w:rsidP="00000000" w:rsidRDefault="00000000" w:rsidRPr="00000000" w14:paraId="000003E8">
      <w:pPr>
        <w:rPr/>
      </w:pPr>
      <w:r w:rsidDel="00000000" w:rsidR="00000000" w:rsidRPr="00000000">
        <w:rPr>
          <w:rtl w:val="0"/>
        </w:rPr>
        <w:t xml:space="preserve">flowchart TD</w:t>
      </w:r>
    </w:p>
    <w:p w:rsidR="00000000" w:rsidDel="00000000" w:rsidP="00000000" w:rsidRDefault="00000000" w:rsidRPr="00000000" w14:paraId="000003E9">
      <w:pPr>
        <w:widowControl w:val="0"/>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subgraph DATA["Data And Execution"]</w:t>
      </w:r>
    </w:p>
    <w:p w:rsidR="00000000" w:rsidDel="00000000" w:rsidP="00000000" w:rsidRDefault="00000000" w:rsidRPr="00000000" w14:paraId="000003EB">
      <w:pPr>
        <w:widowControl w:val="0"/>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PDF["PDF reports"]</w:t>
      </w:r>
    </w:p>
    <w:p w:rsidR="00000000" w:rsidDel="00000000" w:rsidP="00000000" w:rsidRDefault="00000000" w:rsidRPr="00000000" w14:paraId="000003ED">
      <w:pPr>
        <w:widowControl w:val="0"/>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OCR["OCR page outputs"]</w:t>
      </w:r>
    </w:p>
    <w:p w:rsidR="00000000" w:rsidDel="00000000" w:rsidP="00000000" w:rsidRDefault="00000000" w:rsidRPr="00000000" w14:paraId="000003EF">
      <w:pPr>
        <w:widowControl w:val="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RUNS["LLM runs and background jobs"]</w:t>
      </w:r>
    </w:p>
    <w:p w:rsidR="00000000" w:rsidDel="00000000" w:rsidP="00000000" w:rsidRDefault="00000000" w:rsidRPr="00000000" w14:paraId="000003F1">
      <w:pPr>
        <w:widowControl w:val="0"/>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RECORDS["Structured ESG records"]</w:t>
      </w:r>
    </w:p>
    <w:p w:rsidR="00000000" w:rsidDel="00000000" w:rsidP="00000000" w:rsidRDefault="00000000" w:rsidRPr="00000000" w14:paraId="000003F3">
      <w:pPr>
        <w:widowControl w:val="0"/>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VALID["Validation outputs"]</w:t>
      </w:r>
    </w:p>
    <w:p w:rsidR="00000000" w:rsidDel="00000000" w:rsidP="00000000" w:rsidRDefault="00000000" w:rsidRPr="00000000" w14:paraId="000003F5">
      <w:pPr>
        <w:widowControl w:val="0"/>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ONTO["Ontology and semantic exports"]</w:t>
      </w:r>
    </w:p>
    <w:p w:rsidR="00000000" w:rsidDel="00000000" w:rsidP="00000000" w:rsidRDefault="00000000" w:rsidRPr="00000000" w14:paraId="000003F7">
      <w:pPr>
        <w:widowControl w:val="0"/>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end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subgraph CH4["Chapter 4: Implementation And Results"]</w:t>
      </w:r>
    </w:p>
    <w:p w:rsidR="00000000" w:rsidDel="00000000" w:rsidP="00000000" w:rsidRDefault="00000000" w:rsidRPr="00000000" w14:paraId="000003FB">
      <w:pPr>
        <w:widowControl w:val="0"/>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RQ1C["RQ1 pipeline coverage"]</w:t>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RQ2C["RQ2 tone, ESG, aspect results"]</w:t>
      </w:r>
    </w:p>
    <w:p w:rsidR="00000000" w:rsidDel="00000000" w:rsidP="00000000" w:rsidRDefault="00000000" w:rsidRPr="00000000" w14:paraId="000003FF">
      <w:pPr>
        <w:widowControl w:val="0"/>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RQ3C["RQ3 ClimateBERT comparison"]</w:t>
      </w:r>
    </w:p>
    <w:p w:rsidR="00000000" w:rsidDel="00000000" w:rsidP="00000000" w:rsidRDefault="00000000" w:rsidRPr="00000000" w14:paraId="00000401">
      <w:pPr>
        <w:widowControl w:val="0"/>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RQ6C["RQ6 stability evidence"]</w:t>
      </w:r>
    </w:p>
    <w:p w:rsidR="00000000" w:rsidDel="00000000" w:rsidP="00000000" w:rsidRDefault="00000000" w:rsidRPr="00000000" w14:paraId="00000403">
      <w:pPr>
        <w:widowControl w:val="0"/>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end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subgraph CH5["Chapter 5: Discussion"]</w:t>
      </w:r>
    </w:p>
    <w:p w:rsidR="00000000" w:rsidDel="00000000" w:rsidP="00000000" w:rsidRDefault="00000000" w:rsidRPr="00000000" w14:paraId="00000407">
      <w:pPr>
        <w:widowControl w:val="0"/>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CONSTRUCT["Construct validity&lt;br/&gt;tone is not climate commitment"]</w:t>
      </w:r>
    </w:p>
    <w:p w:rsidR="00000000" w:rsidDel="00000000" w:rsidP="00000000" w:rsidRDefault="00000000" w:rsidRPr="00000000" w14:paraId="00000409">
      <w:pPr>
        <w:widowControl w:val="0"/>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LIMIT["Limitations&lt;br/&gt;OCR, annotation, ontology depth"]</w:t>
      </w:r>
    </w:p>
    <w:p w:rsidR="00000000" w:rsidDel="00000000" w:rsidP="00000000" w:rsidRDefault="00000000" w:rsidRPr="00000000" w14:paraId="0000040B">
      <w:pPr>
        <w:widowControl w:val="0"/>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DIAG["Diagnostics&lt;br/&gt;failure modes and schema drift"]</w:t>
      </w:r>
    </w:p>
    <w:p w:rsidR="00000000" w:rsidDel="00000000" w:rsidP="00000000" w:rsidRDefault="00000000" w:rsidRPr="00000000" w14:paraId="0000040D">
      <w:pPr>
        <w:widowControl w:val="0"/>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GREEN["Greenwashing signals&lt;br/&gt;commitment-outcome asymmetry"]</w:t>
      </w:r>
    </w:p>
    <w:p w:rsidR="00000000" w:rsidDel="00000000" w:rsidP="00000000" w:rsidRDefault="00000000" w:rsidRPr="00000000" w14:paraId="0000040F">
      <w:pPr>
        <w:widowControl w:val="0"/>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end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subgraph CH6["Chapter 6: Conclusion"]</w:t>
      </w:r>
    </w:p>
    <w:p w:rsidR="00000000" w:rsidDel="00000000" w:rsidP="00000000" w:rsidRDefault="00000000" w:rsidRPr="00000000" w14:paraId="00000413">
      <w:pPr>
        <w:widowControl w:val="0"/>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ANSWERS["RQ answers"]</w:t>
      </w:r>
    </w:p>
    <w:p w:rsidR="00000000" w:rsidDel="00000000" w:rsidP="00000000" w:rsidRDefault="00000000" w:rsidRPr="00000000" w14:paraId="00000415">
      <w:pPr>
        <w:widowControl w:val="0"/>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CONTRIB["Contributions"]</w:t>
      </w:r>
    </w:p>
    <w:p w:rsidR="00000000" w:rsidDel="00000000" w:rsidP="00000000" w:rsidRDefault="00000000" w:rsidRPr="00000000" w14:paraId="00000417">
      <w:pPr>
        <w:widowControl w:val="0"/>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FUTURE["Future work&lt;br/&gt;human agreement, temporal corpus, GraphRAG"]</w:t>
      </w:r>
    </w:p>
    <w:p w:rsidR="00000000" w:rsidDel="00000000" w:rsidP="00000000" w:rsidRDefault="00000000" w:rsidRPr="00000000" w14:paraId="00000419">
      <w:pPr>
        <w:widowControl w:val="0"/>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end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PDF --&gt; OCR</w:t>
      </w:r>
    </w:p>
    <w:p w:rsidR="00000000" w:rsidDel="00000000" w:rsidP="00000000" w:rsidRDefault="00000000" w:rsidRPr="00000000" w14:paraId="0000041D">
      <w:pPr>
        <w:widowControl w:val="0"/>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OCR --&gt; RUNS</w:t>
      </w:r>
    </w:p>
    <w:p w:rsidR="00000000" w:rsidDel="00000000" w:rsidP="00000000" w:rsidRDefault="00000000" w:rsidRPr="00000000" w14:paraId="0000041F">
      <w:pPr>
        <w:widowControl w:val="0"/>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RUNS --&gt; RECORDS</w:t>
      </w:r>
    </w:p>
    <w:p w:rsidR="00000000" w:rsidDel="00000000" w:rsidP="00000000" w:rsidRDefault="00000000" w:rsidRPr="00000000" w14:paraId="00000421">
      <w:pPr>
        <w:widowControl w:val="0"/>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RECORDS --&gt; VALID</w:t>
      </w:r>
    </w:p>
    <w:p w:rsidR="00000000" w:rsidDel="00000000" w:rsidP="00000000" w:rsidRDefault="00000000" w:rsidRPr="00000000" w14:paraId="00000423">
      <w:pPr>
        <w:widowControl w:val="0"/>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RECORDS --&gt; ONTO</w:t>
      </w:r>
    </w:p>
    <w:p w:rsidR="00000000" w:rsidDel="00000000" w:rsidP="00000000" w:rsidRDefault="00000000" w:rsidRPr="00000000" w14:paraId="00000425">
      <w:pPr>
        <w:widowControl w:val="0"/>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RECORDS --&gt; RQ1C</w:t>
      </w:r>
    </w:p>
    <w:p w:rsidR="00000000" w:rsidDel="00000000" w:rsidP="00000000" w:rsidRDefault="00000000" w:rsidRPr="00000000" w14:paraId="00000427">
      <w:pPr>
        <w:widowControl w:val="0"/>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RECORDS --&gt; RQ2C</w:t>
      </w:r>
    </w:p>
    <w:p w:rsidR="00000000" w:rsidDel="00000000" w:rsidP="00000000" w:rsidRDefault="00000000" w:rsidRPr="00000000" w14:paraId="00000429">
      <w:pPr>
        <w:widowControl w:val="0"/>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VALID --&gt; RQ3C</w:t>
      </w:r>
    </w:p>
    <w:p w:rsidR="00000000" w:rsidDel="00000000" w:rsidP="00000000" w:rsidRDefault="00000000" w:rsidRPr="00000000" w14:paraId="0000042B">
      <w:pPr>
        <w:widowControl w:val="0"/>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RUNS --&gt; RQ6C</w:t>
      </w:r>
    </w:p>
    <w:p w:rsidR="00000000" w:rsidDel="00000000" w:rsidP="00000000" w:rsidRDefault="00000000" w:rsidRPr="00000000" w14:paraId="0000042D">
      <w:pPr>
        <w:widowControl w:val="0"/>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RQ2C --&gt; CONSTRUCT</w:t>
      </w:r>
    </w:p>
    <w:p w:rsidR="00000000" w:rsidDel="00000000" w:rsidP="00000000" w:rsidRDefault="00000000" w:rsidRPr="00000000" w14:paraId="0000042F">
      <w:pPr>
        <w:widowControl w:val="0"/>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RQ3C --&gt; CONSTRUCT</w:t>
      </w:r>
    </w:p>
    <w:p w:rsidR="00000000" w:rsidDel="00000000" w:rsidP="00000000" w:rsidRDefault="00000000" w:rsidRPr="00000000" w14:paraId="00000431">
      <w:pPr>
        <w:widowControl w:val="0"/>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VALID --&gt; LIMIT</w:t>
      </w:r>
    </w:p>
    <w:p w:rsidR="00000000" w:rsidDel="00000000" w:rsidP="00000000" w:rsidRDefault="00000000" w:rsidRPr="00000000" w14:paraId="00000433">
      <w:pPr>
        <w:widowControl w:val="0"/>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ONTO --&gt; LIMIT</w:t>
      </w:r>
    </w:p>
    <w:p w:rsidR="00000000" w:rsidDel="00000000" w:rsidP="00000000" w:rsidRDefault="00000000" w:rsidRPr="00000000" w14:paraId="00000435">
      <w:pPr>
        <w:widowControl w:val="0"/>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VALID --&gt; DIAG</w:t>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ONTO --&gt; GREEN</w:t>
      </w:r>
    </w:p>
    <w:p w:rsidR="00000000" w:rsidDel="00000000" w:rsidP="00000000" w:rsidRDefault="00000000" w:rsidRPr="00000000" w14:paraId="00000439">
      <w:pPr>
        <w:widowControl w:val="0"/>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CONSTRUCT --&gt; ANSWERS</w:t>
      </w:r>
    </w:p>
    <w:p w:rsidR="00000000" w:rsidDel="00000000" w:rsidP="00000000" w:rsidRDefault="00000000" w:rsidRPr="00000000" w14:paraId="0000043B">
      <w:pPr>
        <w:widowControl w:val="0"/>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LIMIT --&gt; FUTURE</w:t>
      </w:r>
    </w:p>
    <w:p w:rsidR="00000000" w:rsidDel="00000000" w:rsidP="00000000" w:rsidRDefault="00000000" w:rsidRPr="00000000" w14:paraId="0000043D">
      <w:pPr>
        <w:widowControl w:val="0"/>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DIAG --&gt; CONTRIB</w:t>
      </w:r>
    </w:p>
    <w:p w:rsidR="00000000" w:rsidDel="00000000" w:rsidP="00000000" w:rsidRDefault="00000000" w:rsidRPr="00000000" w14:paraId="0000043F">
      <w:pPr>
        <w:widowControl w:val="0"/>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GREEN --&gt; CONTRIB</w:t>
      </w:r>
    </w:p>
    <w:p w:rsidR="00000000" w:rsidDel="00000000" w:rsidP="00000000" w:rsidRDefault="00000000" w:rsidRPr="00000000" w14:paraId="00000441">
      <w:pPr>
        <w:pStyle w:val="Heading3"/>
        <w:rPr/>
      </w:pPr>
      <w:bookmarkStart w:colFirst="0" w:colLast="0" w:name="_upsfvw7yybdf" w:id="47"/>
      <w:bookmarkEnd w:id="47"/>
      <w:r w:rsidDel="00000000" w:rsidR="00000000" w:rsidRPr="00000000">
        <w:rPr>
          <w:rtl w:val="0"/>
        </w:rPr>
        <w:t xml:space="preserve">Rationale</w:t>
      </w:r>
    </w:p>
    <w:p w:rsidR="00000000" w:rsidDel="00000000" w:rsidP="00000000" w:rsidRDefault="00000000" w:rsidRPr="00000000" w14:paraId="00000442">
      <w:pPr>
        <w:rPr/>
      </w:pPr>
      <w:r w:rsidDel="00000000" w:rsidR="00000000" w:rsidRPr="00000000">
        <w:rPr>
          <w:rtl w:val="0"/>
        </w:rPr>
        <w:t xml:space="preserve">The Ch4-6 notes show that the thesis chapters should not be isolated prose. Chapter 4 reports what the system produced. Chapter 5 explains what those results mean, especially where they diverge from expectations. Chapter 6 turns the evidence and limitations into contributions and future work.</w:t>
      </w:r>
    </w:p>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This integration is especially important for the ontology findings. A shallow mapping rate is not only a weakness; it becomes evidence for the need to extend Indonesian ESG vocabulary.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rPr/>
      </w:pPr>
      <w:bookmarkStart w:colFirst="0" w:colLast="0" w:name="_mt9k7gembni5" w:id="48"/>
      <w:bookmarkEnd w:id="48"/>
      <w:r w:rsidDel="00000000" w:rsidR="00000000" w:rsidRPr="00000000">
        <w:rPr>
          <w:rtl w:val="0"/>
        </w:rPr>
        <w:t xml:space="preserve">7. References</w:t>
      </w:r>
    </w:p>
    <w:p w:rsidR="00000000" w:rsidDel="00000000" w:rsidP="00000000" w:rsidRDefault="00000000" w:rsidRPr="00000000" w14:paraId="00000449">
      <w:pPr>
        <w:rPr/>
      </w:pPr>
      <w:r w:rsidDel="00000000" w:rsidR="00000000" w:rsidRPr="00000000">
        <w:rPr>
          <w:rtl w:val="0"/>
        </w:rPr>
        <w:t xml:space="preserve">McHugh, M. L. (2012). Interrater reliability: The kappa statistic. </w:t>
      </w:r>
      <w:r w:rsidDel="00000000" w:rsidR="00000000" w:rsidRPr="00000000">
        <w:rPr>
          <w:i w:val="1"/>
          <w:iCs w:val="1"/>
          <w:rtl w:val="0"/>
        </w:rPr>
        <w:t xml:space="preserve">Biochemia Medica</w:t>
      </w:r>
      <w:r w:rsidDel="00000000" w:rsidR="00000000" w:rsidRPr="00000000">
        <w:rPr>
          <w:rtl w:val="0"/>
        </w:rPr>
        <w:t xml:space="preserve">, 22(3), 276-282. </w:t>
      </w:r>
      <w:hyperlink r:id="rId6">
        <w:r w:rsidDel="00000000" w:rsidR="00000000" w:rsidRPr="00000000">
          <w:rPr>
            <w:color w:val="1155cc"/>
            <w:u w:val="single"/>
            <w:rtl w:val="0"/>
          </w:rPr>
          <w:t xml:space="preserve">https://pmc.ncbi.nlm.nih.gov/articles/PMC3900052/</w:t>
        </w:r>
      </w:hyperlink>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Webersinke, N., Kraus, M., Bingler, J. A., &amp; Leippold, M. (2021). ClimateBERT: A pretrained language model for climate-related text. </w:t>
      </w:r>
      <w:r w:rsidDel="00000000" w:rsidR="00000000" w:rsidRPr="00000000">
        <w:rPr>
          <w:i w:val="1"/>
          <w:iCs w:val="1"/>
          <w:rtl w:val="0"/>
        </w:rPr>
        <w:t xml:space="preserve">arXiv</w:t>
      </w:r>
      <w:r w:rsidDel="00000000" w:rsidR="00000000" w:rsidRPr="00000000">
        <w:rPr>
          <w:rtl w:val="0"/>
        </w:rPr>
        <w:t xml:space="preserve">. </w:t>
      </w:r>
      <w:hyperlink r:id="rId7">
        <w:r w:rsidDel="00000000" w:rsidR="00000000" w:rsidRPr="00000000">
          <w:rPr>
            <w:color w:val="1155cc"/>
            <w:u w:val="single"/>
            <w:rtl w:val="0"/>
          </w:rPr>
          <w:t xml:space="preserve">https://arxiv.org/abs/2110.12010</w:t>
        </w:r>
      </w:hyperlink>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Zhang, W., Li, X., Deng, Y., Bing, L., &amp; Lam, W. (2022). A survey on aspect-based sentiment analysis: Tasks, methods, and challenges. </w:t>
      </w:r>
      <w:r w:rsidDel="00000000" w:rsidR="00000000" w:rsidRPr="00000000">
        <w:rPr>
          <w:i w:val="1"/>
          <w:iCs w:val="1"/>
          <w:rtl w:val="0"/>
        </w:rPr>
        <w:t xml:space="preserve">arXiv</w:t>
      </w:r>
      <w:r w:rsidDel="00000000" w:rsidR="00000000" w:rsidRPr="00000000">
        <w:rPr>
          <w:rtl w:val="0"/>
        </w:rPr>
        <w:t xml:space="preserve">. </w:t>
      </w:r>
      <w:hyperlink r:id="rId8">
        <w:r w:rsidDel="00000000" w:rsidR="00000000" w:rsidRPr="00000000">
          <w:rPr>
            <w:color w:val="1155cc"/>
            <w:u w:val="single"/>
            <w:rtl w:val="0"/>
          </w:rPr>
          <w:t xml:space="preserve">https://arxiv.org/abs/2203.01054</w:t>
        </w:r>
      </w:hyperlink>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Islam, M. M. (2025). </w:t>
      </w:r>
      <w:r w:rsidDel="00000000" w:rsidR="00000000" w:rsidRPr="00000000">
        <w:rPr>
          <w:i w:val="1"/>
          <w:iCs w:val="1"/>
          <w:rtl w:val="0"/>
        </w:rPr>
        <w:t xml:space="preserve">Towards Behaviour-Aware Multimodal Video Summarization: Integrating Visual, Audio, and Textual Cues for Human-Centric Content Analysis</w:t>
      </w:r>
      <w:r w:rsidDel="00000000" w:rsidR="00000000" w:rsidRPr="00000000">
        <w:rPr>
          <w:rtl w:val="0"/>
        </w:rPr>
        <w:t xml:space="preserve"> [Master's thesis, University of Oulu]. Local reference file: </w:t>
      </w:r>
      <w:r w:rsidDel="00000000" w:rsidR="00000000" w:rsidRPr="00000000">
        <w:rPr>
          <w:rFonts w:ascii="Roboto Mono" w:cs="Roboto Mono" w:eastAsia="Roboto Mono" w:hAnsi="Roboto Mono"/>
          <w:color w:val="188038"/>
          <w:rtl w:val="0"/>
        </w:rPr>
        <w:t xml:space="preserve">research_references/nbnfioulu-202506124422.pdf</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rPr/>
      </w:pPr>
      <w:bookmarkStart w:colFirst="0" w:colLast="0" w:name="_p46bi9191fwh" w:id="49"/>
      <w:bookmarkEnd w:id="49"/>
      <w:r w:rsidDel="00000000" w:rsidR="00000000" w:rsidRPr="00000000">
        <w:rPr>
          <w:rtl w:val="0"/>
        </w:rPr>
        <w:t xml:space="preserve">8. Appendix: Executable Artifacts And Streamlit Pages</w:t>
      </w:r>
    </w:p>
    <w:p w:rsidR="00000000" w:rsidDel="00000000" w:rsidP="00000000" w:rsidRDefault="00000000" w:rsidRPr="00000000" w14:paraId="00000453">
      <w:pPr>
        <w:pStyle w:val="Heading2"/>
        <w:rPr/>
      </w:pPr>
      <w:bookmarkStart w:colFirst="0" w:colLast="0" w:name="_ykyg9gh9zjdl" w:id="50"/>
      <w:bookmarkEnd w:id="50"/>
      <w:r w:rsidDel="00000000" w:rsidR="00000000" w:rsidRPr="00000000">
        <w:rPr>
          <w:rtl w:val="0"/>
        </w:rPr>
        <w:t xml:space="preserve">A. Core Streamlit Pages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b w:val="1"/>
                <w:bCs w:val="1"/>
              </w:rPr>
            </w:pPr>
            <w:r w:rsidDel="00000000" w:rsidR="00000000" w:rsidRPr="00000000">
              <w:rPr>
                <w:b w:val="1"/>
                <w:bCs w:val="1"/>
                <w:rtl w:val="0"/>
              </w:rPr>
              <w:t xml:space="preserve">Thesis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Fonts w:ascii="Roboto Mono" w:cs="Roboto Mono" w:eastAsia="Roboto Mono" w:hAnsi="Roboto Mono"/>
                <w:color w:val="188038"/>
                <w:rtl w:val="0"/>
              </w:rPr>
              <w:t xml:space="preserve">pages/3_0_Thesis_Action_Plan.py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Live task execution, status counters, migration, annotation, prompt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Roboto Mono" w:cs="Roboto Mono" w:eastAsia="Roboto Mono" w:hAnsi="Roboto Mono"/>
                <w:color w:val="188038"/>
                <w:rtl w:val="0"/>
              </w:rPr>
              <w:t xml:space="preserve">pages/6_4_ch4-6.py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Graph attachments, backing tables, chapter mapping, benchmark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Fonts w:ascii="Roboto Mono" w:cs="Roboto Mono" w:eastAsia="Roboto Mono" w:hAnsi="Roboto Mono"/>
                <w:color w:val="188038"/>
                <w:rtl w:val="0"/>
              </w:rPr>
              <w:t xml:space="preserve">pages/6_0_Thesis_Draft_Chapter_Integration_Mermaid.py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Thesis spine, RQ evidence, validation loop, artifact lineage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Fonts w:ascii="Roboto Mono" w:cs="Roboto Mono" w:eastAsia="Roboto Mono" w:hAnsi="Roboto Mono"/>
                <w:color w:val="188038"/>
                <w:rtl w:val="0"/>
              </w:rPr>
              <w:t xml:space="preserve">pages/6_1_Chapter_4_Implementation_Results.py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Live Chapter 4 implementation and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Fonts w:ascii="Roboto Mono" w:cs="Roboto Mono" w:eastAsia="Roboto Mono" w:hAnsi="Roboto Mono"/>
                <w:color w:val="188038"/>
                <w:rtl w:val="0"/>
              </w:rPr>
              <w:t xml:space="preserve">pages/6_2_Chapter_5_Discussion.py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Live Chapter 5 interpretation and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Fonts w:ascii="Roboto Mono" w:cs="Roboto Mono" w:eastAsia="Roboto Mono" w:hAnsi="Roboto Mono"/>
                <w:color w:val="188038"/>
                <w:rtl w:val="0"/>
              </w:rPr>
              <w:t xml:space="preserve">pages/6_3_Chapter_6_Conclusion.py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Live Chapter 6 conclusions and future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Fonts w:ascii="Roboto Mono" w:cs="Roboto Mono" w:eastAsia="Roboto Mono" w:hAnsi="Roboto Mono"/>
                <w:color w:val="188038"/>
                <w:rtl w:val="0"/>
              </w:rPr>
              <w:t xml:space="preserve">pages/1_13_Semantic_Graph_Exporter.py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RDF, OWL, Neo4j export</w:t>
            </w:r>
          </w:p>
        </w:tc>
      </w:tr>
    </w:tbl>
    <w:p w:rsidR="00000000" w:rsidDel="00000000" w:rsidP="00000000" w:rsidRDefault="00000000" w:rsidRPr="00000000" w14:paraId="00000464">
      <w:pPr>
        <w:pStyle w:val="Heading2"/>
        <w:rPr/>
      </w:pPr>
      <w:bookmarkStart w:colFirst="0" w:colLast="0" w:name="_caae99kc7w2g" w:id="51"/>
      <w:bookmarkEnd w:id="51"/>
      <w:r w:rsidDel="00000000" w:rsidR="00000000" w:rsidRPr="00000000">
        <w:rPr>
          <w:rtl w:val="0"/>
        </w:rPr>
        <w:t xml:space="preserve">B. Core Result Tables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b w:val="1"/>
                <w:bCs w:val="1"/>
              </w:rPr>
            </w:pPr>
            <w:r w:rsidDel="00000000" w:rsidR="00000000" w:rsidRPr="00000000">
              <w:rPr>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Fonts w:ascii="Roboto Mono" w:cs="Roboto Mono" w:eastAsia="Roboto Mono" w:hAnsi="Roboto Mono"/>
                <w:color w:val="188038"/>
                <w:rtl w:val="0"/>
              </w:rPr>
              <w:t xml:space="preserve">results/thesis_workflow_dashboard/tone_records_flat.csv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Main structured ESG ABSA record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Fonts w:ascii="Roboto Mono" w:cs="Roboto Mono" w:eastAsia="Roboto Mono" w:hAnsi="Roboto Mono"/>
                <w:color w:val="188038"/>
                <w:rtl w:val="0"/>
              </w:rPr>
              <w:t xml:space="preserve">results/thesis_workflow_dashboard/tone_esg_crosstab.csv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ESG pillar by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Fonts w:ascii="Roboto Mono" w:cs="Roboto Mono" w:eastAsia="Roboto Mono" w:hAnsi="Roboto Mono"/>
                <w:color w:val="188038"/>
                <w:rtl w:val="0"/>
              </w:rPr>
              <w:t xml:space="preserve">results/thesis_workflow_dashboard/tone_climatebert_label_crosstab.csv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Tone by ClimateBERT-style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Fonts w:ascii="Roboto Mono" w:cs="Roboto Mono" w:eastAsia="Roboto Mono" w:hAnsi="Roboto Mono"/>
                <w:color w:val="188038"/>
                <w:rtl w:val="0"/>
              </w:rPr>
              <w:t xml:space="preserve">results/thesis_workflow_dashboard/model_stability_summary.csv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Model-level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Roboto Mono" w:cs="Roboto Mono" w:eastAsia="Roboto Mono" w:hAnsi="Roboto Mono"/>
                <w:color w:val="188038"/>
                <w:rtl w:val="0"/>
              </w:rPr>
              <w:t xml:space="preserve">results/thesis_workflow_dashboard/prompt_stability_summary.csv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Prompt-level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Fonts w:ascii="Roboto Mono" w:cs="Roboto Mono" w:eastAsia="Roboto Mono" w:hAnsi="Roboto Mono"/>
                <w:color w:val="188038"/>
                <w:rtl w:val="0"/>
              </w:rPr>
              <w:t xml:space="preserve">results/thesis_workflow_dashboard/ontology_coverage.csv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Mapped and unmapped aspects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Fonts w:ascii="Roboto Mono" w:cs="Roboto Mono" w:eastAsia="Roboto Mono" w:hAnsi="Roboto Mono"/>
                <w:color w:val="188038"/>
                <w:rtl w:val="0"/>
              </w:rPr>
              <w:t xml:space="preserve">results/revision_analysis/silver_tone_ground_truth.csv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Silver-label ground truth scaffold</w:t>
            </w:r>
          </w:p>
        </w:tc>
      </w:tr>
    </w:tbl>
    <w:p w:rsidR="00000000" w:rsidDel="00000000" w:rsidP="00000000" w:rsidRDefault="00000000" w:rsidRPr="00000000" w14:paraId="00000475">
      <w:pPr>
        <w:pStyle w:val="Heading2"/>
        <w:rPr/>
      </w:pPr>
      <w:bookmarkStart w:colFirst="0" w:colLast="0" w:name="_vqcw7t657e9k" w:id="52"/>
      <w:bookmarkEnd w:id="52"/>
      <w:r w:rsidDel="00000000" w:rsidR="00000000" w:rsidRPr="00000000">
        <w:rPr>
          <w:rtl w:val="0"/>
        </w:rPr>
        <w:t xml:space="preserve">C. Core Graph Attachments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b w:val="1"/>
                <w:bCs w:val="1"/>
              </w:rPr>
            </w:pPr>
            <w:r w:rsidDel="00000000" w:rsidR="00000000" w:rsidRPr="00000000">
              <w:rPr>
                <w:b w:val="1"/>
                <w:bCs w:val="1"/>
                <w:rtl w:val="0"/>
              </w:rPr>
              <w:t xml:space="preserve">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Fonts w:ascii="Roboto Mono" w:cs="Roboto Mono" w:eastAsia="Roboto Mono" w:hAnsi="Roboto Mono"/>
                <w:color w:val="188038"/>
                <w:rtl w:val="0"/>
              </w:rPr>
              <w:t xml:space="preserve">results/docx_graph_attachments/docx_full_tone_distribution.png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Chapter 4 RQ2 tone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Roboto Mono" w:cs="Roboto Mono" w:eastAsia="Roboto Mono" w:hAnsi="Roboto Mono"/>
                <w:color w:val="188038"/>
                <w:rtl w:val="0"/>
              </w:rPr>
              <w:t xml:space="preserve">results/docx_graph_attachments/docx_full_esg_by_tone.png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Chapter 4 RQ2 ESG by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Fonts w:ascii="Roboto Mono" w:cs="Roboto Mono" w:eastAsia="Roboto Mono" w:hAnsi="Roboto Mono"/>
                <w:color w:val="188038"/>
                <w:rtl w:val="0"/>
              </w:rPr>
              <w:t xml:space="preserve">results/docx_graph_attachments/docx_full_aspect_by_tone_heatmap.png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Chapter 4 RQ2 aspect by 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Fonts w:ascii="Roboto Mono" w:cs="Roboto Mono" w:eastAsia="Roboto Mono" w:hAnsi="Roboto Mono"/>
                <w:color w:val="188038"/>
                <w:rtl w:val="0"/>
              </w:rPr>
              <w:t xml:space="preserve">results/docx_graph_attachments/docx_climatebert_baseline.png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Chapter 4/5 RQ3 ClimateBERT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Roboto Mono" w:cs="Roboto Mono" w:eastAsia="Roboto Mono" w:hAnsi="Roboto Mono"/>
                <w:color w:val="188038"/>
                <w:rtl w:val="0"/>
              </w:rPr>
              <w:t xml:space="preserve">results/docx_graph_attachments/docx_model_parse_success.png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Chapter 6 RQ6 model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Fonts w:ascii="Roboto Mono" w:cs="Roboto Mono" w:eastAsia="Roboto Mono" w:hAnsi="Roboto Mono"/>
                <w:color w:val="188038"/>
                <w:rtl w:val="0"/>
              </w:rPr>
              <w:t xml:space="preserve">results/docx_graph_attachments/docx_ontology_mapped_vs_unmapped.png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Chapter 5/6 ontology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Fonts w:ascii="Roboto Mono" w:cs="Roboto Mono" w:eastAsia="Roboto Mono" w:hAnsi="Roboto Mono"/>
                <w:color w:val="188038"/>
                <w:rtl w:val="0"/>
              </w:rPr>
              <w:t xml:space="preserve">results/docx_graph_attachments/aspect_cooccurrence_edges.png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Aspect relationship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Fonts w:ascii="Roboto Mono" w:cs="Roboto Mono" w:eastAsia="Roboto Mono" w:hAnsi="Roboto Mono"/>
                <w:color w:val="188038"/>
                <w:rtl w:val="0"/>
              </w:rPr>
              <w:t xml:space="preserve">results/docx_graph_attachments/aspect_network_centrality.png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Aspect centrality analysis</w:t>
            </w:r>
          </w:p>
        </w:tc>
      </w:tr>
    </w:tbl>
    <w:p w:rsidR="00000000" w:rsidDel="00000000" w:rsidP="00000000" w:rsidRDefault="00000000" w:rsidRPr="00000000" w14:paraId="00000488">
      <w:pPr>
        <w:pStyle w:val="Heading2"/>
        <w:rPr/>
      </w:pPr>
      <w:bookmarkStart w:colFirst="0" w:colLast="0" w:name="_f1xm90ioian8" w:id="53"/>
      <w:bookmarkEnd w:id="53"/>
      <w:r w:rsidDel="00000000" w:rsidR="00000000" w:rsidRPr="00000000">
        <w:rPr>
          <w:rtl w:val="0"/>
        </w:rPr>
        <w:t xml:space="preserve">D. Recommended Figure/Table Format</w:t>
      </w:r>
    </w:p>
    <w:p w:rsidR="00000000" w:rsidDel="00000000" w:rsidP="00000000" w:rsidRDefault="00000000" w:rsidRPr="00000000" w14:paraId="00000489">
      <w:pPr>
        <w:rPr/>
      </w:pPr>
      <w:r w:rsidDel="00000000" w:rsidR="00000000" w:rsidRPr="00000000">
        <w:rPr>
          <w:rtl w:val="0"/>
        </w:rPr>
        <w:t xml:space="preserve">Every graph section should include: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numPr>
          <w:ilvl w:val="0"/>
          <w:numId w:val="15"/>
        </w:numPr>
        <w:ind w:left="720" w:hanging="360"/>
      </w:pPr>
      <w:r w:rsidDel="00000000" w:rsidR="00000000" w:rsidRPr="00000000">
        <w:rPr>
          <w:rtl w:val="0"/>
        </w:rPr>
        <w:t xml:space="preserve">Chapter and RQ label.</w:t>
      </w:r>
    </w:p>
    <w:p w:rsidR="00000000" w:rsidDel="00000000" w:rsidP="00000000" w:rsidRDefault="00000000" w:rsidRPr="00000000" w14:paraId="0000048C">
      <w:pPr>
        <w:numPr>
          <w:ilvl w:val="0"/>
          <w:numId w:val="15"/>
        </w:numPr>
        <w:ind w:left="720" w:hanging="360"/>
      </w:pPr>
      <w:r w:rsidDel="00000000" w:rsidR="00000000" w:rsidRPr="00000000">
        <w:rPr>
          <w:rtl w:val="0"/>
        </w:rPr>
        <w:t xml:space="preserve">Graph path.</w:t>
      </w:r>
    </w:p>
    <w:p w:rsidR="00000000" w:rsidDel="00000000" w:rsidP="00000000" w:rsidRDefault="00000000" w:rsidRPr="00000000" w14:paraId="0000048D">
      <w:pPr>
        <w:numPr>
          <w:ilvl w:val="0"/>
          <w:numId w:val="15"/>
        </w:numPr>
        <w:ind w:left="720" w:hanging="360"/>
      </w:pPr>
      <w:r w:rsidDel="00000000" w:rsidR="00000000" w:rsidRPr="00000000">
        <w:rPr>
          <w:rtl w:val="0"/>
        </w:rPr>
        <w:t xml:space="preserve">Original table path.</w:t>
      </w:r>
    </w:p>
    <w:p w:rsidR="00000000" w:rsidDel="00000000" w:rsidP="00000000" w:rsidRDefault="00000000" w:rsidRPr="00000000" w14:paraId="0000048E">
      <w:pPr>
        <w:numPr>
          <w:ilvl w:val="0"/>
          <w:numId w:val="15"/>
        </w:numPr>
        <w:ind w:left="720" w:hanging="360"/>
      </w:pPr>
      <w:r w:rsidDel="00000000" w:rsidR="00000000" w:rsidRPr="00000000">
        <w:rPr>
          <w:rtl w:val="0"/>
        </w:rPr>
        <w:t xml:space="preserve">Redirect/open page button.</w:t>
      </w:r>
    </w:p>
    <w:p w:rsidR="00000000" w:rsidDel="00000000" w:rsidP="00000000" w:rsidRDefault="00000000" w:rsidRPr="00000000" w14:paraId="0000048F">
      <w:pPr>
        <w:numPr>
          <w:ilvl w:val="0"/>
          <w:numId w:val="15"/>
        </w:numPr>
        <w:ind w:left="720" w:hanging="360"/>
      </w:pPr>
      <w:r w:rsidDel="00000000" w:rsidR="00000000" w:rsidRPr="00000000">
        <w:rPr>
          <w:rtl w:val="0"/>
        </w:rPr>
        <w:t xml:space="preserve">Original graph attachment.</w:t>
      </w:r>
    </w:p>
    <w:p w:rsidR="00000000" w:rsidDel="00000000" w:rsidP="00000000" w:rsidRDefault="00000000" w:rsidRPr="00000000" w14:paraId="00000490">
      <w:pPr>
        <w:numPr>
          <w:ilvl w:val="0"/>
          <w:numId w:val="15"/>
        </w:numPr>
        <w:ind w:left="720" w:hanging="360"/>
      </w:pPr>
      <w:r w:rsidDel="00000000" w:rsidR="00000000" w:rsidRPr="00000000">
        <w:rPr>
          <w:rtl w:val="0"/>
        </w:rPr>
        <w:t xml:space="preserve">Original/backing table.</w:t>
      </w:r>
    </w:p>
    <w:p w:rsidR="00000000" w:rsidDel="00000000" w:rsidP="00000000" w:rsidRDefault="00000000" w:rsidRPr="00000000" w14:paraId="00000491">
      <w:pPr>
        <w:numPr>
          <w:ilvl w:val="0"/>
          <w:numId w:val="15"/>
        </w:numPr>
        <w:ind w:left="720" w:hanging="360"/>
      </w:pPr>
      <w:r w:rsidDel="00000000" w:rsidR="00000000" w:rsidRPr="00000000">
        <w:rPr>
          <w:rtl w:val="0"/>
        </w:rPr>
        <w:t xml:space="preserve">Interpretation box.</w:t>
      </w:r>
    </w:p>
    <w:p w:rsidR="00000000" w:rsidDel="00000000" w:rsidP="00000000" w:rsidRDefault="00000000" w:rsidRPr="00000000" w14:paraId="00000492">
      <w:pPr>
        <w:numPr>
          <w:ilvl w:val="0"/>
          <w:numId w:val="15"/>
        </w:numPr>
        <w:ind w:left="720" w:hanging="360"/>
      </w:pPr>
      <w:r w:rsidDel="00000000" w:rsidR="00000000" w:rsidRPr="00000000">
        <w:rPr>
          <w:rtl w:val="0"/>
        </w:rPr>
        <w:t xml:space="preserve">Limitation or next-action box.</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This format keeps the paper, dashboard, graph, and data table connected.</w:t>
      </w:r>
    </w:p>
    <w:p w:rsidR="00000000" w:rsidDel="00000000" w:rsidP="00000000" w:rsidRDefault="00000000" w:rsidRPr="00000000" w14:paraId="000004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mc.ncbi.nlm.nih.gov/articles/PMC3900052/" TargetMode="External"/><Relationship Id="rId7" Type="http://schemas.openxmlformats.org/officeDocument/2006/relationships/hyperlink" Target="https://arxiv.org/abs/2110.12010" TargetMode="External"/><Relationship Id="rId8" Type="http://schemas.openxmlformats.org/officeDocument/2006/relationships/hyperlink" Target="https://arxiv.org/abs/2203.010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