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i w:val="false"/>
          <w:iCs w:val="false"/>
          <w:color w:val="000000"/>
        </w:rPr>
        <w:t xml:space="preserve">Thesis Structure Table</w:t>
      </w:r>
    </w:p>
    <w:p>
      <w:r>
        <w:rPr>
          <w:b/>
          <w:bCs/>
        </w:rPr>
        <w:t xml:space="preserve">Table of Contents</w:t>
      </w:r>
    </w:p>
    <w:sdt>
      <w:sdtPr>
        <w:alias w:val="Table of Contents"/>
      </w:sdtPr>
      <w:sdtContent>
        <w:p>
          <w:r>
            <w:fldChar w:fldCharType="begin" w:dirty="true"/>
            <w:instrText xml:space="preserve">TOC \h \o "1-4" \t "Title,1"</w:instrText>
            <w:fldChar w:fldCharType="separate"/>
          </w:r>
        </w:p>
        <w:p>
          <w:r>
            <w:fldChar w:fldCharType="end"/>
          </w:r>
        </w:p>
      </w:sdtContent>
    </w:sdt>
    <w:p/>
    <w:p>
      <w:pPr>
        <w:pStyle w:val="Heading3"/>
      </w:pPr>
      <w:r>
        <w:rPr>
          <w:b w:val="false"/>
          <w:bCs w:val="false"/>
          <w:i w:val="false"/>
          <w:iCs w:val="false"/>
          <w:color w:val="000000"/>
        </w:rPr>
        <w:t xml:space="preserve">Table 1: Chapter 3 – Methodology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4E7"/>
          </w:tcPr>
          <w:p>
            <w:r>
              <w:rPr>
                <w:b w:val="false"/>
                <w:bCs w:val="false"/>
                <w:i w:val="false"/>
                <w:iCs w:val="false"/>
                <w:color w:val="000000"/>
              </w:rPr>
              <w:t xml:space="preserve">Reference Section</w:t>
            </w:r>
          </w:p>
        </w:tc>
        <w:tc>
          <w:tcPr>
            <w:shd w:fill="E4E4E7"/>
          </w:tcPr>
          <w:p>
            <w:r>
              <w:rPr>
                <w:b w:val="false"/>
                <w:bCs w:val="false"/>
                <w:i w:val="false"/>
                <w:iCs w:val="false"/>
                <w:color w:val="000000"/>
              </w:rPr>
              <w:t xml:space="preserve">Your Research Equivalent</w:t>
            </w:r>
          </w:p>
        </w:tc>
        <w:tc>
          <w:tcPr>
            <w:shd w:fill="E4E4E7"/>
          </w:tcPr>
          <w:p>
            <w:r>
              <w:rPr>
                <w:b w:val="false"/>
                <w:bCs w:val="false"/>
                <w:i w:val="false"/>
                <w:iCs w:val="false"/>
                <w:color w:val="000000"/>
              </w:rPr>
              <w:t xml:space="preserve">Strategy for Expansion</w:t>
            </w:r>
          </w:p>
        </w:tc>
      </w:tr>
      <w:tr>
        <w:tc>
          <w:p>
            <w:r>
              <w:rPr>
                <w:b/>
                <w:bCs/>
                <w:i w:val="false"/>
                <w:iCs w:val="false"/>
                <w:color w:val="000000"/>
              </w:rPr>
              <w:t xml:space="preserve">3.1 Overview</w:t>
            </w:r>
            <w:r>
              <w:rPr>
                <w:b w:val="false"/>
                <w:bCs w:val="false"/>
                <w:i w:val="false"/>
                <w:iCs w:val="false"/>
                <w:color w:val="000000"/>
              </w:rPr>
              <w:t xml:space="preserve"> (2.5 pgs)</w:t>
            </w:r>
          </w:p>
        </w:tc>
        <w:tc>
          <w:p>
            <w:r>
              <w:rPr>
                <w:b/>
                <w:bCs/>
                <w:i w:val="false"/>
                <w:iCs w:val="false"/>
                <w:color w:val="000000"/>
              </w:rPr>
              <w:t xml:space="preserve">3.1 Overview of the Methodology</w:t>
            </w:r>
          </w:p>
        </w:tc>
        <w:tc>
          <w:p>
            <w:r>
              <w:rPr>
                <w:b w:val="false"/>
                <w:bCs w:val="false"/>
                <w:i w:val="false"/>
                <w:iCs w:val="false"/>
                <w:color w:val="000000"/>
              </w:rPr>
              <w:t xml:space="preserve">Introduce the </w:t>
            </w:r>
            <w:r>
              <w:rPr>
                <w:b/>
                <w:bCs/>
                <w:i w:val="false"/>
                <w:iCs w:val="false"/>
                <w:color w:val="000000"/>
              </w:rPr>
              <w:t xml:space="preserve">Dual-Validation Pipeline</w:t>
            </w:r>
            <w:r>
              <w:rPr>
                <w:b w:val="false"/>
                <w:bCs w:val="false"/>
                <w:i w:val="false"/>
                <w:iCs w:val="false"/>
                <w:color w:val="000000"/>
              </w:rPr>
              <w:t xml:space="preserve">: The LLM-driven ABSA extraction and The ClimateBERT comparative audit. Use a Mermaid diagram to show data flow from PDF to JSON.</w:t>
            </w:r>
          </w:p>
        </w:tc>
      </w:tr>
      <w:tr>
        <w:tc>
          <w:p>
            <w:r>
              <w:rPr>
                <w:b/>
                <w:bCs/>
                <w:i w:val="false"/>
                <w:iCs w:val="false"/>
                <w:color w:val="000000"/>
              </w:rPr>
              <w:t xml:space="preserve">3.2 Data Sources</w:t>
            </w:r>
            <w:r>
              <w:rPr>
                <w:b w:val="false"/>
                <w:bCs w:val="false"/>
                <w:i w:val="false"/>
                <w:iCs w:val="false"/>
                <w:color w:val="000000"/>
              </w:rPr>
              <w:t xml:space="preserve"> (2.5 pgs)</w:t>
            </w:r>
          </w:p>
        </w:tc>
        <w:tc>
          <w:p>
            <w:r>
              <w:rPr>
                <w:b/>
                <w:bCs/>
                <w:i w:val="false"/>
                <w:iCs w:val="false"/>
                <w:color w:val="000000"/>
              </w:rPr>
              <w:t xml:space="preserve">3.2 Data Sources</w:t>
            </w:r>
          </w:p>
        </w:tc>
        <w:tc>
          <w:p>
            <w:r>
              <w:rPr>
                <w:b w:val="false"/>
                <w:bCs w:val="false"/>
                <w:i w:val="false"/>
                <w:iCs w:val="false"/>
                <w:color w:val="000000"/>
              </w:rPr>
              <w:t xml:space="preserve">Justify your choice of specific sectors (e.g., Energy vs. Tech) or reporting standards (GRI/SASB). Discuss the ethical implications of using public corporate data.</w:t>
            </w:r>
          </w:p>
        </w:tc>
      </w:tr>
      <w:tr>
        <w:tc>
          <w:p>
            <w:r>
              <w:rPr>
                <w:b/>
                <w:bCs/>
                <w:i w:val="false"/>
                <w:iCs w:val="false"/>
                <w:color w:val="000000"/>
              </w:rPr>
              <w:t xml:space="preserve">3.3 Preprocessing</w:t>
            </w:r>
            <w:r>
              <w:rPr>
                <w:b w:val="false"/>
                <w:bCs w:val="false"/>
                <w:i w:val="false"/>
                <w:iCs w:val="false"/>
                <w:color w:val="000000"/>
              </w:rPr>
              <w:t xml:space="preserve"> (4 pgs)</w:t>
            </w:r>
          </w:p>
        </w:tc>
        <w:tc>
          <w:p>
            <w:r>
              <w:rPr>
                <w:b/>
                <w:bCs/>
                <w:i w:val="false"/>
                <w:iCs w:val="false"/>
                <w:color w:val="000000"/>
              </w:rPr>
              <w:t xml:space="preserve">3.3 Preprocessing Pipeline</w:t>
            </w:r>
          </w:p>
        </w:tc>
        <w:tc>
          <w:p>
            <w:r>
              <w:rPr>
                <w:b w:val="false"/>
                <w:bCs w:val="false"/>
                <w:i w:val="false"/>
                <w:iCs w:val="false"/>
                <w:color w:val="000000"/>
              </w:rPr>
              <w:t xml:space="preserve">Expand on the "Page-Aware Batching" and OCR challenges. Detail the cleaning logic for removing non-semantic artifacts (e.g., legal disclaimers, page numbers).</w:t>
            </w:r>
          </w:p>
        </w:tc>
      </w:tr>
      <w:tr>
        <w:tc>
          <w:p>
            <w:r>
              <w:rPr>
                <w:b/>
                <w:bCs/>
                <w:i w:val="false"/>
                <w:iCs w:val="false"/>
                <w:color w:val="000000"/>
              </w:rPr>
              <w:t xml:space="preserve">3.4 Feature Extraction</w:t>
            </w:r>
            <w:r>
              <w:rPr>
                <w:b w:val="false"/>
                <w:bCs w:val="false"/>
                <w:i w:val="false"/>
                <w:iCs w:val="false"/>
                <w:color w:val="000000"/>
              </w:rPr>
              <w:t xml:space="preserve"> (15 pgs)</w:t>
            </w:r>
          </w:p>
        </w:tc>
        <w:tc>
          <w:p>
            <w:r>
              <w:rPr>
                <w:b/>
                <w:bCs/>
                <w:i w:val="false"/>
                <w:iCs w:val="false"/>
                <w:color w:val="000000"/>
              </w:rPr>
              <w:t xml:space="preserve">3.4 Extraction and ABSA Layer</w:t>
            </w:r>
          </w:p>
        </w:tc>
        <w:tc>
          <w:p>
            <w:r>
              <w:rPr>
                <w:b/>
                <w:bCs/>
                <w:i w:val="false"/>
                <w:iCs w:val="false"/>
                <w:color w:val="000000"/>
              </w:rPr>
              <w:t xml:space="preserve">This is your "Meat."</w:t>
            </w:r>
            <w:r>
              <w:rPr>
                <w:b w:val="false"/>
                <w:bCs w:val="false"/>
                <w:i w:val="false"/>
                <w:iCs w:val="false"/>
                <w:color w:val="000000"/>
              </w:rPr>
              <w:t xml:space="preserve"> Formalize your "Aspect-Action" linkage. Define the mathematical logic for how you quantify "Greenwashing Risk" or "Semantic Inconsistency."</w:t>
            </w:r>
          </w:p>
        </w:tc>
      </w:tr>
      <w:tr>
        <w:tc>
          <w:p>
            <w:r>
              <w:rPr>
                <w:b/>
                <w:bCs/>
                <w:i w:val="false"/>
                <w:iCs w:val="false"/>
                <w:color w:val="000000"/>
              </w:rPr>
              <w:t xml:space="preserve">3.5 Frameworks</w:t>
            </w:r>
            <w:r>
              <w:rPr>
                <w:b w:val="false"/>
                <w:bCs w:val="false"/>
                <w:i w:val="false"/>
                <w:iCs w:val="false"/>
                <w:color w:val="000000"/>
              </w:rPr>
              <w:t xml:space="preserve"> (11 pgs)</w:t>
            </w:r>
          </w:p>
        </w:tc>
        <w:tc>
          <w:p>
            <w:r>
              <w:rPr>
                <w:b/>
                <w:bCs/>
                <w:i w:val="false"/>
                <w:iCs w:val="false"/>
                <w:color w:val="000000"/>
              </w:rPr>
              <w:t xml:space="preserve">3.5 Core ABSA Logic &amp; LLM Engine</w:t>
            </w:r>
          </w:p>
        </w:tc>
        <w:tc>
          <w:p>
            <w:r>
              <w:rPr>
                <w:b w:val="false"/>
                <w:bCs w:val="false"/>
                <w:i w:val="false"/>
                <w:iCs w:val="false"/>
                <w:color w:val="000000"/>
              </w:rPr>
              <w:t xml:space="preserve">Detail the Prompt Engineering architecture. Explain the logic of your recursive extraction algorithms.</w:t>
            </w:r>
          </w:p>
        </w:tc>
      </w:tr>
      <w:tr>
        <w:tc>
          <w:p>
            <w:r>
              <w:rPr>
                <w:b/>
                <w:bCs/>
                <w:i w:val="false"/>
                <w:iCs w:val="false"/>
                <w:color w:val="000000"/>
              </w:rPr>
              <w:t xml:space="preserve">3.6 Evaluation Prep</w:t>
            </w:r>
            <w:r>
              <w:rPr>
                <w:b w:val="false"/>
                <w:bCs w:val="false"/>
                <w:i w:val="false"/>
                <w:iCs w:val="false"/>
                <w:color w:val="000000"/>
              </w:rPr>
              <w:t xml:space="preserve"> (3 pgs)</w:t>
            </w:r>
          </w:p>
        </w:tc>
        <w:tc>
          <w:p>
            <w:r>
              <w:rPr>
                <w:b/>
                <w:bCs/>
                <w:i w:val="false"/>
                <w:iCs w:val="false"/>
                <w:color w:val="000000"/>
              </w:rPr>
              <w:t xml:space="preserve">3.6 Validation &amp; Silver Dataset</w:t>
            </w:r>
          </w:p>
        </w:tc>
        <w:tc>
          <w:p>
            <w:r>
              <w:rPr>
                <w:b w:val="false"/>
                <w:bCs w:val="false"/>
                <w:i w:val="false"/>
                <w:iCs w:val="false"/>
                <w:color w:val="000000"/>
              </w:rPr>
              <w:t xml:space="preserve">Describe the generation of the "Silver Dataset" and the methodology for human expert cross-validation.</w:t>
            </w:r>
          </w:p>
        </w:tc>
      </w:tr>
    </w:tbl>
    <w:p>
      <w:pPr>
        <w:pStyle w:val="Heading3"/>
      </w:pPr>
      <w:r>
        <w:rPr>
          <w:b w:val="false"/>
          <w:bCs w:val="false"/>
          <w:i w:val="false"/>
          <w:iCs w:val="false"/>
          <w:color w:val="000000"/>
        </w:rPr>
        <w:t xml:space="preserve">Table 2: Chapter 4 – Experiments</w:t>
      </w:r>
    </w:p>
    <w:p>
      <w:r>
        <w:rPr>
          <w:b/>
          <w:bCs/>
          <w:i w:val="false"/>
          <w:iCs w:val="false"/>
          <w:color w:val="000000"/>
        </w:rPr>
        <w:t xml:space="preserve">Goal:</w:t>
      </w:r>
      <w:r>
        <w:rPr>
          <w:b w:val="false"/>
          <w:bCs w:val="false"/>
          <w:i w:val="false"/>
          <w:iCs w:val="false"/>
          <w:color w:val="000000"/>
        </w:rPr>
        <w:t xml:space="preserve"> To prove that the "Aspect-Action" framework is technically superior and empirically valid for greenwashing detection.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4E7"/>
          </w:tcPr>
          <w:p>
            <w:r>
              <w:rPr>
                <w:b w:val="false"/>
                <w:bCs w:val="false"/>
                <w:i w:val="false"/>
                <w:iCs w:val="false"/>
                <w:color w:val="000000"/>
              </w:rPr>
              <w:t xml:space="preserve">Reference Section</w:t>
            </w:r>
          </w:p>
        </w:tc>
        <w:tc>
          <w:tcPr>
            <w:shd w:fill="E4E4E7"/>
          </w:tcPr>
          <w:p>
            <w:r>
              <w:rPr>
                <w:b w:val="false"/>
                <w:bCs w:val="false"/>
                <w:i w:val="false"/>
                <w:iCs w:val="false"/>
                <w:color w:val="000000"/>
              </w:rPr>
              <w:t xml:space="preserve">Your Research Equivalent</w:t>
            </w:r>
          </w:p>
        </w:tc>
        <w:tc>
          <w:tcPr>
            <w:shd w:fill="E4E4E7"/>
          </w:tcPr>
          <w:p>
            <w:r>
              <w:rPr>
                <w:b w:val="false"/>
                <w:bCs w:val="false"/>
                <w:i w:val="false"/>
                <w:iCs w:val="false"/>
                <w:color w:val="000000"/>
              </w:rPr>
              <w:t xml:space="preserve">Strategy for Expansion (to hit 13 pages)</w:t>
            </w:r>
          </w:p>
        </w:tc>
      </w:tr>
      <w:tr>
        <w:tc>
          <w:p>
            <w:r>
              <w:rPr>
                <w:b/>
                <w:bCs/>
                <w:i w:val="false"/>
                <w:iCs w:val="false"/>
                <w:color w:val="000000"/>
              </w:rPr>
              <w:t xml:space="preserve">4.1 Implementation Details</w:t>
            </w:r>
            <w:r>
              <w:rPr>
                <w:b w:val="false"/>
                <w:bCs w:val="false"/>
                <w:i w:val="false"/>
                <w:iCs w:val="false"/>
                <w:color w:val="000000"/>
              </w:rPr>
              <w:t xml:space="preserve"> (1.5 pgs)</w:t>
            </w:r>
          </w:p>
        </w:tc>
        <w:tc>
          <w:p>
            <w:r>
              <w:rPr>
                <w:b/>
                <w:bCs/>
                <w:i w:val="false"/>
                <w:iCs w:val="false"/>
                <w:color w:val="000000"/>
              </w:rPr>
              <w:t xml:space="preserve">System Configuration &amp; LLM Setup</w:t>
            </w:r>
          </w:p>
        </w:tc>
        <w:tc>
          <w:p>
            <w:r>
              <w:rPr>
                <w:b w:val="false"/>
                <w:bCs w:val="false"/>
                <w:i w:val="false"/>
                <w:iCs w:val="false"/>
                <w:color w:val="000000"/>
              </w:rPr>
              <w:t xml:space="preserve">Document the exact software stack and LLM hyperparameters (e.g., Temperature=0, Top-p=1). Elaborate on the </w:t>
            </w:r>
            <w:r>
              <w:rPr>
                <w:b/>
                <w:bCs/>
                <w:i w:val="false"/>
                <w:iCs w:val="false"/>
                <w:color w:val="000000"/>
              </w:rPr>
              <w:t xml:space="preserve">preprocessing sliding window (</w:t>
            </w:r>
            <m:oMath xmlns:m="http://schemas.openxmlformats.org/officeDocument/2006/math" xmlns:w="http://schemas.openxmlformats.org/wordprocessingml/2006/main">
              <m:r>
                <w:rPr/>
                <m:rPr>
                  <m:nor/>
                  <m:sty m:val="undefined"/>
                </m:rPr>
                <m:t xml:space="preserve">Ω</m:t>
              </m:r>
              <m:r>
                <m:t xml:space="preserve"/>
              </m:r>
            </m:oMath>
            <w:r>
              <w:rPr>
                <w:b/>
                <w:bCs/>
                <w:i w:val="false"/>
                <w:iCs w:val="false"/>
                <w:color w:val="000000"/>
              </w:rPr>
              <w:t xml:space="preserve">)</w:t>
            </w:r>
            <w:r>
              <w:rPr>
                <w:b w:val="false"/>
                <w:bCs w:val="false"/>
                <w:i w:val="false"/>
                <w:iCs w:val="false"/>
                <w:color w:val="000000"/>
              </w:rPr>
              <w:t xml:space="preserve"> and tokenization mapping (</w:t>
            </w:r>
            <m:oMath xmlns:m="http://schemas.openxmlformats.org/officeDocument/2006/math" xmlns:w="http://schemas.openxmlformats.org/wordprocessingml/2006/main">
              <m:r>
                <m:t xml:space="preserve">M</m:t>
              </m:r>
            </m:oMath>
            <w:r>
              <w:rPr>
                <w:b w:val="false"/>
                <w:bCs w:val="false"/>
                <w:i w:val="false"/>
                <w:iCs w:val="false"/>
                <w:color w:val="000000"/>
              </w:rPr>
              <w:t xml:space="preserve">) used to maintain context between pages </w:t>
            </w:r>
            <w:sdt>
              <w:sdtPr>
                <w:tag w:val="CITATION OngK25"/>
                <w:id w:val="2022871173"/>
                <w:citation/>
              </w:sdtPr>
              <w:sdtContent>
                <w:r>
                  <w:fldChar w:fldCharType="begin"/>
                </w:r>
                <w:r>
                  <w:instrText xml:space="preserve"> CITATION OngK25 \m VinellaA23 \l 1033 </w:instrText>
                </w:r>
                <w:r>
                  <w:fldChar w:fldCharType="separate"/>
                </w:r>
                <w:r>
                  <w:rPr>
                    <w:noProof/>
                  </w:rPr>
                  <w:t xml:space="preserve">(Ong et al., 2025; Vinella et al., 2023)</w:t>
                </w:r>
                <w:r>
                  <w:fldChar w:fldCharType="end"/>
                </w:r>
              </w:sdtContent>
            </w:sdt>
            <w:r>
              <w:rPr>
                <w:b w:val="false"/>
                <w:bCs w:val="false"/>
                <w:i w:val="false"/>
                <w:iCs w:val="false"/>
                <w:color w:val="000000"/>
              </w:rPr>
              <w:t xml:space="preserve">.</w:t>
            </w:r>
          </w:p>
        </w:tc>
      </w:tr>
      <w:tr>
        <w:tc>
          <w:p>
            <w:r>
              <w:rPr>
                <w:b/>
                <w:bCs/>
                <w:i w:val="false"/>
                <w:iCs w:val="false"/>
                <w:color w:val="000000"/>
              </w:rPr>
              <w:t xml:space="preserve">4.2 Evaluation Metrics</w:t>
            </w:r>
            <w:r>
              <w:rPr>
                <w:b w:val="false"/>
                <w:bCs w:val="false"/>
                <w:i w:val="false"/>
                <w:iCs w:val="false"/>
                <w:color w:val="000000"/>
              </w:rPr>
              <w:t xml:space="preserve"> (1.5 pgs)</w:t>
            </w:r>
          </w:p>
        </w:tc>
        <w:tc>
          <w:p>
            <w:r>
              <w:rPr>
                <w:b/>
                <w:bCs/>
                <w:i w:val="false"/>
                <w:iCs w:val="false"/>
                <w:color w:val="000000"/>
              </w:rPr>
              <w:t xml:space="preserve">ESG-ABSA Performance Criteria</w:t>
            </w:r>
          </w:p>
        </w:tc>
        <w:tc>
          <w:p>
            <w:r>
              <w:rPr>
                <w:b w:val="false"/>
                <w:bCs w:val="false"/>
                <w:i w:val="false"/>
                <w:iCs w:val="false"/>
                <w:color w:val="000000"/>
              </w:rPr>
              <w:t xml:space="preserve">Formalize Equations 31–35. Justify the use of </w:t>
            </w:r>
            <w:r>
              <w:rPr>
                <w:b/>
                <w:bCs/>
                <w:i w:val="false"/>
                <w:iCs w:val="false"/>
                <w:color w:val="000000"/>
              </w:rPr>
              <w:t xml:space="preserve">F1-Score</w:t>
            </w:r>
            <w:r>
              <w:rPr>
                <w:b w:val="false"/>
                <w:bCs w:val="false"/>
                <w:i w:val="false"/>
                <w:iCs w:val="false"/>
                <w:color w:val="000000"/>
              </w:rPr>
              <w:t xml:space="preserve"> for extraction </w:t>
            </w:r>
            <w:sdt>
              <w:sdtPr>
                <w:tag w:val="CITATION ZhangH24"/>
                <w:id w:val="1080024193"/>
                <w:citation/>
              </w:sdtPr>
              <w:sdtContent>
                <w:r>
                  <w:fldChar w:fldCharType="begin"/>
                </w:r>
                <w:r>
                  <w:instrText xml:space="preserve"> CITATION ZhangH24 \l 1033 </w:instrText>
                </w:r>
                <w:r>
                  <w:fldChar w:fldCharType="separate"/>
                </w:r>
                <w:r>
                  <w:rPr>
                    <w:noProof/>
                  </w:rPr>
                  <w:t xml:space="preserve">(Zhang et al., 2024)</w:t>
                </w:r>
                <w:r>
                  <w:fldChar w:fldCharType="end"/>
                </w:r>
              </w:sdtContent>
            </w:sdt>
            <w:r>
              <w:rPr>
                <w:b w:val="false"/>
                <w:bCs w:val="false"/>
                <w:i w:val="false"/>
                <w:iCs w:val="false"/>
                <w:color w:val="000000"/>
              </w:rPr>
              <w:t xml:space="preserve">, </w:t>
            </w:r>
            <w:r>
              <w:rPr>
                <w:b/>
                <w:bCs/>
                <w:i w:val="false"/>
                <w:iCs w:val="false"/>
                <w:color w:val="000000"/>
              </w:rPr>
              <w:t xml:space="preserve">BERTScore</w:t>
            </w:r>
            <w:r>
              <w:rPr>
                <w:b w:val="false"/>
                <w:bCs w:val="false"/>
                <w:i w:val="false"/>
                <w:iCs w:val="false"/>
                <w:color w:val="000000"/>
              </w:rPr>
              <w:t xml:space="preserve"> for semantic alignment, and distinguish between "Strict" and "Relaxed" accuracy for triplet identification </w:t>
            </w:r>
            <w:sdt>
              <w:sdtPr>
                <w:tag w:val="CITATION MaY18"/>
                <w:id w:val="338000248"/>
                <w:citation/>
              </w:sdtPr>
              <w:sdtContent>
                <w:r>
                  <w:fldChar w:fldCharType="begin"/>
                </w:r>
                <w:r>
                  <w:instrText xml:space="preserve"> CITATION MaY18 \l 1033 </w:instrText>
                </w:r>
                <w:r>
                  <w:fldChar w:fldCharType="separate"/>
                </w:r>
                <w:r>
                  <w:rPr>
                    <w:noProof/>
                  </w:rPr>
                  <w:t xml:space="preserve">(Ma et al., 2018)</w:t>
                </w:r>
                <w:r>
                  <w:fldChar w:fldCharType="end"/>
                </w:r>
              </w:sdtContent>
            </w:sdt>
            <w:r>
              <w:rPr>
                <w:b w:val="false"/>
                <w:bCs w:val="false"/>
                <w:i w:val="false"/>
                <w:iCs w:val="false"/>
                <w:color w:val="000000"/>
              </w:rPr>
              <w:t xml:space="preserve">.</w:t>
            </w:r>
          </w:p>
        </w:tc>
      </w:tr>
      <w:tr>
        <w:tc>
          <w:p>
            <w:r>
              <w:rPr>
                <w:b/>
                <w:bCs/>
                <w:i w:val="false"/>
                <w:iCs w:val="false"/>
                <w:color w:val="000000"/>
              </w:rPr>
              <w:t xml:space="preserve">4.3.1 SOTA Comparison</w:t>
            </w:r>
            <w:r>
              <w:rPr>
                <w:b w:val="false"/>
                <w:bCs w:val="false"/>
                <w:i w:val="false"/>
                <w:iCs w:val="false"/>
                <w:color w:val="000000"/>
              </w:rPr>
              <w:t xml:space="preserve"> (4 pgs)</w:t>
            </w:r>
          </w:p>
        </w:tc>
        <w:tc>
          <w:p>
            <w:r>
              <w:rPr>
                <w:b/>
                <w:bCs/>
                <w:i w:val="false"/>
                <w:iCs w:val="false"/>
                <w:color w:val="000000"/>
              </w:rPr>
              <w:t xml:space="preserve">Baseline vs. LLM-ABSA Benchmarking</w:t>
            </w:r>
          </w:p>
        </w:tc>
        <w:tc>
          <w:p>
            <w:r>
              <w:rPr>
                <w:b w:val="false"/>
                <w:bCs w:val="false"/>
                <w:i w:val="false"/>
                <w:iCs w:val="false"/>
                <w:color w:val="000000"/>
              </w:rPr>
              <w:t xml:space="preserve">Create 2–3 large tables comparing your results against </w:t>
            </w:r>
            <w:r>
              <w:rPr>
                <w:b/>
                <w:bCs/>
                <w:i w:val="false"/>
                <w:iCs w:val="false"/>
                <w:color w:val="000000"/>
              </w:rPr>
              <w:t xml:space="preserve">ClimateBERT</w:t>
            </w:r>
            <w:r>
              <w:rPr>
                <w:b w:val="false"/>
                <w:bCs w:val="false"/>
                <w:i w:val="false"/>
                <w:iCs w:val="false"/>
                <w:color w:val="000000"/>
              </w:rPr>
              <w:t xml:space="preserve"> and standard BERT-based ESG classifiers </w:t>
            </w:r>
            <w:sdt>
              <w:sdtPr>
                <w:tag w:val="CITATION VinellaA23"/>
                <w:id w:val="1002708975"/>
                <w:citation/>
              </w:sdtPr>
              <w:sdtContent>
                <w:r>
                  <w:fldChar w:fldCharType="begin"/>
                </w:r>
                <w:r>
                  <w:instrText xml:space="preserve"> CITATION VinellaA23 \l 1033 </w:instrText>
                </w:r>
                <w:r>
                  <w:fldChar w:fldCharType="separate"/>
                </w:r>
                <w:r>
                  <w:rPr>
                    <w:noProof/>
                  </w:rPr>
                  <w:t xml:space="preserve">(Vinella et al., 2023)</w:t>
                </w:r>
                <w:r>
                  <w:fldChar w:fldCharType="end"/>
                </w:r>
              </w:sdtContent>
            </w:sdt>
            <w:r>
              <w:rPr>
                <w:b w:val="false"/>
                <w:bCs w:val="false"/>
                <w:i w:val="false"/>
                <w:iCs w:val="false"/>
                <w:color w:val="000000"/>
              </w:rPr>
              <w:t xml:space="preserve">. Interpret the "Performance Gap" by showing where traditional models fail to link "Actions" to "Aspects" </w:t>
            </w:r>
            <w:sdt>
              <w:sdtPr>
                <w:tag w:val="CITATION OngK252"/>
                <w:id w:val="1834001802"/>
                <w:citation/>
              </w:sdtPr>
              <w:sdtContent>
                <w:r>
                  <w:fldChar w:fldCharType="begin"/>
                </w:r>
                <w:r>
                  <w:instrText xml:space="preserve"> CITATION OngK252 \m OngK25 \l 1033 </w:instrText>
                </w:r>
                <w:r>
                  <w:fldChar w:fldCharType="separate"/>
                </w:r>
                <w:r>
                  <w:rPr>
                    <w:noProof/>
                  </w:rPr>
                  <w:t xml:space="preserve">(Ong et al., 2025a, 2025b)</w:t>
                </w:r>
                <w:r>
                  <w:fldChar w:fldCharType="end"/>
                </w:r>
              </w:sdtContent>
            </w:sdt>
            <w:r>
              <w:rPr>
                <w:b w:val="false"/>
                <w:bCs w:val="false"/>
                <w:i w:val="false"/>
                <w:iCs w:val="false"/>
                <w:color w:val="000000"/>
              </w:rPr>
              <w:t xml:space="preserve">.</w:t>
            </w:r>
          </w:p>
        </w:tc>
      </w:tr>
      <w:tr>
        <w:tc>
          <w:p>
            <w:r>
              <w:rPr>
                <w:b/>
                <w:bCs/>
                <w:i w:val="false"/>
                <w:iCs w:val="false"/>
                <w:color w:val="000000"/>
              </w:rPr>
              <w:t xml:space="preserve">4.3.2 Model Analysis</w:t>
            </w:r>
            <w:r>
              <w:rPr>
                <w:b w:val="false"/>
                <w:bCs w:val="false"/>
                <w:i w:val="false"/>
                <w:iCs w:val="false"/>
                <w:color w:val="000000"/>
              </w:rPr>
              <w:t xml:space="preserve"> (1.5 pgs)</w:t>
            </w:r>
          </w:p>
        </w:tc>
        <w:tc>
          <w:p>
            <w:r>
              <w:rPr>
                <w:b/>
                <w:bCs/>
                <w:i w:val="false"/>
                <w:iCs w:val="false"/>
                <w:color w:val="000000"/>
              </w:rPr>
              <w:t xml:space="preserve">Silver Dataset &amp; Ground Truth Validation</w:t>
            </w:r>
          </w:p>
        </w:tc>
        <w:tc>
          <w:p>
            <w:r>
              <w:rPr>
                <w:b w:val="false"/>
                <w:bCs w:val="false"/>
                <w:i w:val="false"/>
                <w:iCs w:val="false"/>
                <w:color w:val="000000"/>
              </w:rPr>
              <w:t xml:space="preserve">Use </w:t>
            </w:r>
            <w:r>
              <w:rPr>
                <w:b/>
                <w:bCs/>
                <w:i w:val="false"/>
                <w:iCs w:val="false"/>
                <w:color w:val="000000"/>
              </w:rPr>
              <w:t xml:space="preserve">Cohen’s Kappa</w:t>
            </w:r>
            <w:r>
              <w:rPr>
                <w:b w:val="false"/>
                <w:bCs w:val="false"/>
                <w:i w:val="false"/>
                <w:iCs w:val="false"/>
                <w:color w:val="000000"/>
              </w:rPr>
              <w:t xml:space="preserve"> to validate the inter-annotator agreement between your LLM and human expert audits </w:t>
            </w:r>
            <w:sdt>
              <w:sdtPr>
                <w:tag w:val="CITATION SinghM24"/>
                <w:id w:val="1604525043"/>
                <w:citation/>
              </w:sdtPr>
              <w:sdtContent>
                <w:r>
                  <w:fldChar w:fldCharType="begin"/>
                </w:r>
                <w:r>
                  <w:instrText xml:space="preserve"> CITATION SinghM24 \l 1033 </w:instrText>
                </w:r>
                <w:r>
                  <w:fldChar w:fldCharType="separate"/>
                </w:r>
                <w:r>
                  <w:rPr>
                    <w:noProof/>
                  </w:rPr>
                  <w:t xml:space="preserve">(Singh et al., 2024)</w:t>
                </w:r>
                <w:r>
                  <w:fldChar w:fldCharType="end"/>
                </w:r>
              </w:sdtContent>
            </w:sdt>
            <w:r>
              <w:rPr>
                <w:b w:val="false"/>
                <w:bCs w:val="false"/>
                <w:i w:val="false"/>
                <w:iCs w:val="false"/>
                <w:color w:val="000000"/>
              </w:rPr>
              <w:t xml:space="preserve">. Explain why the selected ESG-specific prompts are more reliable than generic financial sentiment tools </w:t>
            </w:r>
            <w:sdt>
              <w:sdtPr>
                <w:tag w:val="CITATION ConsoliS22"/>
                <w:id w:val="757928585"/>
                <w:citation/>
              </w:sdtPr>
              <w:sdtContent>
                <w:r>
                  <w:fldChar w:fldCharType="begin"/>
                </w:r>
                <w:r>
                  <w:instrText xml:space="preserve"> CITATION ConsoliS22 \l 1033 </w:instrText>
                </w:r>
                <w:r>
                  <w:fldChar w:fldCharType="separate"/>
                </w:r>
                <w:r>
                  <w:rPr>
                    <w:noProof/>
                  </w:rPr>
                  <w:t xml:space="preserve">(Consoli et al., 2022)</w:t>
                </w:r>
                <w:r>
                  <w:fldChar w:fldCharType="end"/>
                </w:r>
              </w:sdtContent>
            </w:sdt>
            <w:r>
              <w:rPr>
                <w:b w:val="false"/>
                <w:bCs w:val="false"/>
                <w:i w:val="false"/>
                <w:iCs w:val="false"/>
                <w:color w:val="000000"/>
              </w:rPr>
              <w:t xml:space="preserve">.</w:t>
            </w:r>
          </w:p>
        </w:tc>
      </w:tr>
      <w:tr>
        <w:tc>
          <w:p>
            <w:r>
              <w:rPr>
                <w:b/>
                <w:bCs/>
                <w:i w:val="false"/>
                <w:iCs w:val="false"/>
                <w:color w:val="000000"/>
              </w:rPr>
              <w:t xml:space="preserve">4.3.3 Ablation Studies</w:t>
            </w:r>
            <w:r>
              <w:rPr>
                <w:b w:val="false"/>
                <w:bCs w:val="false"/>
                <w:i w:val="false"/>
                <w:iCs w:val="false"/>
                <w:color w:val="000000"/>
              </w:rPr>
              <w:t xml:space="preserve"> (5 pgs)</w:t>
            </w:r>
          </w:p>
        </w:tc>
        <w:tc>
          <w:p>
            <w:r>
              <w:rPr>
                <w:b/>
                <w:bCs/>
                <w:i w:val="false"/>
                <w:iCs w:val="false"/>
                <w:color w:val="000000"/>
              </w:rPr>
              <w:t xml:space="preserve">Component Contribution Analysis</w:t>
            </w:r>
          </w:p>
        </w:tc>
        <w:tc>
          <w:p>
            <w:r>
              <w:rPr>
                <w:b/>
                <w:bCs/>
                <w:i w:val="false"/>
                <w:iCs w:val="false"/>
                <w:color w:val="000000"/>
              </w:rPr>
              <w:t xml:space="preserve">The longest section.</w:t>
            </w:r>
            <w:r>
              <w:rPr>
                <w:b w:val="false"/>
                <w:bCs w:val="false"/>
                <w:i w:val="false"/>
                <w:iCs w:val="false"/>
                <w:color w:val="000000"/>
              </w:rPr>
              <w:t xml:space="preserve"> Systematically remove parts of the framework (e.g., remove the "Action" component, or use single-page vs. page-aware batching) to prove that the "Aspect-Action" link is the primary driver of greenwashing risk detection </w:t>
            </w:r>
            <w:sdt>
              <w:sdtPr>
                <w:tag w:val="CITATION OngK252"/>
                <w:id w:val="1009928920"/>
                <w:citation/>
              </w:sdtPr>
              <w:sdtContent>
                <w:r>
                  <w:fldChar w:fldCharType="begin"/>
                </w:r>
                <w:r>
                  <w:instrText xml:space="preserve"> CITATION OngK252 \m OngK25 \l 1033 </w:instrText>
                </w:r>
                <w:r>
                  <w:fldChar w:fldCharType="separate"/>
                </w:r>
                <w:r>
                  <w:rPr>
                    <w:noProof/>
                  </w:rPr>
                  <w:t xml:space="preserve">(Ong et al., 2025a, 2025b)</w:t>
                </w:r>
                <w:r>
                  <w:fldChar w:fldCharType="end"/>
                </w:r>
              </w:sdtContent>
            </w:sdt>
            <w:r>
              <w:rPr>
                <w:b w:val="false"/>
                <w:bCs w:val="false"/>
                <w:i w:val="false"/>
                <w:iCs w:val="false"/>
                <w:color w:val="000000"/>
              </w:rPr>
              <w:t xml:space="preserve">.</w:t>
            </w:r>
          </w:p>
        </w:tc>
      </w:tr>
    </w:tbl>
    <w:p>
      <w:pPr>
        <w:pBdr>
          <w:bottom w:val="single" w:color="auto" w:sz="6" w:space="1"/>
        </w:pBdr>
        <w:spacing w:after="240" w:before="240"/>
      </w:pPr>
    </w:p>
    <w:p>
      <w:pPr>
        <w:pStyle w:val="Heading3"/>
      </w:pPr>
      <w:r>
        <w:rPr>
          <w:b w:val="false"/>
          <w:bCs w:val="false"/>
          <w:i w:val="false"/>
          <w:iCs w:val="false"/>
          <w:color w:val="000000"/>
        </w:rPr>
        <w:t xml:space="preserve">Table 3: Chapter 5 – Discussion</w:t>
      </w:r>
    </w:p>
    <w:p>
      <w:r>
        <w:rPr>
          <w:b/>
          <w:bCs/>
          <w:i w:val="false"/>
          <w:iCs w:val="false"/>
          <w:color w:val="000000"/>
        </w:rPr>
        <w:t xml:space="preserve">Goal:</w:t>
      </w:r>
      <w:r>
        <w:rPr>
          <w:b w:val="false"/>
          <w:bCs w:val="false"/>
          <w:i w:val="false"/>
          <w:iCs w:val="false"/>
          <w:color w:val="000000"/>
        </w:rPr>
        <w:t xml:space="preserve"> To interpret the results, answer your research questions, and explain the real-world value of your automated audit.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4E7"/>
          </w:tcPr>
          <w:p>
            <w:r>
              <w:rPr>
                <w:b w:val="false"/>
                <w:bCs w:val="false"/>
                <w:i w:val="false"/>
                <w:iCs w:val="false"/>
                <w:color w:val="000000"/>
              </w:rPr>
              <w:t xml:space="preserve">Reference Section</w:t>
            </w:r>
          </w:p>
        </w:tc>
        <w:tc>
          <w:tcPr>
            <w:shd w:fill="E4E4E7"/>
          </w:tcPr>
          <w:p>
            <w:r>
              <w:rPr>
                <w:b w:val="false"/>
                <w:bCs w:val="false"/>
                <w:i w:val="false"/>
                <w:iCs w:val="false"/>
                <w:color w:val="000000"/>
              </w:rPr>
              <w:t xml:space="preserve">Your Research Equivalent</w:t>
            </w:r>
          </w:p>
        </w:tc>
        <w:tc>
          <w:tcPr>
            <w:shd w:fill="E4E4E7"/>
          </w:tcPr>
          <w:p>
            <w:r>
              <w:rPr>
                <w:b w:val="false"/>
                <w:bCs w:val="false"/>
                <w:i w:val="false"/>
                <w:iCs w:val="false"/>
                <w:color w:val="000000"/>
              </w:rPr>
              <w:t xml:space="preserve">Strategy for Expansion (to hit 5 pages)</w:t>
            </w:r>
          </w:p>
        </w:tc>
      </w:tr>
      <w:tr>
        <w:tc>
          <w:p>
            <w:r>
              <w:rPr>
                <w:b/>
                <w:bCs/>
                <w:i w:val="false"/>
                <w:iCs w:val="false"/>
                <w:color w:val="000000"/>
              </w:rPr>
              <w:t xml:space="preserve">5.1 Key Findings &amp; Synthesis</w:t>
            </w:r>
            <w:r>
              <w:rPr>
                <w:b w:val="false"/>
                <w:bCs w:val="false"/>
                <w:i w:val="false"/>
                <w:iCs w:val="false"/>
                <w:color w:val="000000"/>
              </w:rPr>
              <w:t xml:space="preserve"> (1.5 pgs)</w:t>
            </w:r>
          </w:p>
        </w:tc>
        <w:tc>
          <w:p>
            <w:r>
              <w:rPr>
                <w:b/>
                <w:bCs/>
                <w:i w:val="false"/>
                <w:iCs w:val="false"/>
                <w:color w:val="000000"/>
              </w:rPr>
              <w:t xml:space="preserve">Interpretation of the "Greenwashing Gap"</w:t>
            </w:r>
          </w:p>
        </w:tc>
        <w:tc>
          <w:p>
            <w:r>
              <w:rPr>
                <w:b w:val="false"/>
                <w:bCs w:val="false"/>
                <w:i w:val="false"/>
                <w:iCs w:val="false"/>
                <w:color w:val="000000"/>
              </w:rPr>
              <w:t xml:space="preserve">Summarize why the dual-channel approach (thematic + sentiment) is necessary. Explain the synergy between </w:t>
            </w:r>
            <w:r>
              <w:rPr>
                <w:b/>
                <w:bCs/>
                <w:i w:val="false"/>
                <w:iCs w:val="false"/>
                <w:color w:val="000000"/>
              </w:rPr>
              <w:t xml:space="preserve">Language Specificity (</w:t>
            </w:r>
            <m:oMath xmlns:m="http://schemas.openxmlformats.org/officeDocument/2006/math" xmlns:w="http://schemas.openxmlformats.org/wordprocessingml/2006/main">
              <m:r>
                <m:t xml:space="preserve">ESGLR</m:t>
              </m:r>
            </m:oMath>
            <w:r>
              <w:rPr>
                <w:b/>
                <w:bCs/>
                <w:i w:val="false"/>
                <w:iCs w:val="false"/>
                <w:color w:val="000000"/>
              </w:rPr>
              <w:t xml:space="preserve">)</w:t>
            </w:r>
            <w:r>
              <w:rPr>
                <w:b w:val="false"/>
                <w:bCs w:val="false"/>
                <w:i w:val="false"/>
                <w:iCs w:val="false"/>
                <w:color w:val="000000"/>
              </w:rPr>
              <w:t xml:space="preserve"> and </w:t>
            </w:r>
            <w:r>
              <w:rPr>
                <w:b/>
                <w:bCs/>
                <w:i w:val="false"/>
                <w:iCs w:val="false"/>
                <w:color w:val="000000"/>
              </w:rPr>
              <w:t xml:space="preserve">Sentiment Polarity</w:t>
            </w:r>
            <w:r>
              <w:rPr>
                <w:b w:val="false"/>
                <w:bCs w:val="false"/>
                <w:i w:val="false"/>
                <w:iCs w:val="false"/>
                <w:color w:val="000000"/>
              </w:rPr>
              <w:t xml:space="preserve"> in catching "soft language" greenwashing </w:t>
            </w:r>
            <w:sdt>
              <w:sdtPr>
                <w:tag w:val="CITATION LagasioV24"/>
                <w:id w:val="2045461524"/>
                <w:citation/>
              </w:sdtPr>
              <w:sdtContent>
                <w:r>
                  <w:fldChar w:fldCharType="begin"/>
                </w:r>
                <w:r>
                  <w:instrText xml:space="preserve"> CITATION LagasioV24 \m SinghM24 \m WangX25 \l 1033 </w:instrText>
                </w:r>
                <w:r>
                  <w:fldChar w:fldCharType="separate"/>
                </w:r>
                <w:r>
                  <w:rPr>
                    <w:noProof/>
                  </w:rPr>
                  <w:t xml:space="preserve">(Lagasio, 2024; Singh et al., 2024; Wang et al., 2025)</w:t>
                </w:r>
                <w:r>
                  <w:fldChar w:fldCharType="end"/>
                </w:r>
              </w:sdtContent>
            </w:sdt>
            <w:r>
              <w:rPr>
                <w:b w:val="false"/>
                <w:bCs w:val="false"/>
                <w:i w:val="false"/>
                <w:iCs w:val="false"/>
                <w:color w:val="000000"/>
              </w:rPr>
              <w:t xml:space="preserve">.</w:t>
            </w:r>
          </w:p>
        </w:tc>
      </w:tr>
      <w:tr>
        <w:tc>
          <w:p>
            <w:r>
              <w:rPr>
                <w:b/>
                <w:bCs/>
                <w:i w:val="false"/>
                <w:iCs w:val="false"/>
                <w:color w:val="000000"/>
              </w:rPr>
              <w:t xml:space="preserve">5.2 RQ Resolution</w:t>
            </w:r>
            <w:r>
              <w:rPr>
                <w:b w:val="false"/>
                <w:bCs w:val="false"/>
                <w:i w:val="false"/>
                <w:iCs w:val="false"/>
                <w:color w:val="000000"/>
              </w:rPr>
              <w:t xml:space="preserve"> (1.5 pgs)</w:t>
            </w:r>
          </w:p>
        </w:tc>
        <w:tc>
          <w:p>
            <w:r>
              <w:rPr>
                <w:b/>
                <w:bCs/>
                <w:i w:val="false"/>
                <w:iCs w:val="false"/>
                <w:color w:val="000000"/>
              </w:rPr>
              <w:t xml:space="preserve">Research Question Verdict Matrix</w:t>
            </w:r>
          </w:p>
        </w:tc>
        <w:tc>
          <w:p>
            <w:r>
              <w:rPr>
                <w:b/>
                <w:bCs/>
                <w:i w:val="false"/>
                <w:iCs w:val="false"/>
                <w:color w:val="000000"/>
              </w:rPr>
              <w:t xml:space="preserve">The most crucial section.</w:t>
            </w:r>
            <w:r>
              <w:rPr>
                <w:b w:val="false"/>
                <w:bCs w:val="false"/>
                <w:i w:val="false"/>
                <w:iCs w:val="false"/>
                <w:color w:val="000000"/>
              </w:rPr>
              <w:t xml:space="preserve"> Use a table to map each RQ from Chapter 1 to a specific metric from Chapter 4. For example, prove RQ2 using the 25%+ drop in accuracy seen in the ablation study </w:t>
            </w:r>
            <w:sdt>
              <w:sdtPr>
                <w:tag w:val="CITATION OngK25"/>
                <w:id w:val="202543451"/>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tc>
      </w:tr>
      <w:tr>
        <w:tc>
          <w:p>
            <w:r>
              <w:rPr>
                <w:b/>
                <w:bCs/>
                <w:i w:val="false"/>
                <w:iCs w:val="false"/>
                <w:color w:val="000000"/>
              </w:rPr>
              <w:t xml:space="preserve">5.3 Limitations</w:t>
            </w:r>
            <w:r>
              <w:rPr>
                <w:b w:val="false"/>
                <w:bCs w:val="false"/>
                <w:i w:val="false"/>
                <w:iCs w:val="false"/>
                <w:color w:val="000000"/>
              </w:rPr>
              <w:t xml:space="preserve"> (0.5 pgs)</w:t>
            </w:r>
          </w:p>
        </w:tc>
        <w:tc>
          <w:p>
            <w:r>
              <w:rPr>
                <w:b/>
                <w:bCs/>
                <w:i w:val="false"/>
                <w:iCs w:val="false"/>
                <w:color w:val="000000"/>
              </w:rPr>
              <w:t xml:space="preserve">Methodological Boundaries</w:t>
            </w:r>
          </w:p>
        </w:tc>
        <w:tc>
          <w:p>
            <w:r>
              <w:rPr>
                <w:b w:val="false"/>
                <w:bCs w:val="false"/>
                <w:i w:val="false"/>
                <w:iCs w:val="false"/>
                <w:color w:val="000000"/>
              </w:rPr>
              <w:t xml:space="preserve">Critically reflect on the risks of </w:t>
            </w:r>
            <w:r>
              <w:rPr>
                <w:b/>
                <w:bCs/>
                <w:i w:val="false"/>
                <w:iCs w:val="false"/>
                <w:color w:val="000000"/>
              </w:rPr>
              <w:t xml:space="preserve">LLM Hallucinations</w:t>
            </w:r>
            <w:r>
              <w:rPr>
                <w:b w:val="false"/>
                <w:bCs w:val="false"/>
                <w:i w:val="false"/>
                <w:iCs w:val="false"/>
                <w:color w:val="000000"/>
              </w:rPr>
              <w:t xml:space="preserve"> in complex PDF tables </w:t>
            </w:r>
            <w:sdt>
              <w:sdtPr>
                <w:tag w:val="CITATION VinellaA23"/>
                <w:id w:val="193577468"/>
                <w:citation/>
              </w:sdtPr>
              <w:sdtContent>
                <w:r>
                  <w:fldChar w:fldCharType="begin"/>
                </w:r>
                <w:r>
                  <w:instrText xml:space="preserve"> CITATION VinellaA23 \l 1033 </w:instrText>
                </w:r>
                <w:r>
                  <w:fldChar w:fldCharType="separate"/>
                </w:r>
                <w:r>
                  <w:rPr>
                    <w:noProof/>
                  </w:rPr>
                  <w:t xml:space="preserve">(Vinella et al., 2023)</w:t>
                </w:r>
                <w:r>
                  <w:fldChar w:fldCharType="end"/>
                </w:r>
              </w:sdtContent>
            </w:sdt>
            <w:r>
              <w:rPr>
                <w:b w:val="false"/>
                <w:bCs w:val="false"/>
                <w:i w:val="false"/>
                <w:iCs w:val="false"/>
                <w:color w:val="000000"/>
              </w:rPr>
              <w:t xml:space="preserve">. Acknowledge the "Ontology Gaps" where the model may struggle with niche ESG topics like biodiversity versus carbon emissions </w:t>
            </w:r>
            <w:sdt>
              <w:sdtPr>
                <w:tag w:val="CITATION OngK25"/>
                <w:id w:val="891201397"/>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tc>
      </w:tr>
      <w:tr>
        <w:tc>
          <w:p>
            <w:r>
              <w:rPr>
                <w:b/>
                <w:bCs/>
                <w:i w:val="false"/>
                <w:iCs w:val="false"/>
                <w:color w:val="000000"/>
              </w:rPr>
              <w:t xml:space="preserve">5.4 Future Work</w:t>
            </w:r>
            <w:r>
              <w:rPr>
                <w:b w:val="false"/>
                <w:bCs w:val="false"/>
                <w:i w:val="false"/>
                <w:iCs w:val="false"/>
                <w:color w:val="000000"/>
              </w:rPr>
              <w:t xml:space="preserve"> (1 pg)</w:t>
            </w:r>
          </w:p>
        </w:tc>
        <w:tc>
          <w:p>
            <w:r>
              <w:rPr>
                <w:b/>
                <w:bCs/>
                <w:i w:val="false"/>
                <w:iCs w:val="false"/>
                <w:color w:val="000000"/>
              </w:rPr>
              <w:t xml:space="preserve">Technological &amp; Regulatory Roadmap</w:t>
            </w:r>
          </w:p>
        </w:tc>
        <w:tc>
          <w:p>
            <w:r>
              <w:rPr>
                <w:b w:val="false"/>
                <w:bCs w:val="false"/>
                <w:i w:val="false"/>
                <w:iCs w:val="false"/>
                <w:color w:val="000000"/>
              </w:rPr>
              <w:t xml:space="preserve">Propose a roadmap for </w:t>
            </w:r>
            <w:r>
              <w:rPr>
                <w:b/>
                <w:bCs/>
                <w:i w:val="false"/>
                <w:iCs w:val="false"/>
                <w:color w:val="000000"/>
              </w:rPr>
              <w:t xml:space="preserve">Cross-Category Generalization</w:t>
            </w:r>
            <w:r>
              <w:rPr>
                <w:b w:val="false"/>
                <w:bCs w:val="false"/>
                <w:i w:val="false"/>
                <w:iCs w:val="false"/>
                <w:color w:val="000000"/>
              </w:rPr>
              <w:t xml:space="preserve"> (adapting the model for Human Rights or Governance) </w:t>
            </w:r>
            <w:sdt>
              <w:sdtPr>
                <w:tag w:val="CITATION OngK252"/>
                <w:id w:val="1467293651"/>
                <w:citation/>
              </w:sdtPr>
              <w:sdtContent>
                <w:r>
                  <w:fldChar w:fldCharType="begin"/>
                </w:r>
                <w:r>
                  <w:instrText xml:space="preserve"> CITATION OngK252 \l 1033 </w:instrText>
                </w:r>
                <w:r>
                  <w:fldChar w:fldCharType="separate"/>
                </w:r>
                <w:r>
                  <w:rPr>
                    <w:noProof/>
                  </w:rPr>
                  <w:t xml:space="preserve">(Ong et al., 2025)</w:t>
                </w:r>
                <w:r>
                  <w:fldChar w:fldCharType="end"/>
                </w:r>
              </w:sdtContent>
            </w:sdt>
            <w:r>
              <w:rPr>
                <w:b w:val="false"/>
                <w:bCs w:val="false"/>
                <w:i w:val="false"/>
                <w:iCs w:val="false"/>
                <w:color w:val="000000"/>
              </w:rPr>
              <w:t xml:space="preserve"> and the development of "Sustainability SEO" quality ratings for corporate websites </w:t>
            </w:r>
            <w:sdt>
              <w:sdtPr>
                <w:tag w:val="CITATION ConfettoM21"/>
                <w:id w:val="1217413432"/>
                <w:citation/>
              </w:sdtPr>
              <w:sdtContent>
                <w:r>
                  <w:fldChar w:fldCharType="begin"/>
                </w:r>
                <w:r>
                  <w:instrText xml:space="preserve"> CITATION ConfettoM21 \l 1033 </w:instrText>
                </w:r>
                <w:r>
                  <w:fldChar w:fldCharType="separate"/>
                </w:r>
                <w:r>
                  <w:rPr>
                    <w:noProof/>
                  </w:rPr>
                  <w:t xml:space="preserve">(Confetto &amp; Covucci, 2021)</w:t>
                </w:r>
                <w:r>
                  <w:fldChar w:fldCharType="end"/>
                </w:r>
              </w:sdtContent>
            </w:sdt>
            <w:r>
              <w:rPr>
                <w:b w:val="false"/>
                <w:bCs w:val="false"/>
                <w:i w:val="false"/>
                <w:iCs w:val="false"/>
                <w:color w:val="000000"/>
              </w:rPr>
              <w:t xml:space="preserve">.</w:t>
            </w:r>
          </w:p>
        </w:tc>
      </w:tr>
      <w:tr>
        <w:tc>
          <w:p>
            <w:r>
              <w:rPr>
                <w:b/>
                <w:bCs/>
                <w:i w:val="false"/>
                <w:iCs w:val="false"/>
                <w:color w:val="000000"/>
              </w:rPr>
              <w:t xml:space="preserve">5.5 Broader Impact</w:t>
            </w:r>
            <w:r>
              <w:rPr>
                <w:b w:val="false"/>
                <w:bCs w:val="false"/>
                <w:i w:val="false"/>
                <w:iCs w:val="false"/>
                <w:color w:val="000000"/>
              </w:rPr>
              <w:t xml:space="preserve"> (1.5 pgs)</w:t>
            </w:r>
          </w:p>
        </w:tc>
        <w:tc>
          <w:p>
            <w:r>
              <w:rPr>
                <w:b/>
                <w:bCs/>
                <w:i w:val="false"/>
                <w:iCs w:val="false"/>
                <w:color w:val="000000"/>
              </w:rPr>
              <w:t xml:space="preserve">Societal, Regulatory &amp; Ethical Value</w:t>
            </w:r>
          </w:p>
        </w:tc>
        <w:tc>
          <w:p>
            <w:r>
              <w:rPr>
                <w:b w:val="false"/>
                <w:bCs w:val="false"/>
                <w:i w:val="false"/>
                <w:iCs w:val="false"/>
                <w:color w:val="000000"/>
              </w:rPr>
              <w:t xml:space="preserve">Discuss the benefit for </w:t>
            </w:r>
            <w:r>
              <w:rPr>
                <w:b/>
                <w:bCs/>
                <w:i w:val="false"/>
                <w:iCs w:val="false"/>
                <w:color w:val="000000"/>
              </w:rPr>
              <w:t xml:space="preserve">investor protection</w:t>
            </w:r>
            <w:r>
              <w:rPr>
                <w:b w:val="false"/>
                <w:bCs w:val="false"/>
                <w:i w:val="false"/>
                <w:iCs w:val="false"/>
                <w:color w:val="000000"/>
              </w:rPr>
              <w:t xml:space="preserve"> and regulatory compliance (e.g., SEC or EU CSRD). Balance this with the ethical risks of over-relying on automated ESG scores for financial decision-making </w:t>
            </w:r>
            <w:sdt>
              <w:sdtPr>
                <w:tag w:val="CITATION WangX25"/>
                <w:id w:val="960141583"/>
                <w:citation/>
              </w:sdtPr>
              <w:sdtContent>
                <w:r>
                  <w:fldChar w:fldCharType="begin"/>
                </w:r>
                <w:r>
                  <w:instrText xml:space="preserve"> CITATION WangX25 \m YuE20 \l 1033 </w:instrText>
                </w:r>
                <w:r>
                  <w:fldChar w:fldCharType="separate"/>
                </w:r>
                <w:r>
                  <w:rPr>
                    <w:noProof/>
                  </w:rPr>
                  <w:t xml:space="preserve">(Wang et al., 2025; Yu et al., 2020)</w:t>
                </w:r>
                <w:r>
                  <w:fldChar w:fldCharType="end"/>
                </w:r>
              </w:sdtContent>
            </w:sdt>
            <w:r>
              <w:rPr>
                <w:b w:val="false"/>
                <w:bCs w:val="false"/>
                <w:i w:val="false"/>
                <w:iCs w:val="false"/>
                <w:color w:val="000000"/>
              </w:rPr>
              <w:t xml:space="preserve">.</w:t>
            </w:r>
          </w:p>
        </w:tc>
      </w:tr>
    </w:tbl>
    <w:p>
      <w:pPr>
        <w:pStyle w:val="Heading3"/>
      </w:pPr>
      <w:r>
        <w:rPr>
          <w:b w:val="false"/>
          <w:bCs w:val="false"/>
          <w:i w:val="false"/>
          <w:iCs w:val="false"/>
          <w:color w:val="000000"/>
        </w:rPr>
        <w:t xml:space="preserve">List of Formula</w:t>
      </w:r>
    </w:p>
    <w:p>
      <w:r>
        <w:rPr>
          <w:b w:val="false"/>
          <w:bCs w:val="false"/>
          <w:i w:val="false"/>
          <w:iCs w:val="false"/>
          <w:color w:val="000000"/>
        </w:rPr>
        <w:t xml:space="preserve">Daris Dzakwan, to match the technical density and mathematical rigor of the 37-page methodology you are using as a reference, you need a comprehensive list of equations. These formulas serve to formalize your ESG auditing process, moving it from qualitative description to a reproducible computational framework.</w:t>
      </w:r>
    </w:p>
    <w:p>
      <w:r>
        <w:rPr>
          <w:b w:val="false"/>
          <w:bCs w:val="false"/>
          <w:i w:val="false"/>
          <w:iCs w:val="false"/>
          <w:color w:val="000000"/>
        </w:rPr>
        <w:t xml:space="preserve">Below is the consolidated list of 35 required formulas for your thesis, organized by the sections where they will help you reach your page-length targets.</w:t>
      </w:r>
    </w:p>
    <w:p>
      <w:pPr>
        <w:pStyle w:val="Heading3"/>
      </w:pPr>
      <w:r>
        <w:rPr>
          <w:b w:val="false"/>
          <w:bCs w:val="false"/>
          <w:i w:val="false"/>
          <w:iCs w:val="false"/>
          <w:color w:val="000000"/>
        </w:rPr>
        <w:t xml:space="preserve">Section 3.3: Preprocessing &amp; Standardization (Eq. 1–5)</w:t>
      </w:r>
    </w:p>
    <w:p>
      <w:r>
        <w:rPr>
          <w:b w:val="false"/>
          <w:bCs w:val="false"/>
          <w:i/>
          <w:iCs/>
          <w:color w:val="000000"/>
        </w:rPr>
        <w:t xml:space="preserve">These equations justify the 4-page "Detailed" depth by formalizing how raw PDFs become clean data.</w:t>
      </w:r>
    </w:p>
    <w:p>
      <w:pPr>
        <w:pStyle w:val="ListParagraph"/>
        <w:numPr>
          <w:ilvl w:val="0"/>
          <w:numId w:val="2"/>
        </w:numPr>
      </w:pPr>
      <w:r>
        <w:rPr>
          <w:b/>
          <w:bCs/>
          <w:i w:val="false"/>
          <w:iCs w:val="false"/>
          <w:color w:val="000000"/>
        </w:rPr>
        <w:t xml:space="preserve">Text Cleaning Function (</w:t>
      </w:r>
      <m:oMath xmlns:m="http://schemas.openxmlformats.org/officeDocument/2006/math" xmlns:w="http://schemas.openxmlformats.org/wordprocessingml/2006/main">
        <m:sSub>
          <m:sSubPr>
            <m:ctrlPr/>
          </m:sSubPr>
          <m:e>
            <m:r>
              <m:t xml:space="preserve">f</m:t>
            </m:r>
          </m:e>
          <m:sub>
            <m:r>
              <m:t xml:space="preserve">clean</m:t>
            </m:r>
          </m:sub>
        </m:sSub>
      </m:oMath>
      <w:r>
        <w:rPr>
          <w:b/>
          <w:bCs/>
          <w:i w:val="false"/>
          <w:iCs w:val="false"/>
          <w:color w:val="000000"/>
        </w:rPr>
        <w:t xml:space="preserve">):</w:t>
      </w:r>
      <w:r>
        <w:rPr>
          <w:b w:val="false"/>
          <w:bCs w:val="false"/>
          <w:i w:val="false"/>
          <w:iCs w:val="false"/>
          <w:color w:val="000000"/>
        </w:rPr>
        <w:t xml:space="preserve"> Defines the heuristic for removing non-semantic artifacts (e.g., footers, legal disclaimers) based on token density.</w:t>
      </w:r>
    </w:p>
    <w:p>
      <w:pPr>
        <w:pStyle w:val="ListParagraph"/>
        <w:numPr>
          <w:ilvl w:val="0"/>
          <w:numId w:val="2"/>
        </w:numPr>
      </w:pPr>
      <w:r>
        <w:rPr>
          <w:b/>
          <w:bCs/>
          <w:i w:val="false"/>
          <w:iCs w:val="false"/>
          <w:color w:val="000000"/>
        </w:rPr>
        <w:t xml:space="preserve">Page-Aware Overlap Window (</w:t>
      </w:r>
      <m:oMath xmlns:m="http://schemas.openxmlformats.org/officeDocument/2006/math" xmlns:w="http://schemas.openxmlformats.org/wordprocessingml/2006/main">
        <m:r>
          <w:rPr/>
          <m:rPr>
            <m:nor/>
            <m:sty m:val="undefined"/>
          </m:rPr>
          <m:t xml:space="preserve">Ω</m:t>
        </m:r>
        <m:r>
          <m:t xml:space="preserve"/>
        </m:r>
      </m:oMath>
      <w:r>
        <w:rPr>
          <w:b/>
          <w:bCs/>
          <w:i w:val="false"/>
          <w:iCs w:val="false"/>
          <w:color w:val="000000"/>
        </w:rPr>
        <w:t xml:space="preserve">):</w:t>
      </w:r>
      <w:r>
        <w:rPr>
          <w:b w:val="false"/>
          <w:bCs w:val="false"/>
          <w:i w:val="false"/>
          <w:iCs w:val="false"/>
          <w:color w:val="000000"/>
        </w:rPr>
        <w:t xml:space="preserve"> The mathematical representation of the sliding window used during PDF batching to maintain semantic continuity between pages.</w:t>
      </w:r>
    </w:p>
    <w:p>
      <w:pPr>
        <w:pStyle w:val="ListParagraph"/>
        <w:numPr>
          <w:ilvl w:val="0"/>
          <w:numId w:val="2"/>
        </w:numPr>
      </w:pPr>
      <w:r>
        <w:rPr>
          <w:b/>
          <w:bCs/>
          <w:i w:val="false"/>
          <w:iCs w:val="false"/>
          <w:color w:val="000000"/>
        </w:rPr>
        <w:t xml:space="preserve">Tokenization Mapping (</w:t>
      </w:r>
      <m:oMath xmlns:m="http://schemas.openxmlformats.org/officeDocument/2006/math" xmlns:w="http://schemas.openxmlformats.org/wordprocessingml/2006/main">
        <m:r>
          <m:t xml:space="preserve">M</m:t>
        </m:r>
      </m:oMath>
      <w:r>
        <w:rPr>
          <w:b/>
          <w:bCs/>
          <w:i w:val="false"/>
          <w:iCs w:val="false"/>
          <w:color w:val="000000"/>
        </w:rPr>
        <w:t xml:space="preserve">):</w:t>
      </w:r>
      <w:r>
        <w:rPr>
          <w:b w:val="false"/>
          <w:bCs w:val="false"/>
          <w:i w:val="false"/>
          <w:iCs w:val="false"/>
          <w:color w:val="000000"/>
        </w:rPr>
        <w:t xml:space="preserve"> A formal mapping function that converts raw byte-level PDF characters into the specific token IDs required by your LLM encoder.</w:t>
      </w:r>
    </w:p>
    <w:p>
      <w:pPr>
        <w:pStyle w:val="ListParagraph"/>
        <w:numPr>
          <w:ilvl w:val="0"/>
          <w:numId w:val="2"/>
        </w:numPr>
      </w:pPr>
      <w:r>
        <w:rPr>
          <w:b/>
          <w:bCs/>
          <w:i w:val="false"/>
          <w:iCs w:val="false"/>
          <w:color w:val="000000"/>
        </w:rPr>
        <w:t xml:space="preserve">Metric Normalization:</w:t>
      </w:r>
      <w:r>
        <w:rPr>
          <w:b w:val="false"/>
          <w:bCs w:val="false"/>
          <w:i w:val="false"/>
          <w:iCs w:val="false"/>
          <w:color w:val="000000"/>
        </w:rPr>
        <w:t xml:space="preserve"> Standardizes extracted numerical data (e.g., carbon tons) using a Min-Max scaling formula: </w:t>
      </w:r>
      <m:oMath xmlns:m="http://schemas.openxmlformats.org/officeDocument/2006/math" xmlns:w="http://schemas.openxmlformats.org/wordprocessingml/2006/main">
        <m:sSub>
          <m:sSubPr>
            <m:ctrlPr/>
          </m:sSubPr>
          <m:e>
            <m:r>
              <m:t xml:space="preserve">x</m:t>
            </m:r>
          </m:e>
          <m:sub>
            <m:r>
              <m:t xml:space="preserve">norm</m:t>
            </m:r>
          </m:sub>
        </m:sSub>
        <m:r>
          <m:t xml:space="preserve">=</m:t>
        </m:r>
        <m:f>
          <m:fPr>
            <m:type m:val="bar"/>
          </m:fPr>
          <m:num>
            <m:r>
              <m:t xml:space="preserve">x−min</m:t>
            </m:r>
            <m:r>
              <m:t xml:space="preserve">(x)</m:t>
            </m:r>
          </m:num>
          <m:den>
            <m:r>
              <m:t xml:space="preserve">max</m:t>
            </m:r>
            <m:r>
              <m:t xml:space="preserve">(x)</m:t>
            </m:r>
            <m:r>
              <m:t xml:space="preserve">−min</m:t>
            </m:r>
            <m:r>
              <m:t xml:space="preserve">(x)</m:t>
            </m:r>
          </m:den>
        </m:f>
      </m:oMath>
      <w:r>
        <w:rPr>
          <w:b w:val="false"/>
          <w:bCs w:val="false"/>
          <w:i w:val="false"/>
          <w:iCs w:val="false"/>
          <w:color w:val="000000"/>
        </w:rPr>
        <w:t xml:space="preserve">.</w:t>
      </w:r>
    </w:p>
    <w:p>
      <w:pPr>
        <w:pStyle w:val="ListParagraph"/>
        <w:numPr>
          <w:ilvl w:val="0"/>
          <w:numId w:val="2"/>
        </w:numPr>
      </w:pPr>
      <w:r>
        <w:rPr>
          <w:b/>
          <w:bCs/>
          <w:i w:val="false"/>
          <w:iCs w:val="false"/>
          <w:color w:val="000000"/>
        </w:rPr>
        <w:t xml:space="preserve">Sentence Vectorization:</w:t>
      </w:r>
      <w:r>
        <w:rPr>
          <w:b w:val="false"/>
          <w:bCs w:val="false"/>
          <w:i w:val="false"/>
          <w:iCs w:val="false"/>
          <w:color w:val="000000"/>
        </w:rPr>
        <w:t xml:space="preserve"> The transformation of a cleaned sentence </w:t>
      </w:r>
      <m:oMath xmlns:m="http://schemas.openxmlformats.org/officeDocument/2006/math" xmlns:w="http://schemas.openxmlformats.org/wordprocessingml/2006/main">
        <m:sSub>
          <m:sSubPr>
            <m:ctrlPr/>
          </m:sSubPr>
          <m:e>
            <m:r>
              <m:t xml:space="preserve">s</m:t>
            </m:r>
          </m:e>
          <m:sub>
            <m:r>
              <m:t xml:space="preserve">i</m:t>
            </m:r>
          </m:sub>
        </m:sSub>
      </m:oMath>
      <w:r>
        <w:rPr>
          <w:b w:val="false"/>
          <w:bCs w:val="false"/>
          <w:i w:val="false"/>
          <w:iCs w:val="false"/>
          <w:color w:val="000000"/>
        </w:rPr>
        <w:t xml:space="preserve"> into a high-dimensional embedding </w:t>
      </w:r>
      <m:oMath xmlns:m="http://schemas.openxmlformats.org/officeDocument/2006/math" xmlns:w="http://schemas.openxmlformats.org/wordprocessingml/2006/main">
        <m:sSub>
          <m:sSubPr>
            <m:ctrlPr/>
          </m:sSubPr>
          <m:e>
            <m:r>
              <m:t xml:space="preserve">𝐯</m:t>
            </m:r>
          </m:e>
          <m:sub>
            <m:r>
              <m:t xml:space="preserve">i</m:t>
            </m:r>
          </m:sub>
        </m:sSub>
      </m:oMath>
      <w:r>
        <w:rPr>
          <w:b w:val="false"/>
          <w:bCs w:val="false"/>
          <w:i w:val="false"/>
          <w:iCs w:val="false"/>
          <w:color w:val="000000"/>
        </w:rPr>
        <w:t xml:space="preserve">.</w:t>
      </w:r>
    </w:p>
    <w:p>
      <w:pPr>
        <w:pStyle w:val="Heading3"/>
      </w:pPr>
      <w:r>
        <w:rPr>
          <w:b w:val="false"/>
          <w:bCs w:val="false"/>
          <w:i w:val="false"/>
          <w:iCs w:val="false"/>
          <w:color w:val="000000"/>
        </w:rPr>
        <w:t xml:space="preserve">Section 3.4: Feature Extraction &amp; ABSA (Eq. 6–20)</w:t>
      </w:r>
    </w:p>
    <w:p>
      <w:r>
        <w:rPr>
          <w:b w:val="false"/>
          <w:bCs w:val="false"/>
          <w:i/>
          <w:iCs/>
          <w:color w:val="000000"/>
        </w:rPr>
        <w:t xml:space="preserve">This is the 15-page "Meat." You must formalize the "cues" extracted from the text.</w:t>
      </w:r>
    </w:p>
    <w:p>
      <w:pPr>
        <w:pStyle w:val="ListParagraph"/>
        <w:numPr>
          <w:ilvl w:val="0"/>
          <w:numId w:val="3"/>
        </w:numPr>
      </w:pPr>
      <w:r>
        <w:rPr>
          <w:b/>
          <w:bCs/>
          <w:i w:val="false"/>
          <w:iCs w:val="false"/>
          <w:color w:val="000000"/>
        </w:rPr>
        <w:t xml:space="preserve">ABSA Tuple Definition (</w:t>
      </w:r>
      <m:oMath xmlns:m="http://schemas.openxmlformats.org/officeDocument/2006/math" xmlns:w="http://schemas.openxmlformats.org/wordprocessingml/2006/main">
        <m:r>
          <m:t xml:space="preserve">T</m:t>
        </m:r>
      </m:oMath>
      <w:r>
        <w:rPr>
          <w:b/>
          <w:bCs/>
          <w:i w:val="false"/>
          <w:iCs w:val="false"/>
          <w:color w:val="000000"/>
        </w:rPr>
        <w:t xml:space="preserve">):</w:t>
      </w:r>
      <w:r>
        <w:rPr>
          <w:b w:val="false"/>
          <w:bCs w:val="false"/>
          <w:i w:val="false"/>
          <w:iCs w:val="false"/>
          <w:color w:val="000000"/>
        </w:rPr>
        <w:t xml:space="preserve"> Defines an ESG claim as a multi-dimensional set </w:t>
      </w:r>
      <m:oMath xmlns:m="http://schemas.openxmlformats.org/officeDocument/2006/math" xmlns:w="http://schemas.openxmlformats.org/wordprocessingml/2006/main">
        <m:r>
          <m:t xml:space="preserve">T=</m:t>
        </m:r>
        <m:r>
          <m:t xml:space="preserve">{a,s,v,c,g}</m:t>
        </m:r>
      </m:oMath>
      <w:r>
        <w:rPr>
          <w:b w:val="false"/>
          <w:bCs w:val="false"/>
          <w:i w:val="false"/>
          <w:iCs w:val="false"/>
          <w:color w:val="000000"/>
        </w:rPr>
        <w:t xml:space="preserve">, representing the Aspect, Sentiment, Verb/Action, Context, and Grounding reference </w:t>
      </w:r>
      <w:sdt>
        <w:sdtPr>
          <w:tag w:val="CITATION OngK25"/>
          <w:id w:val="1306699023"/>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pStyle w:val="ListParagraph"/>
        <w:numPr>
          <w:ilvl w:val="0"/>
          <w:numId w:val="3"/>
        </w:numPr>
      </w:pPr>
      <w:r>
        <w:rPr>
          <w:b/>
          <w:bCs/>
          <w:i w:val="false"/>
          <w:iCs w:val="false"/>
          <w:color w:val="000000"/>
        </w:rPr>
        <w:t xml:space="preserve">Sentiment Polarity Mapping (</w:t>
      </w:r>
      <m:oMath xmlns:m="http://schemas.openxmlformats.org/officeDocument/2006/math" xmlns:w="http://schemas.openxmlformats.org/wordprocessingml/2006/main">
        <m:r>
          <m:t xml:space="preserve">NPD</m:t>
        </m:r>
      </m:oMath>
      <w:r>
        <w:rPr>
          <w:b/>
          <w:bCs/>
          <w:i w:val="false"/>
          <w:iCs w:val="false"/>
          <w:color w:val="000000"/>
        </w:rPr>
        <w:t xml:space="preserve">):</w:t>
      </w:r>
      <w:r>
        <w:rPr>
          <w:b w:val="false"/>
          <w:bCs w:val="false"/>
          <w:i w:val="false"/>
          <w:iCs w:val="false"/>
          <w:color w:val="000000"/>
        </w:rPr>
        <w:t xml:space="preserve"> A function that maps fine-grained sentiment scores into a discrete financial polarity range </w:t>
      </w:r>
      <m:oMath xmlns:m="http://schemas.openxmlformats.org/officeDocument/2006/math" xmlns:w="http://schemas.openxmlformats.org/wordprocessingml/2006/main">
        <m:r>
          <m:t xml:space="preserve">{−1,0,1}</m:t>
        </m:r>
      </m:oMath>
      <w:r>
        <w:rPr>
          <w:b w:val="false"/>
          <w:bCs w:val="false"/>
          <w:i w:val="false"/>
          <w:iCs w:val="false"/>
          <w:color w:val="000000"/>
        </w:rPr>
        <w:t xml:space="preserve"> </w:t>
      </w:r>
      <w:sdt>
        <w:sdtPr>
          <w:tag w:val="CITATION ConsoliS22"/>
          <w:id w:val="1125126028"/>
          <w:citation/>
        </w:sdtPr>
        <w:sdtContent>
          <w:r>
            <w:fldChar w:fldCharType="begin"/>
          </w:r>
          <w:r>
            <w:instrText xml:space="preserve"> CITATION ConsoliS22 \m LiC24 \l 1033 </w:instrText>
          </w:r>
          <w:r>
            <w:fldChar w:fldCharType="separate"/>
          </w:r>
          <w:r>
            <w:rPr>
              <w:noProof/>
            </w:rPr>
            <w:t xml:space="preserve">(Consoli et al., 2022; Li et al., 2024)</w:t>
          </w:r>
          <w:r>
            <w:fldChar w:fldCharType="end"/>
          </w:r>
        </w:sdtContent>
      </w:sdt>
      <w:r>
        <w:rPr>
          <w:b w:val="false"/>
          <w:bCs w:val="false"/>
          <w:i w:val="false"/>
          <w:iCs w:val="false"/>
          <w:color w:val="000000"/>
        </w:rPr>
        <w:t xml:space="preserve">.</w:t>
      </w:r>
    </w:p>
    <w:p>
      <w:pPr>
        <w:pStyle w:val="ListParagraph"/>
        <w:numPr>
          <w:ilvl w:val="0"/>
          <w:numId w:val="3"/>
        </w:numPr>
      </w:pPr>
      <w:r>
        <w:rPr>
          <w:b/>
          <w:bCs/>
          <w:i w:val="false"/>
          <w:iCs w:val="false"/>
          <w:color w:val="000000"/>
        </w:rPr>
        <w:t xml:space="preserve">Aspect Probability (</w:t>
      </w:r>
      <m:oMath xmlns:m="http://schemas.openxmlformats.org/officeDocument/2006/math" xmlns:w="http://schemas.openxmlformats.org/wordprocessingml/2006/main">
        <m:r>
          <m:t xml:space="preserve">P</m:t>
        </m:r>
        <m:r>
          <m:t xml:space="preserve">(a|s)</m:t>
        </m:r>
      </m:oMath>
      <w:r>
        <w:rPr>
          <w:b/>
          <w:bCs/>
          <w:i w:val="false"/>
          <w:iCs w:val="false"/>
          <w:color w:val="000000"/>
        </w:rPr>
        <w:t xml:space="preserve">):</w:t>
      </w:r>
      <w:r>
        <w:rPr>
          <w:b w:val="false"/>
          <w:bCs w:val="false"/>
          <w:i w:val="false"/>
          <w:iCs w:val="false"/>
          <w:color w:val="000000"/>
        </w:rPr>
        <w:t xml:space="preserve"> The Softmax distribution used by the LLM to classify a sentence into specific ESG categories (e.g., Emissions, Diversity).</w:t>
      </w:r>
    </w:p>
    <w:p>
      <w:pPr>
        <w:pStyle w:val="ListParagraph"/>
        <w:numPr>
          <w:ilvl w:val="0"/>
          <w:numId w:val="3"/>
        </w:numPr>
      </w:pPr>
      <w:r>
        <w:rPr>
          <w:b/>
          <w:bCs/>
          <w:i w:val="false"/>
          <w:iCs w:val="false"/>
          <w:color w:val="000000"/>
        </w:rPr>
        <w:t xml:space="preserve">Contextual Attention Weight (</w:t>
      </w:r>
      <m:oMath xmlns:m="http://schemas.openxmlformats.org/officeDocument/2006/math" xmlns:w="http://schemas.openxmlformats.org/wordprocessingml/2006/main">
        <m:sSub>
          <m:sSubPr>
            <m:ctrlPr/>
          </m:sSubPr>
          <m:e>
            <m:r>
              <m:t xml:space="preserve">W</m:t>
            </m:r>
          </m:e>
          <m:sub>
            <m:r>
              <m:t xml:space="preserve">c</m:t>
            </m:r>
          </m:sub>
        </m:sSub>
      </m:oMath>
      <w:r>
        <w:rPr>
          <w:b/>
          <w:bCs/>
          <w:i w:val="false"/>
          <w:iCs w:val="false"/>
          <w:color w:val="000000"/>
        </w:rPr>
        <w:t xml:space="preserve">):</w:t>
      </w:r>
      <w:r>
        <w:rPr>
          <w:b w:val="false"/>
          <w:bCs w:val="false"/>
          <w:i w:val="false"/>
          <w:iCs w:val="false"/>
          <w:color w:val="000000"/>
        </w:rPr>
        <w:t xml:space="preserve"> Formalizes how much weight is given to words surrounding a specific ESG aspect during extraction </w:t>
      </w:r>
      <w:sdt>
        <w:sdtPr>
          <w:tag w:val="CITATION BrauwersG21"/>
          <w:id w:val="676389293"/>
          <w:citation/>
        </w:sdtPr>
        <w:sdtContent>
          <w:r>
            <w:fldChar w:fldCharType="begin"/>
          </w:r>
          <w:r>
            <w:instrText xml:space="preserve"> CITATION BrauwersG21 \l 1033 </w:instrText>
          </w:r>
          <w:r>
            <w:fldChar w:fldCharType="separate"/>
          </w:r>
          <w:r>
            <w:rPr>
              <w:noProof/>
            </w:rPr>
            <w:t xml:space="preserve">(Brauwers &amp; Frăsincar, 2021)</w:t>
          </w:r>
          <w:r>
            <w:fldChar w:fldCharType="end"/>
          </w:r>
        </w:sdtContent>
      </w:sdt>
      <w:r>
        <w:rPr>
          <w:b w:val="false"/>
          <w:bCs w:val="false"/>
          <w:i w:val="false"/>
          <w:iCs w:val="false"/>
          <w:color w:val="000000"/>
        </w:rPr>
        <w:t xml:space="preserve">.</w:t>
      </w:r>
    </w:p>
    <w:p>
      <w:pPr>
        <w:pStyle w:val="ListParagraph"/>
        <w:numPr>
          <w:ilvl w:val="0"/>
          <w:numId w:val="3"/>
        </w:numPr>
      </w:pPr>
      <w:r>
        <w:rPr>
          <w:b/>
          <w:bCs/>
          <w:i w:val="false"/>
          <w:iCs w:val="false"/>
          <w:color w:val="000000"/>
        </w:rPr>
        <w:t xml:space="preserve">ESG Language Specificity (</w:t>
      </w:r>
      <m:oMath xmlns:m="http://schemas.openxmlformats.org/officeDocument/2006/math" xmlns:w="http://schemas.openxmlformats.org/wordprocessingml/2006/main">
        <m:r>
          <m:t xml:space="preserve">ESGLR</m:t>
        </m:r>
      </m:oMath>
      <w:r>
        <w:rPr>
          <w:b/>
          <w:bCs/>
          <w:i w:val="false"/>
          <w:iCs w:val="false"/>
          <w:color w:val="000000"/>
        </w:rPr>
        <w:t xml:space="preserve">):</w:t>
      </w:r>
      <w:r>
        <w:rPr>
          <w:b w:val="false"/>
          <w:bCs w:val="false"/>
          <w:i w:val="false"/>
          <w:iCs w:val="false"/>
          <w:color w:val="000000"/>
        </w:rPr>
        <w:t xml:space="preserve"> The ratio of specific, metric-backed sentences (</w:t>
      </w:r>
      <m:oMath xmlns:m="http://schemas.openxmlformats.org/officeDocument/2006/math" xmlns:w="http://schemas.openxmlformats.org/wordprocessingml/2006/main">
        <m:sSub>
          <m:sSubPr>
            <m:ctrlPr/>
          </m:sSubPr>
          <m:e>
            <m:r>
              <m:t xml:space="preserve">X</m:t>
            </m:r>
          </m:e>
          <m:sub>
            <m:r>
              <m:t xml:space="preserve">S</m:t>
            </m:r>
          </m:sub>
        </m:sSub>
      </m:oMath>
      <w:r>
        <w:rPr>
          <w:b w:val="false"/>
          <w:bCs w:val="false"/>
          <w:i w:val="false"/>
          <w:iCs w:val="false"/>
          <w:color w:val="000000"/>
        </w:rPr>
        <w:t xml:space="preserve">) to ambiguous, qualitative sentences (</w:t>
      </w:r>
      <m:oMath xmlns:m="http://schemas.openxmlformats.org/officeDocument/2006/math" xmlns:w="http://schemas.openxmlformats.org/wordprocessingml/2006/main">
        <m:sSub>
          <m:sSubPr>
            <m:ctrlPr/>
          </m:sSubPr>
          <m:e>
            <m:r>
              <m:t xml:space="preserve">X</m:t>
            </m:r>
          </m:e>
          <m:sub>
            <m:r>
              <m:t xml:space="preserve">A</m:t>
            </m:r>
          </m:sub>
        </m:sSub>
      </m:oMath>
      <w:r>
        <w:rPr>
          <w:b w:val="false"/>
          <w:bCs w:val="false"/>
          <w:i w:val="false"/>
          <w:iCs w:val="false"/>
          <w:color w:val="000000"/>
        </w:rPr>
        <w:t xml:space="preserve">) </w:t>
      </w:r>
      <w:sdt>
        <w:sdtPr>
          <w:tag w:val="CITATION SinghM24"/>
          <w:id w:val="477535536"/>
          <w:citation/>
        </w:sdtPr>
        <w:sdtContent>
          <w:r>
            <w:fldChar w:fldCharType="begin"/>
          </w:r>
          <w:r>
            <w:instrText xml:space="preserve"> CITATION SinghM24 \l 1033 </w:instrText>
          </w:r>
          <w:r>
            <w:fldChar w:fldCharType="separate"/>
          </w:r>
          <w:r>
            <w:rPr>
              <w:noProof/>
            </w:rPr>
            <w:t xml:space="preserve">(Singh et al., 2024)</w:t>
          </w:r>
          <w:r>
            <w:fldChar w:fldCharType="end"/>
          </w:r>
        </w:sdtContent>
      </w:sdt>
      <w:r>
        <w:rPr>
          <w:b w:val="false"/>
          <w:bCs w:val="false"/>
          <w:i w:val="false"/>
          <w:iCs w:val="false"/>
          <w:color w:val="000000"/>
        </w:rPr>
        <w:t xml:space="preserve">:</w:t>
      </w:r>
      <w:r>
        <w:br/>
      </w:r>
      <m:oMath xmlns:m="http://schemas.openxmlformats.org/officeDocument/2006/math" xmlns:w="http://schemas.openxmlformats.org/wordprocessingml/2006/main">
        <m:r>
          <m:t xml:space="preserve">ESGLR=</m:t>
        </m:r>
        <m:r>
          <m:t xml:space="preserve">(</m:t>
        </m:r>
        <m:f>
          <m:fPr>
            <m:type m:val="bar"/>
          </m:fPr>
          <m:num>
            <m:sSub>
              <m:sSubPr>
                <m:ctrlPr/>
              </m:sSubPr>
              <m:e>
                <m:r>
                  <m:t xml:space="preserve">X</m:t>
                </m:r>
              </m:e>
              <m:sub>
                <m:r>
                  <m:t xml:space="preserve">S</m:t>
                </m:r>
              </m:sub>
            </m:sSub>
          </m:num>
          <m:den>
            <m:sSub>
              <m:sSubPr>
                <m:ctrlPr/>
              </m:sSubPr>
              <m:e>
                <m:r>
                  <m:t xml:space="preserve">X</m:t>
                </m:r>
              </m:e>
              <m:sub>
                <m:r>
                  <m:t xml:space="preserve">A</m:t>
                </m:r>
              </m:sub>
            </m:sSub>
          </m:den>
        </m:f>
        <m:r>
          <m:t xml:space="preserve">)</m:t>
        </m:r>
        <m:r>
          <m:t xml:space="preserve">×</m:t>
        </m:r>
        <m:sSub>
          <m:sSubPr>
            <m:ctrlPr/>
          </m:sSubPr>
          <m:e>
            <m:r>
              <m:t xml:space="preserve">X</m:t>
            </m:r>
          </m:e>
          <m:sub>
            <m:r>
              <m:t xml:space="preserve">SF</m:t>
            </m:r>
          </m:sub>
        </m:sSub>
      </m:oMath>
    </w:p>
    <w:p>
      <w:pPr>
        <w:pStyle w:val="ListParagraph"/>
        <w:numPr>
          <w:ilvl w:val="0"/>
          <w:numId w:val="3"/>
        </w:numPr>
      </w:pPr>
      <w:r>
        <w:rPr>
          <w:b/>
          <w:bCs/>
          <w:i w:val="false"/>
          <w:iCs w:val="false"/>
          <w:color w:val="000000"/>
        </w:rPr>
        <w:t xml:space="preserve">Narrative Positivity (</w:t>
      </w:r>
      <m:oMath xmlns:m="http://schemas.openxmlformats.org/officeDocument/2006/math" xmlns:w="http://schemas.openxmlformats.org/wordprocessingml/2006/main">
        <m:r>
          <m:t xml:space="preserve">NP</m:t>
        </m:r>
      </m:oMath>
      <w:r>
        <w:rPr>
          <w:b/>
          <w:bCs/>
          <w:i w:val="false"/>
          <w:iCs w:val="false"/>
          <w:color w:val="000000"/>
        </w:rPr>
        <w:t xml:space="preserve">):</w:t>
      </w:r>
      <w:r>
        <w:rPr>
          <w:b w:val="false"/>
          <w:bCs w:val="false"/>
          <w:i w:val="false"/>
          <w:iCs w:val="false"/>
          <w:color w:val="000000"/>
        </w:rPr>
        <w:t xml:space="preserve"> A ratio calculating the bias of the report by comparing positive-sentiment segments to negative ones.</w:t>
      </w:r>
    </w:p>
    <w:p>
      <w:pPr>
        <w:pStyle w:val="ListParagraph"/>
        <w:numPr>
          <w:ilvl w:val="0"/>
          <w:numId w:val="3"/>
        </w:numPr>
      </w:pPr>
      <w:r>
        <w:rPr>
          <w:b/>
          <w:bCs/>
          <w:i w:val="false"/>
          <w:iCs w:val="false"/>
          <w:color w:val="000000"/>
        </w:rPr>
        <w:t xml:space="preserve">Semantic Similarity:</w:t>
      </w:r>
      <w:r>
        <w:rPr>
          <w:b w:val="false"/>
          <w:bCs w:val="false"/>
          <w:i w:val="false"/>
          <w:iCs w:val="false"/>
          <w:color w:val="000000"/>
        </w:rPr>
        <w:t xml:space="preserve"> Measures the distance between a corporate claim and a benchmark standard: </w:t>
      </w:r>
      <m:oMath xmlns:m="http://schemas.openxmlformats.org/officeDocument/2006/math" xmlns:w="http://schemas.openxmlformats.org/wordprocessingml/2006/main">
        <m:r>
          <m:rPr>
            <m:nor/>
          </m:rPr>
          <m:t xml:space="preserve">cos</m:t>
        </m:r>
        <m:r>
          <m:t xml:space="preserve">(θ)</m:t>
        </m:r>
        <m:r>
          <m:t xml:space="preserve">=</m:t>
        </m:r>
        <m:f>
          <m:fPr>
            <m:type m:val="bar"/>
          </m:fPr>
          <m:num>
            <m:r>
              <m:t xml:space="preserve">𝐀⋅𝐁</m:t>
            </m:r>
          </m:num>
          <m:den>
            <m:r>
              <m:t xml:space="preserve">‖𝐀‖‖𝐁‖</m:t>
            </m:r>
          </m:den>
        </m:f>
      </m:oMath>
      <w:r>
        <w:rPr>
          <w:b w:val="false"/>
          <w:bCs w:val="false"/>
          <w:i w:val="false"/>
          <w:iCs w:val="false"/>
          <w:color w:val="000000"/>
        </w:rPr>
        <w:t xml:space="preserve">.</w:t>
      </w:r>
    </w:p>
    <w:p>
      <w:pPr>
        <w:pStyle w:val="ListParagraph"/>
        <w:numPr>
          <w:ilvl w:val="0"/>
          <w:numId w:val="3"/>
        </w:numPr>
      </w:pPr>
      <w:r>
        <w:rPr>
          <w:b/>
          <w:bCs/>
          <w:i w:val="false"/>
          <w:iCs w:val="false"/>
          <w:color w:val="000000"/>
        </w:rPr>
        <w:t xml:space="preserve">Action Intensity Score (</w:t>
      </w:r>
      <m:oMath xmlns:m="http://schemas.openxmlformats.org/officeDocument/2006/math" xmlns:w="http://schemas.openxmlformats.org/wordprocessingml/2006/main">
        <m:sSub>
          <m:sSubPr>
            <m:ctrlPr/>
          </m:sSubPr>
          <m:e>
            <m:r>
              <m:t xml:space="preserve">V</m:t>
            </m:r>
          </m:e>
          <m:sub>
            <m:r>
              <m:t xml:space="preserve">i</m:t>
            </m:r>
          </m:sub>
        </m:sSub>
      </m:oMath>
      <w:r>
        <w:rPr>
          <w:b/>
          <w:bCs/>
          <w:i w:val="false"/>
          <w:iCs w:val="false"/>
          <w:color w:val="000000"/>
        </w:rPr>
        <w:t xml:space="preserve">):</w:t>
      </w:r>
      <w:r>
        <w:rPr>
          <w:b w:val="false"/>
          <w:bCs w:val="false"/>
          <w:i w:val="false"/>
          <w:iCs w:val="false"/>
          <w:color w:val="000000"/>
        </w:rPr>
        <w:t xml:space="preserve"> Assigns a quantitative value to the strength of verbs (e.g., "achieved" vs. "aiming") to identify the level of commitment </w:t>
      </w:r>
      <w:sdt>
        <w:sdtPr>
          <w:tag w:val="CITATION OngK252"/>
          <w:id w:val="1195497253"/>
          <w:citation/>
        </w:sdtPr>
        <w:sdtContent>
          <w:r>
            <w:fldChar w:fldCharType="begin"/>
          </w:r>
          <w:r>
            <w:instrText xml:space="preserve"> CITATION OngK252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pStyle w:val="ListParagraph"/>
        <w:numPr>
          <w:ilvl w:val="0"/>
          <w:numId w:val="3"/>
        </w:numPr>
      </w:pPr>
      <w:r>
        <w:rPr>
          <w:b/>
          <w:bCs/>
          <w:i w:val="false"/>
          <w:iCs w:val="false"/>
          <w:color w:val="000000"/>
        </w:rPr>
        <w:t xml:space="preserve">Boilerplate Density:</w:t>
      </w:r>
      <w:r>
        <w:rPr>
          <w:b w:val="false"/>
          <w:bCs w:val="false"/>
          <w:i w:val="false"/>
          <w:iCs w:val="false"/>
          <w:color w:val="000000"/>
        </w:rPr>
        <w:t xml:space="preserve"> A formula identifying the frequency of repeated standard legal phrases versus unique sustainability content </w:t>
      </w:r>
      <w:sdt>
        <w:sdtPr>
          <w:tag w:val="CITATION KlnY26"/>
          <w:id w:val="1295791547"/>
          <w:citation/>
        </w:sdtPr>
        <w:sdtContent>
          <w:r>
            <w:fldChar w:fldCharType="begin"/>
          </w:r>
          <w:r>
            <w:instrText xml:space="preserve"> CITATION KlnY26 \l 1033 </w:instrText>
          </w:r>
          <w:r>
            <w:fldChar w:fldCharType="separate"/>
          </w:r>
          <w:r>
            <w:rPr>
              <w:noProof/>
            </w:rPr>
            <w:t xml:space="preserve">(Kılınç et al., 2026)</w:t>
          </w:r>
          <w:r>
            <w:fldChar w:fldCharType="end"/>
          </w:r>
        </w:sdtContent>
      </w:sdt>
      <w:r>
        <w:rPr>
          <w:b w:val="false"/>
          <w:bCs w:val="false"/>
          <w:i w:val="false"/>
          <w:iCs w:val="false"/>
          <w:color w:val="000000"/>
        </w:rPr>
        <w:t xml:space="preserve">.</w:t>
      </w:r>
    </w:p>
    <w:p>
      <w:pPr>
        <w:pStyle w:val="ListParagraph"/>
        <w:numPr>
          <w:ilvl w:val="0"/>
          <w:numId w:val="3"/>
        </w:numPr>
      </w:pPr>
      <w:r>
        <w:rPr>
          <w:b/>
          <w:bCs/>
          <w:i w:val="false"/>
          <w:iCs w:val="false"/>
          <w:color w:val="000000"/>
        </w:rPr>
        <w:t xml:space="preserve">Aspect Weighting Matrix (</w:t>
      </w:r>
      <m:oMath xmlns:m="http://schemas.openxmlformats.org/officeDocument/2006/math" xmlns:w="http://schemas.openxmlformats.org/wordprocessingml/2006/main">
        <m:r>
          <m:t xml:space="preserve">W</m:t>
        </m:r>
      </m:oMath>
      <w:r>
        <w:rPr>
          <w:b/>
          <w:bCs/>
          <w:i w:val="false"/>
          <w:iCs w:val="false"/>
          <w:color w:val="000000"/>
        </w:rPr>
        <w:t xml:space="preserve">):</w:t>
      </w:r>
      <w:r>
        <w:rPr>
          <w:b w:val="false"/>
          <w:bCs w:val="false"/>
          <w:i w:val="false"/>
          <w:iCs w:val="false"/>
          <w:color w:val="000000"/>
        </w:rPr>
        <w:t xml:space="preserve"> Weights specific ESG topics based on their materiality according to standards like GRI or SASB </w:t>
      </w:r>
      <w:sdt>
        <w:sdtPr>
          <w:tag w:val="CITATION DorfleitnerG23"/>
          <w:id w:val="1133944395"/>
          <w:citation/>
        </w:sdtPr>
        <w:sdtContent>
          <w:r>
            <w:fldChar w:fldCharType="begin"/>
          </w:r>
          <w:r>
            <w:instrText xml:space="preserve"> CITATION DorfleitnerG23 \l 1033 </w:instrText>
          </w:r>
          <w:r>
            <w:fldChar w:fldCharType="separate"/>
          </w:r>
          <w:r>
            <w:rPr>
              <w:noProof/>
            </w:rPr>
            <w:t xml:space="preserve">(Dorfleitner &amp; Utz, 2023)</w:t>
          </w:r>
          <w:r>
            <w:fldChar w:fldCharType="end"/>
          </w:r>
        </w:sdtContent>
      </w:sdt>
      <w:r>
        <w:rPr>
          <w:b w:val="false"/>
          <w:bCs w:val="false"/>
          <w:i w:val="false"/>
          <w:iCs w:val="false"/>
          <w:color w:val="000000"/>
        </w:rPr>
        <w:t xml:space="preserve">.</w:t>
      </w:r>
    </w:p>
    <w:p>
      <w:pPr>
        <w:pStyle w:val="ListParagraph"/>
        <w:numPr>
          <w:ilvl w:val="0"/>
          <w:numId w:val="3"/>
        </w:numPr>
      </w:pPr>
      <w:r>
        <w:rPr>
          <w:b/>
          <w:bCs/>
          <w:i w:val="false"/>
          <w:iCs w:val="false"/>
          <w:color w:val="000000"/>
        </w:rPr>
        <w:t xml:space="preserve">Topic Distribution (</w:t>
      </w:r>
      <m:oMath xmlns:m="http://schemas.openxmlformats.org/officeDocument/2006/math" xmlns:w="http://schemas.openxmlformats.org/wordprocessingml/2006/main">
        <m:r>
          <m:t xml:space="preserve">θ</m:t>
        </m:r>
      </m:oMath>
      <w:r>
        <w:rPr>
          <w:b/>
          <w:bCs/>
          <w:i w:val="false"/>
          <w:iCs w:val="false"/>
          <w:color w:val="000000"/>
        </w:rPr>
        <w:t xml:space="preserve">):</w:t>
      </w:r>
      <w:r>
        <w:rPr>
          <w:b w:val="false"/>
          <w:bCs w:val="false"/>
          <w:i w:val="false"/>
          <w:iCs w:val="false"/>
          <w:color w:val="000000"/>
        </w:rPr>
        <w:t xml:space="preserve"> Uses Latent Dirichlet Allocation logic to represent the probability of various ESG topics across the entire report </w:t>
      </w:r>
      <w:sdt>
        <w:sdtPr>
          <w:tag w:val="CITATION WangX25"/>
          <w:id w:val="1881573115"/>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p>
      <w:pPr>
        <w:pStyle w:val="ListParagraph"/>
        <w:numPr>
          <w:ilvl w:val="0"/>
          <w:numId w:val="3"/>
        </w:numPr>
      </w:pPr>
      <w:r>
        <w:rPr>
          <w:b/>
          <w:bCs/>
          <w:i w:val="false"/>
          <w:iCs w:val="false"/>
          <w:color w:val="000000"/>
        </w:rPr>
        <w:t xml:space="preserve">Semantic Drift Index:</w:t>
      </w:r>
      <w:r>
        <w:rPr>
          <w:b w:val="false"/>
          <w:bCs w:val="false"/>
          <w:i w:val="false"/>
          <w:iCs w:val="false"/>
          <w:color w:val="000000"/>
        </w:rPr>
        <w:t xml:space="preserve"> Measures the change in claim specificity or tone as the report progresses from the executive summary to the data tables.</w:t>
      </w:r>
    </w:p>
    <w:p>
      <w:pPr>
        <w:pStyle w:val="ListParagraph"/>
        <w:numPr>
          <w:ilvl w:val="0"/>
          <w:numId w:val="3"/>
        </w:numPr>
      </w:pPr>
      <w:r>
        <w:rPr>
          <w:b/>
          <w:bCs/>
          <w:i w:val="false"/>
          <w:iCs w:val="false"/>
          <w:color w:val="000000"/>
        </w:rPr>
        <w:t xml:space="preserve">Numerical Information Density:</w:t>
      </w:r>
      <w:r>
        <w:rPr>
          <w:b w:val="false"/>
          <w:bCs w:val="false"/>
          <w:i w:val="false"/>
          <w:iCs w:val="false"/>
          <w:color w:val="000000"/>
        </w:rPr>
        <w:t xml:space="preserve"> The ratio of extracted numerical entities to the total token count in a given section.</w:t>
      </w:r>
    </w:p>
    <w:p>
      <w:pPr>
        <w:pStyle w:val="ListParagraph"/>
        <w:numPr>
          <w:ilvl w:val="0"/>
          <w:numId w:val="3"/>
        </w:numPr>
      </w:pPr>
      <w:r>
        <w:rPr>
          <w:b/>
          <w:bCs/>
          <w:i w:val="false"/>
          <w:iCs w:val="false"/>
          <w:color w:val="000000"/>
        </w:rPr>
        <w:t xml:space="preserve">Grounding Score:</w:t>
      </w:r>
      <w:r>
        <w:rPr>
          <w:b w:val="false"/>
          <w:bCs w:val="false"/>
          <w:i w:val="false"/>
          <w:iCs w:val="false"/>
          <w:color w:val="000000"/>
        </w:rPr>
        <w:t xml:space="preserve"> A binary index checking if an extracted claim </w:t>
      </w:r>
      <m:oMath xmlns:m="http://schemas.openxmlformats.org/officeDocument/2006/math" xmlns:w="http://schemas.openxmlformats.org/wordprocessingml/2006/main">
        <m:r>
          <m:t xml:space="preserve">c</m:t>
        </m:r>
      </m:oMath>
      <w:r>
        <w:rPr>
          <w:b w:val="false"/>
          <w:bCs w:val="false"/>
          <w:i w:val="false"/>
          <w:iCs w:val="false"/>
          <w:color w:val="000000"/>
        </w:rPr>
        <w:t xml:space="preserve"> is mapped to a specific page or table reference </w:t>
      </w:r>
      <m:oMath xmlns:m="http://schemas.openxmlformats.org/officeDocument/2006/math" xmlns:w="http://schemas.openxmlformats.org/wordprocessingml/2006/main">
        <m:r>
          <m:t xml:space="preserve">g</m:t>
        </m:r>
      </m:oMath>
      <w:r>
        <w:rPr>
          <w:b w:val="false"/>
          <w:bCs w:val="false"/>
          <w:i w:val="false"/>
          <w:iCs w:val="false"/>
          <w:color w:val="000000"/>
        </w:rPr>
        <w:t xml:space="preserve">.</w:t>
      </w:r>
    </w:p>
    <w:p>
      <w:pPr>
        <w:pStyle w:val="ListParagraph"/>
        <w:numPr>
          <w:ilvl w:val="0"/>
          <w:numId w:val="3"/>
        </w:numPr>
      </w:pPr>
      <w:r>
        <w:rPr>
          <w:b/>
          <w:bCs/>
          <w:i w:val="false"/>
          <w:iCs w:val="false"/>
          <w:color w:val="000000"/>
        </w:rPr>
        <w:t xml:space="preserve">Model Confidence Score (</w:t>
      </w:r>
      <m:oMath xmlns:m="http://schemas.openxmlformats.org/officeDocument/2006/math" xmlns:w="http://schemas.openxmlformats.org/wordprocessingml/2006/main">
        <m:r>
          <m:t xml:space="preserve">C</m:t>
        </m:r>
      </m:oMath>
      <w:r>
        <w:rPr>
          <w:b/>
          <w:bCs/>
          <w:i w:val="false"/>
          <w:iCs w:val="false"/>
          <w:color w:val="000000"/>
        </w:rPr>
        <w:t xml:space="preserve">):</w:t>
      </w:r>
      <w:r>
        <w:rPr>
          <w:b w:val="false"/>
          <w:bCs w:val="false"/>
          <w:i w:val="false"/>
          <w:iCs w:val="false"/>
          <w:color w:val="000000"/>
        </w:rPr>
        <w:t xml:space="preserve"> The internal probability value for each extracted aspect-action pair.</w:t>
      </w:r>
    </w:p>
    <w:p>
      <w:pPr>
        <w:pStyle w:val="Heading3"/>
      </w:pPr>
      <w:r>
        <w:rPr>
          <w:b w:val="false"/>
          <w:bCs w:val="false"/>
          <w:i w:val="false"/>
          <w:iCs w:val="false"/>
          <w:color w:val="000000"/>
        </w:rPr>
        <w:t xml:space="preserve">Section 3.5: Greenwashing &amp; Framework Logic (Eq. 21–30)</w:t>
      </w:r>
    </w:p>
    <w:p>
      <w:r>
        <w:rPr>
          <w:b w:val="false"/>
          <w:bCs w:val="false"/>
          <w:i/>
          <w:iCs/>
          <w:color w:val="000000"/>
        </w:rPr>
        <w:t xml:space="preserve">This is the 11-page "Primary Innovation." These equations define your unique audit logic.</w:t>
      </w:r>
    </w:p>
    <w:p>
      <w:pPr>
        <w:pStyle w:val="ListParagraph"/>
        <w:numPr>
          <w:ilvl w:val="0"/>
          <w:numId w:val="4"/>
        </w:numPr>
      </w:pPr>
      <w:r>
        <w:rPr>
          <w:b/>
          <w:bCs/>
          <w:i w:val="false"/>
          <w:iCs w:val="false"/>
          <w:color w:val="000000"/>
        </w:rPr>
        <w:t xml:space="preserve">ESG-washing Severity Index (</w:t>
      </w:r>
      <m:oMath xmlns:m="http://schemas.openxmlformats.org/officeDocument/2006/math" xmlns:w="http://schemas.openxmlformats.org/wordprocessingml/2006/main">
        <m:r>
          <m:t xml:space="preserve">ESGSI</m:t>
        </m:r>
      </m:oMath>
      <w:r>
        <w:rPr>
          <w:b/>
          <w:bCs/>
          <w:i w:val="false"/>
          <w:iCs w:val="false"/>
          <w:color w:val="000000"/>
        </w:rPr>
        <w:t xml:space="preserve">):</w:t>
      </w:r>
      <w:r>
        <w:rPr>
          <w:b w:val="false"/>
          <w:bCs w:val="false"/>
          <w:i w:val="false"/>
          <w:iCs w:val="false"/>
          <w:color w:val="000000"/>
        </w:rPr>
        <w:t xml:space="preserve"> A formula assessing the discrepancy between portrayed sentiment and the actual density of concrete metrics </w:t>
      </w:r>
      <w:sdt>
        <w:sdtPr>
          <w:tag w:val="CITATION LagasioV24"/>
          <w:id w:val="782344699"/>
          <w:citation/>
        </w:sdtPr>
        <w:sdtContent>
          <w:r>
            <w:fldChar w:fldCharType="begin"/>
          </w:r>
          <w:r>
            <w:instrText xml:space="preserve"> CITATION LagasioV24 \l 1033 </w:instrText>
          </w:r>
          <w:r>
            <w:fldChar w:fldCharType="separate"/>
          </w:r>
          <w:r>
            <w:rPr>
              <w:noProof/>
            </w:rPr>
            <w:t xml:space="preserve">(Lagasio, 2024)</w:t>
          </w:r>
          <w:r>
            <w:fldChar w:fldCharType="end"/>
          </w:r>
        </w:sdtContent>
      </w:sdt>
      <w:r>
        <w:rPr>
          <w:b w:val="false"/>
          <w:bCs w:val="false"/>
          <w:i w:val="false"/>
          <w:iCs w:val="false"/>
          <w:color w:val="000000"/>
        </w:rPr>
        <w:t xml:space="preserve">.</w:t>
      </w:r>
    </w:p>
    <w:p>
      <w:pPr>
        <w:pStyle w:val="ListParagraph"/>
        <w:numPr>
          <w:ilvl w:val="0"/>
          <w:numId w:val="4"/>
        </w:numPr>
      </w:pPr>
      <w:r>
        <w:rPr>
          <w:b/>
          <w:bCs/>
          <w:i w:val="false"/>
          <w:iCs w:val="false"/>
          <w:color w:val="000000"/>
        </w:rPr>
        <w:t xml:space="preserve">Apparent Green Performance (</w:t>
      </w:r>
      <m:oMath xmlns:m="http://schemas.openxmlformats.org/officeDocument/2006/math" xmlns:w="http://schemas.openxmlformats.org/wordprocessingml/2006/main">
        <m:r>
          <m:t xml:space="preserve">a</m:t>
        </m:r>
        <m:sSup>
          <m:sSupPr>
            <m:ctrlPr/>
          </m:sSupPr>
          <m:e>
            <m:r>
              <m:t xml:space="preserve">p</m:t>
            </m:r>
          </m:e>
          <m:sup>
            <m:r>
              <m:t xml:space="preserve">(j)</m:t>
            </m:r>
          </m:sup>
        </m:sSup>
      </m:oMath>
      <w:r>
        <w:rPr>
          <w:b/>
          <w:bCs/>
          <w:i w:val="false"/>
          <w:iCs w:val="false"/>
          <w:color w:val="000000"/>
        </w:rPr>
        <w:t xml:space="preserve">):</w:t>
      </w:r>
      <w:r>
        <w:rPr>
          <w:b w:val="false"/>
          <w:bCs w:val="false"/>
          <w:i w:val="false"/>
          <w:iCs w:val="false"/>
          <w:color w:val="000000"/>
        </w:rPr>
        <w:t xml:space="preserve"> A weighted sum of ESG pillars, textual representation, and virtue-signaling features </w:t>
      </w:r>
      <w:sdt>
        <w:sdtPr>
          <w:tag w:val="CITATION DorfleitnerG23"/>
          <w:id w:val="616625850"/>
          <w:citation/>
        </w:sdtPr>
        <w:sdtContent>
          <w:r>
            <w:fldChar w:fldCharType="begin"/>
          </w:r>
          <w:r>
            <w:instrText xml:space="preserve"> CITATION DorfleitnerG23 \l 1033 </w:instrText>
          </w:r>
          <w:r>
            <w:fldChar w:fldCharType="separate"/>
          </w:r>
          <w:r>
            <w:rPr>
              <w:noProof/>
            </w:rPr>
            <w:t xml:space="preserve">(Dorfleitner &amp; Utz, 2023)</w:t>
          </w:r>
          <w:r>
            <w:fldChar w:fldCharType="end"/>
          </w:r>
        </w:sdtContent>
      </w:sdt>
      <w:r>
        <w:rPr>
          <w:b w:val="false"/>
          <w:bCs w:val="false"/>
          <w:i w:val="false"/>
          <w:iCs w:val="false"/>
          <w:color w:val="000000"/>
        </w:rPr>
        <w:t xml:space="preserve">.</w:t>
      </w:r>
    </w:p>
    <w:p>
      <w:pPr>
        <w:pStyle w:val="ListParagraph"/>
        <w:numPr>
          <w:ilvl w:val="0"/>
          <w:numId w:val="4"/>
        </w:numPr>
      </w:pPr>
      <w:r>
        <w:rPr>
          <w:b/>
          <w:bCs/>
          <w:i w:val="false"/>
          <w:iCs w:val="false"/>
          <w:color w:val="000000"/>
        </w:rPr>
        <w:t xml:space="preserve">Discrepancy Score (</w:t>
      </w:r>
      <m:oMath xmlns:m="http://schemas.openxmlformats.org/officeDocument/2006/math" xmlns:w="http://schemas.openxmlformats.org/wordprocessingml/2006/main">
        <m:r>
          <w:rPr/>
          <m:rPr>
            <m:nor/>
            <m:sty m:val="undefined"/>
          </m:rPr>
          <m:t xml:space="preserve">Δ</m:t>
        </m:r>
        <m:r>
          <m:t xml:space="preserve"/>
        </m:r>
      </m:oMath>
      <w:r>
        <w:rPr>
          <w:b/>
          <w:bCs/>
          <w:i w:val="false"/>
          <w:iCs w:val="false"/>
          <w:color w:val="000000"/>
        </w:rPr>
        <w:t xml:space="preserve">):</w:t>
      </w:r>
      <w:r>
        <w:rPr>
          <w:b w:val="false"/>
          <w:bCs w:val="false"/>
          <w:i w:val="false"/>
          <w:iCs w:val="false"/>
          <w:color w:val="000000"/>
        </w:rPr>
        <w:t xml:space="preserve"> The semantic delta between the company’s stated sentiment and the audit sentiment extracted by a benchmark like ClimateBERT </w:t>
      </w:r>
      <w:sdt>
        <w:sdtPr>
          <w:tag w:val="CITATION VinellaA23"/>
          <w:id w:val="1924332024"/>
          <w:citation/>
        </w:sdtPr>
        <w:sdtContent>
          <w:r>
            <w:fldChar w:fldCharType="begin"/>
          </w:r>
          <w:r>
            <w:instrText xml:space="preserve"> CITATION VinellaA23 \l 1033 </w:instrText>
          </w:r>
          <w:r>
            <w:fldChar w:fldCharType="separate"/>
          </w:r>
          <w:r>
            <w:rPr>
              <w:noProof/>
            </w:rPr>
            <w:t xml:space="preserve">(Vinella et al., 2023)</w:t>
          </w:r>
          <w:r>
            <w:fldChar w:fldCharType="end"/>
          </w:r>
        </w:sdtContent>
      </w:sdt>
      <w:r>
        <w:rPr>
          <w:b w:val="false"/>
          <w:bCs w:val="false"/>
          <w:i w:val="false"/>
          <w:iCs w:val="false"/>
          <w:color w:val="000000"/>
        </w:rPr>
        <w:t xml:space="preserve">.</w:t>
      </w:r>
    </w:p>
    <w:p>
      <w:pPr>
        <w:pStyle w:val="ListParagraph"/>
        <w:numPr>
          <w:ilvl w:val="0"/>
          <w:numId w:val="4"/>
        </w:numPr>
      </w:pPr>
      <w:r>
        <w:rPr>
          <w:b/>
          <w:bCs/>
          <w:i w:val="false"/>
          <w:iCs w:val="false"/>
          <w:color w:val="000000"/>
        </w:rPr>
        <w:t xml:space="preserve">Greenwashing Risk Score (</w:t>
      </w:r>
      <m:oMath xmlns:m="http://schemas.openxmlformats.org/officeDocument/2006/math" xmlns:w="http://schemas.openxmlformats.org/wordprocessingml/2006/main">
        <m:sSub>
          <m:sSubPr>
            <m:ctrlPr/>
          </m:sSubPr>
          <m:e>
            <m:r>
              <m:t xml:space="preserve">G</m:t>
            </m:r>
          </m:e>
          <m:sub>
            <m:r>
              <m:t xml:space="preserve">R</m:t>
            </m:r>
          </m:sub>
        </m:sSub>
      </m:oMath>
      <w:r>
        <w:rPr>
          <w:b/>
          <w:bCs/>
          <w:i w:val="false"/>
          <w:iCs w:val="false"/>
          <w:color w:val="000000"/>
        </w:rPr>
        <w:t xml:space="preserve">):</w:t>
      </w:r>
      <w:r>
        <w:rPr>
          <w:b w:val="false"/>
          <w:bCs w:val="false"/>
          <w:i w:val="false"/>
          <w:iCs w:val="false"/>
          <w:color w:val="000000"/>
        </w:rPr>
        <w:t xml:space="preserve"> A fusion function that combines explicit topic features and implicit sentiment to predict the probability of greenwashing </w:t>
      </w:r>
      <w:sdt>
        <w:sdtPr>
          <w:tag w:val="CITATION WangX25"/>
          <w:id w:val="405708814"/>
          <w:citation/>
        </w:sdtPr>
        <w:sdtContent>
          <w:r>
            <w:fldChar w:fldCharType="begin"/>
          </w:r>
          <w:r>
            <w:instrText xml:space="preserve"> CITATION WangX25 \m VinellaA23 \l 1033 </w:instrText>
          </w:r>
          <w:r>
            <w:fldChar w:fldCharType="separate"/>
          </w:r>
          <w:r>
            <w:rPr>
              <w:noProof/>
            </w:rPr>
            <w:t xml:space="preserve">(Vinella et al., 2023; Wang et al., 2025)</w:t>
          </w:r>
          <w:r>
            <w:fldChar w:fldCharType="end"/>
          </w:r>
        </w:sdtContent>
      </w:sdt>
      <w:r>
        <w:rPr>
          <w:b w:val="false"/>
          <w:bCs w:val="false"/>
          <w:i w:val="false"/>
          <w:iCs w:val="false"/>
          <w:color w:val="000000"/>
        </w:rPr>
        <w:t xml:space="preserve">.</w:t>
      </w:r>
    </w:p>
    <w:p>
      <w:pPr>
        <w:pStyle w:val="ListParagraph"/>
        <w:numPr>
          <w:ilvl w:val="0"/>
          <w:numId w:val="4"/>
        </w:numPr>
      </w:pPr>
      <w:r>
        <w:rPr>
          <w:b/>
          <w:bCs/>
          <w:i w:val="false"/>
          <w:iCs w:val="false"/>
          <w:color w:val="000000"/>
        </w:rPr>
        <w:t xml:space="preserve">Virtue Signaling Score:</w:t>
      </w:r>
      <w:r>
        <w:rPr>
          <w:b w:val="false"/>
          <w:bCs w:val="false"/>
          <w:i w:val="false"/>
          <w:iCs w:val="false"/>
          <w:color w:val="000000"/>
        </w:rPr>
        <w:t xml:space="preserve"> A sub-metric identifying high-sentiment statements that lack any linked quantitative actions or metrics </w:t>
      </w:r>
      <w:sdt>
        <w:sdtPr>
          <w:tag w:val="CITATION DorfleitnerG23"/>
          <w:id w:val="1194275255"/>
          <w:citation/>
        </w:sdtPr>
        <w:sdtContent>
          <w:r>
            <w:fldChar w:fldCharType="begin"/>
          </w:r>
          <w:r>
            <w:instrText xml:space="preserve"> CITATION DorfleitnerG23 \l 1033 </w:instrText>
          </w:r>
          <w:r>
            <w:fldChar w:fldCharType="separate"/>
          </w:r>
          <w:r>
            <w:rPr>
              <w:noProof/>
            </w:rPr>
            <w:t xml:space="preserve">(Dorfleitner &amp; Utz, 2023)</w:t>
          </w:r>
          <w:r>
            <w:fldChar w:fldCharType="end"/>
          </w:r>
        </w:sdtContent>
      </w:sdt>
      <w:r>
        <w:rPr>
          <w:b w:val="false"/>
          <w:bCs w:val="false"/>
          <w:i w:val="false"/>
          <w:iCs w:val="false"/>
          <w:color w:val="000000"/>
        </w:rPr>
        <w:t xml:space="preserve">.</w:t>
      </w:r>
    </w:p>
    <w:p>
      <w:pPr>
        <w:pStyle w:val="ListParagraph"/>
        <w:numPr>
          <w:ilvl w:val="0"/>
          <w:numId w:val="4"/>
        </w:numPr>
      </w:pPr>
      <w:r>
        <w:rPr>
          <w:b/>
          <w:bCs/>
          <w:i w:val="false"/>
          <w:iCs w:val="false"/>
          <w:color w:val="000000"/>
        </w:rPr>
        <w:t xml:space="preserve">Claim Consistency Ratio (</w:t>
      </w:r>
      <m:oMath xmlns:m="http://schemas.openxmlformats.org/officeDocument/2006/math" xmlns:w="http://schemas.openxmlformats.org/wordprocessingml/2006/main">
        <m:r>
          <m:t xml:space="preserve">CR</m:t>
        </m:r>
      </m:oMath>
      <w:r>
        <w:rPr>
          <w:b/>
          <w:bCs/>
          <w:i w:val="false"/>
          <w:iCs w:val="false"/>
          <w:color w:val="000000"/>
        </w:rPr>
        <w:t xml:space="preserve">):</w:t>
      </w:r>
      <w:r>
        <w:rPr>
          <w:b w:val="false"/>
          <w:bCs w:val="false"/>
          <w:i w:val="false"/>
          <w:iCs w:val="false"/>
          <w:color w:val="000000"/>
        </w:rPr>
        <w:t xml:space="preserve"> The percentage of qualitative claims that are supported by verifiable metrics within the same document.</w:t>
      </w:r>
    </w:p>
    <w:p>
      <w:pPr>
        <w:pStyle w:val="ListParagraph"/>
        <w:numPr>
          <w:ilvl w:val="0"/>
          <w:numId w:val="4"/>
        </w:numPr>
      </w:pPr>
      <w:r>
        <w:rPr>
          <w:b/>
          <w:bCs/>
          <w:i w:val="false"/>
          <w:iCs w:val="false"/>
          <w:color w:val="000000"/>
        </w:rPr>
        <w:t xml:space="preserve">Temporal Contradiction (</w:t>
      </w:r>
      <m:oMath xmlns:m="http://schemas.openxmlformats.org/officeDocument/2006/math" xmlns:w="http://schemas.openxmlformats.org/wordprocessingml/2006/main">
        <m:r>
          <m:t xml:space="preserve">TC</m:t>
        </m:r>
      </m:oMath>
      <w:r>
        <w:rPr>
          <w:b/>
          <w:bCs/>
          <w:i w:val="false"/>
          <w:iCs w:val="false"/>
          <w:color w:val="000000"/>
        </w:rPr>
        <w:t xml:space="preserve">):</w:t>
      </w:r>
      <w:r>
        <w:rPr>
          <w:b w:val="false"/>
          <w:bCs w:val="false"/>
          <w:i w:val="false"/>
          <w:iCs w:val="false"/>
          <w:color w:val="000000"/>
        </w:rPr>
        <w:t xml:space="preserve"> A function measuring the change in a specific KPI relative to the previous year’s commitment.</w:t>
      </w:r>
    </w:p>
    <w:p>
      <w:pPr>
        <w:pStyle w:val="ListParagraph"/>
        <w:numPr>
          <w:ilvl w:val="0"/>
          <w:numId w:val="4"/>
        </w:numPr>
      </w:pPr>
      <w:r>
        <w:rPr>
          <w:b/>
          <w:bCs/>
          <w:i w:val="false"/>
          <w:iCs w:val="false"/>
          <w:color w:val="000000"/>
        </w:rPr>
        <w:t xml:space="preserve">Peer-Relative Risk:</w:t>
      </w:r>
      <w:r>
        <w:rPr>
          <w:b w:val="false"/>
          <w:bCs w:val="false"/>
          <w:i w:val="false"/>
          <w:iCs w:val="false"/>
          <w:color w:val="000000"/>
        </w:rPr>
        <w:t xml:space="preserve"> A normalization formula that ranks a company’s greenwashing risk against its industry-specific peers </w:t>
      </w:r>
      <w:sdt>
        <w:sdtPr>
          <w:tag w:val="CITATION YuE20"/>
          <w:id w:val="412899088"/>
          <w:citation/>
        </w:sdtPr>
        <w:sdtContent>
          <w:r>
            <w:fldChar w:fldCharType="begin"/>
          </w:r>
          <w:r>
            <w:instrText xml:space="preserve"> CITATION YuE20 \l 1033 </w:instrText>
          </w:r>
          <w:r>
            <w:fldChar w:fldCharType="separate"/>
          </w:r>
          <w:r>
            <w:rPr>
              <w:noProof/>
            </w:rPr>
            <w:t xml:space="preserve">(Yu et al., 2020)</w:t>
          </w:r>
          <w:r>
            <w:fldChar w:fldCharType="end"/>
          </w:r>
        </w:sdtContent>
      </w:sdt>
      <w:r>
        <w:rPr>
          <w:b w:val="false"/>
          <w:bCs w:val="false"/>
          <w:i w:val="false"/>
          <w:iCs w:val="false"/>
          <w:color w:val="000000"/>
        </w:rPr>
        <w:t xml:space="preserve">.</w:t>
      </w:r>
    </w:p>
    <w:p>
      <w:pPr>
        <w:pStyle w:val="ListParagraph"/>
        <w:numPr>
          <w:ilvl w:val="0"/>
          <w:numId w:val="4"/>
        </w:numPr>
      </w:pPr>
      <w:r>
        <w:rPr>
          <w:b/>
          <w:bCs/>
          <w:i w:val="false"/>
          <w:iCs w:val="false"/>
          <w:color w:val="000000"/>
        </w:rPr>
        <w:t xml:space="preserve">Sustainability Quality Rating (</w:t>
      </w:r>
      <m:oMath xmlns:m="http://schemas.openxmlformats.org/officeDocument/2006/math" xmlns:w="http://schemas.openxmlformats.org/wordprocessingml/2006/main">
        <m:r>
          <m:t xml:space="preserve">QR</m:t>
        </m:r>
      </m:oMath>
      <w:r>
        <w:rPr>
          <w:b/>
          <w:bCs/>
          <w:i w:val="false"/>
          <w:iCs w:val="false"/>
          <w:color w:val="000000"/>
        </w:rPr>
        <w:t xml:space="preserve">):</w:t>
      </w:r>
      <w:r>
        <w:rPr>
          <w:b w:val="false"/>
          <w:bCs w:val="false"/>
          <w:i w:val="false"/>
          <w:iCs w:val="false"/>
          <w:color w:val="000000"/>
        </w:rPr>
        <w:t xml:space="preserve"> An aggregated score based on completeness, clarity, and consistency </w:t>
      </w:r>
      <w:sdt>
        <w:sdtPr>
          <w:tag w:val="CITATION ConfettoM21"/>
          <w:id w:val="1689821718"/>
          <w:citation/>
        </w:sdtPr>
        <w:sdtContent>
          <w:r>
            <w:fldChar w:fldCharType="begin"/>
          </w:r>
          <w:r>
            <w:instrText xml:space="preserve"> CITATION ConfettoM21 \l 1033 </w:instrText>
          </w:r>
          <w:r>
            <w:fldChar w:fldCharType="separate"/>
          </w:r>
          <w:r>
            <w:rPr>
              <w:noProof/>
            </w:rPr>
            <w:t xml:space="preserve">(Confetto &amp; Covucci, 2021)</w:t>
          </w:r>
          <w:r>
            <w:fldChar w:fldCharType="end"/>
          </w:r>
        </w:sdtContent>
      </w:sdt>
      <w:r>
        <w:rPr>
          <w:b w:val="false"/>
          <w:bCs w:val="false"/>
          <w:i w:val="false"/>
          <w:iCs w:val="false"/>
          <w:color w:val="000000"/>
        </w:rPr>
        <w:t xml:space="preserve">:</w:t>
      </w:r>
      <w:r>
        <w:br/>
      </w:r>
      <m:oMath xmlns:m="http://schemas.openxmlformats.org/officeDocument/2006/math" xmlns:w="http://schemas.openxmlformats.org/wordprocessingml/2006/main">
        <m:r>
          <m:t xml:space="preserve">QR=</m:t>
        </m:r>
        <m:f>
          <m:fPr>
            <m:type m:val="bar"/>
          </m:fPr>
          <m:num>
            <m:r>
              <m:t xml:space="preserve">Com</m:t>
            </m:r>
            <m:r>
              <m:t xml:space="preserve">(</m:t>
            </m:r>
            <m:sSub>
              <m:sSubPr>
                <m:ctrlPr/>
              </m:sSubPr>
              <m:e>
                <m:r>
                  <m:t xml:space="preserve">K</m:t>
                </m:r>
              </m:e>
              <m:sub>
                <m:r>
                  <m:t xml:space="preserve">1</m:t>
                </m:r>
              </m:sub>
            </m:sSub>
            <m:r>
              <m:t xml:space="preserve">)</m:t>
            </m:r>
            <m:r>
              <m:t xml:space="preserve">+Cla</m:t>
            </m:r>
            <m:r>
              <m:t xml:space="preserve">(</m:t>
            </m:r>
            <m:sSub>
              <m:sSubPr>
                <m:ctrlPr/>
              </m:sSubPr>
              <m:e>
                <m:r>
                  <m:t xml:space="preserve">K</m:t>
                </m:r>
              </m:e>
              <m:sub>
                <m:r>
                  <m:t xml:space="preserve">2</m:t>
                </m:r>
              </m:sub>
            </m:sSub>
            <m:r>
              <m:t xml:space="preserve">)</m:t>
            </m:r>
            <m:r>
              <m:t xml:space="preserve">+Con</m:t>
            </m:r>
            <m:r>
              <m:t xml:space="preserve">(</m:t>
            </m:r>
            <m:sSub>
              <m:sSubPr>
                <m:ctrlPr/>
              </m:sSubPr>
              <m:e>
                <m:r>
                  <m:t xml:space="preserve">K</m:t>
                </m:r>
              </m:e>
              <m:sub>
                <m:r>
                  <m:t xml:space="preserve">3</m:t>
                </m:r>
              </m:sub>
            </m:sSub>
            <m:r>
              <m:t xml:space="preserve">)</m:t>
            </m:r>
          </m:num>
          <m:den>
            <m:r>
              <m:t xml:space="preserve">3</m:t>
            </m:r>
          </m:den>
        </m:f>
      </m:oMath>
    </w:p>
    <w:p>
      <w:pPr>
        <w:pStyle w:val="ListParagraph"/>
        <w:numPr>
          <w:ilvl w:val="0"/>
          <w:numId w:val="4"/>
        </w:numPr>
      </w:pPr>
      <w:r>
        <w:rPr>
          <w:b/>
          <w:bCs/>
          <w:i w:val="false"/>
          <w:iCs w:val="false"/>
          <w:color w:val="000000"/>
        </w:rPr>
        <w:t xml:space="preserve">Final Audit Classifier (</w:t>
      </w:r>
      <m:oMath xmlns:m="http://schemas.openxmlformats.org/officeDocument/2006/math" xmlns:w="http://schemas.openxmlformats.org/wordprocessingml/2006/main">
        <m:limUpp>
          <m:e>
            <m:r>
              <m:t xml:space="preserve">y</m:t>
            </m:r>
          </m:e>
          <m:lim>
            <m:r>
              <m:t xml:space="preserve">^</m:t>
            </m:r>
          </m:lim>
        </m:limUpp>
      </m:oMath>
      <w:r>
        <w:rPr>
          <w:b/>
          <w:bCs/>
          <w:i w:val="false"/>
          <w:iCs w:val="false"/>
          <w:color w:val="000000"/>
        </w:rPr>
        <w:t xml:space="preserve">):</w:t>
      </w:r>
      <w:r>
        <w:rPr>
          <w:b w:val="false"/>
          <w:bCs w:val="false"/>
          <w:i w:val="false"/>
          <w:iCs w:val="false"/>
          <w:color w:val="000000"/>
        </w:rPr>
        <w:t xml:space="preserve"> The output of your dual-channel model, categorizing the report into risk levels (e.g., Low, Moderate, High) </w:t>
      </w:r>
      <w:sdt>
        <w:sdtPr>
          <w:tag w:val="CITATION WangX25"/>
          <w:id w:val="140892584"/>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Section 4.2: Evaluation Metrics (Eq. 31–35)</w:t>
      </w:r>
    </w:p>
    <w:p>
      <w:pPr>
        <w:pStyle w:val="ListParagraph"/>
        <w:numPr>
          <w:ilvl w:val="0"/>
          <w:numId w:val="5"/>
        </w:numPr>
      </w:pPr>
      <w:r>
        <w:rPr>
          <w:b/>
          <w:bCs/>
          <w:i w:val="false"/>
          <w:iCs w:val="false"/>
          <w:color w:val="000000"/>
        </w:rPr>
        <w:t xml:space="preserve">Precision (P):</w:t>
      </w:r>
      <w:r>
        <w:rPr>
          <w:b w:val="false"/>
          <w:bCs w:val="false"/>
          <w:i w:val="false"/>
          <w:iCs w:val="false"/>
          <w:color w:val="000000"/>
        </w:rPr>
        <w:t xml:space="preserve"> The proportion of correctly predicted ESG aspects relative to the total predicted </w:t>
      </w:r>
      <w:sdt>
        <w:sdtPr>
          <w:tag w:val="CITATION ZhangH24"/>
          <w:id w:val="1812302224"/>
          <w:citation/>
        </w:sdtPr>
        <w:sdtContent>
          <w:r>
            <w:fldChar w:fldCharType="begin"/>
          </w:r>
          <w:r>
            <w:instrText xml:space="preserve"> CITATION ZhangH24 \l 1033 </w:instrText>
          </w:r>
          <w:r>
            <w:fldChar w:fldCharType="separate"/>
          </w:r>
          <w:r>
            <w:rPr>
              <w:noProof/>
            </w:rPr>
            <w:t xml:space="preserve">(Zhang et al., 2024)</w:t>
          </w:r>
          <w:r>
            <w:fldChar w:fldCharType="end"/>
          </w:r>
        </w:sdtContent>
      </w:sdt>
      <w:r>
        <w:rPr>
          <w:b w:val="false"/>
          <w:bCs w:val="false"/>
          <w:i w:val="false"/>
          <w:iCs w:val="false"/>
          <w:color w:val="000000"/>
        </w:rPr>
        <w:t xml:space="preserve">.</w:t>
      </w:r>
    </w:p>
    <w:p>
      <w:pPr>
        <w:pStyle w:val="ListParagraph"/>
        <w:numPr>
          <w:ilvl w:val="0"/>
          <w:numId w:val="5"/>
        </w:numPr>
      </w:pPr>
      <w:r>
        <w:rPr>
          <w:b/>
          <w:bCs/>
          <w:i w:val="false"/>
          <w:iCs w:val="false"/>
          <w:color w:val="000000"/>
        </w:rPr>
        <w:t xml:space="preserve">Recall (R):</w:t>
      </w:r>
      <w:r>
        <w:rPr>
          <w:b w:val="false"/>
          <w:bCs w:val="false"/>
          <w:i w:val="false"/>
          <w:iCs w:val="false"/>
          <w:color w:val="000000"/>
        </w:rPr>
        <w:t xml:space="preserve"> The proportion of actual ESG aspects correctly identified by the model </w:t>
      </w:r>
      <w:sdt>
        <w:sdtPr>
          <w:tag w:val="CITATION ZhangH24"/>
          <w:id w:val="1635086082"/>
          <w:citation/>
        </w:sdtPr>
        <w:sdtContent>
          <w:r>
            <w:fldChar w:fldCharType="begin"/>
          </w:r>
          <w:r>
            <w:instrText xml:space="preserve"> CITATION ZhangH24 \l 1033 </w:instrText>
          </w:r>
          <w:r>
            <w:fldChar w:fldCharType="separate"/>
          </w:r>
          <w:r>
            <w:rPr>
              <w:noProof/>
            </w:rPr>
            <w:t xml:space="preserve">(Zhang et al., 2024)</w:t>
          </w:r>
          <w:r>
            <w:fldChar w:fldCharType="end"/>
          </w:r>
        </w:sdtContent>
      </w:sdt>
      <w:r>
        <w:rPr>
          <w:b w:val="false"/>
          <w:bCs w:val="false"/>
          <w:i w:val="false"/>
          <w:iCs w:val="false"/>
          <w:color w:val="000000"/>
        </w:rPr>
        <w:t xml:space="preserve">.</w:t>
      </w:r>
    </w:p>
    <w:p>
      <w:pPr>
        <w:pStyle w:val="ListParagraph"/>
        <w:numPr>
          <w:ilvl w:val="0"/>
          <w:numId w:val="5"/>
        </w:numPr>
      </w:pPr>
      <w:r>
        <w:rPr>
          <w:b/>
          <w:bCs/>
          <w:i w:val="false"/>
          <w:iCs w:val="false"/>
          <w:color w:val="000000"/>
        </w:rPr>
        <w:t xml:space="preserve">F1-Score (F1):</w:t>
      </w:r>
      <w:r>
        <w:rPr>
          <w:b w:val="false"/>
          <w:bCs w:val="false"/>
          <w:i w:val="false"/>
          <w:iCs w:val="false"/>
          <w:color w:val="000000"/>
        </w:rPr>
        <w:t xml:space="preserve"> The harmonic mean of precision and recall: </w:t>
      </w:r>
      <m:oMath xmlns:m="http://schemas.openxmlformats.org/officeDocument/2006/math" xmlns:w="http://schemas.openxmlformats.org/wordprocessingml/2006/main">
        <m:r>
          <m:t xml:space="preserve">F1=2⋅</m:t>
        </m:r>
        <m:f>
          <m:fPr>
            <m:type m:val="bar"/>
          </m:fPr>
          <m:num>
            <m:r>
              <m:t xml:space="preserve">P⋅R</m:t>
            </m:r>
          </m:num>
          <m:den>
            <m:r>
              <m:t xml:space="preserve">P+R</m:t>
            </m:r>
          </m:den>
        </m:f>
      </m:oMath>
      <w:r>
        <w:rPr>
          <w:b w:val="false"/>
          <w:bCs w:val="false"/>
          <w:i w:val="false"/>
          <w:iCs w:val="false"/>
          <w:color w:val="000000"/>
        </w:rPr>
        <w:t xml:space="preserve"> </w:t>
      </w:r>
      <w:sdt>
        <w:sdtPr>
          <w:tag w:val="CITATION ZhangH24"/>
          <w:id w:val="105029464"/>
          <w:citation/>
        </w:sdtPr>
        <w:sdtContent>
          <w:r>
            <w:fldChar w:fldCharType="begin"/>
          </w:r>
          <w:r>
            <w:instrText xml:space="preserve"> CITATION ZhangH24 \l 1033 </w:instrText>
          </w:r>
          <w:r>
            <w:fldChar w:fldCharType="separate"/>
          </w:r>
          <w:r>
            <w:rPr>
              <w:noProof/>
            </w:rPr>
            <w:t xml:space="preserve">(Zhang et al., 2024)</w:t>
          </w:r>
          <w:r>
            <w:fldChar w:fldCharType="end"/>
          </w:r>
        </w:sdtContent>
      </w:sdt>
      <w:r>
        <w:rPr>
          <w:b w:val="false"/>
          <w:bCs w:val="false"/>
          <w:i w:val="false"/>
          <w:iCs w:val="false"/>
          <w:color w:val="000000"/>
        </w:rPr>
        <w:t xml:space="preserve">.</w:t>
      </w:r>
    </w:p>
    <w:p>
      <w:pPr>
        <w:pStyle w:val="ListParagraph"/>
        <w:numPr>
          <w:ilvl w:val="0"/>
          <w:numId w:val="5"/>
        </w:numPr>
      </w:pPr>
      <w:r>
        <w:rPr>
          <w:b/>
          <w:bCs/>
          <w:i w:val="false"/>
          <w:iCs w:val="false"/>
          <w:color w:val="000000"/>
        </w:rPr>
        <w:t xml:space="preserve">Strict Accuracy:</w:t>
      </w:r>
      <w:r>
        <w:rPr>
          <w:b w:val="false"/>
          <w:bCs w:val="false"/>
          <w:i w:val="false"/>
          <w:iCs w:val="false"/>
          <w:color w:val="000000"/>
        </w:rPr>
        <w:t xml:space="preserve"> An indicator function measuring if the entire aspect-action-sentiment triplet is correct </w:t>
      </w:r>
      <w:sdt>
        <w:sdtPr>
          <w:tag w:val="CITATION MaY18"/>
          <w:id w:val="2140765872"/>
          <w:citation/>
        </w:sdtPr>
        <w:sdtContent>
          <w:r>
            <w:fldChar w:fldCharType="begin"/>
          </w:r>
          <w:r>
            <w:instrText xml:space="preserve"> CITATION MaY18 \l 1033 </w:instrText>
          </w:r>
          <w:r>
            <w:fldChar w:fldCharType="separate"/>
          </w:r>
          <w:r>
            <w:rPr>
              <w:noProof/>
            </w:rPr>
            <w:t xml:space="preserve">(Ma et al., 2018)</w:t>
          </w:r>
          <w:r>
            <w:fldChar w:fldCharType="end"/>
          </w:r>
        </w:sdtContent>
      </w:sdt>
      <w:r>
        <w:rPr>
          <w:b w:val="false"/>
          <w:bCs w:val="false"/>
          <w:i w:val="false"/>
          <w:iCs w:val="false"/>
          <w:color w:val="000000"/>
        </w:rPr>
        <w:t xml:space="preserve">.</w:t>
      </w:r>
    </w:p>
    <w:p>
      <w:pPr>
        <w:pStyle w:val="ListParagraph"/>
        <w:numPr>
          <w:ilvl w:val="0"/>
          <w:numId w:val="5"/>
        </w:numPr>
      </w:pPr>
      <w:r>
        <w:rPr>
          <w:b/>
          <w:bCs/>
          <w:i w:val="false"/>
          <w:iCs w:val="false"/>
          <w:color w:val="000000"/>
        </w:rPr>
        <w:t xml:space="preserve">Inter-Annotator Agreement (</w:t>
      </w:r>
      <m:oMath xmlns:m="http://schemas.openxmlformats.org/officeDocument/2006/math" xmlns:w="http://schemas.openxmlformats.org/wordprocessingml/2006/main">
        <m:r>
          <m:t xml:space="preserve">κ</m:t>
        </m:r>
      </m:oMath>
      <w:r>
        <w:rPr>
          <w:b/>
          <w:bCs/>
          <w:i w:val="false"/>
          <w:iCs w:val="false"/>
          <w:color w:val="000000"/>
        </w:rPr>
        <w:t xml:space="preserve">):</w:t>
      </w:r>
      <w:r>
        <w:rPr>
          <w:b w:val="false"/>
          <w:bCs w:val="false"/>
          <w:i w:val="false"/>
          <w:iCs w:val="false"/>
          <w:color w:val="000000"/>
        </w:rPr>
        <w:t xml:space="preserve"> Cohen’s Kappa used to validate the reliability of your "Silver Dataset" against human expert labels.</w:t>
      </w:r>
    </w:p>
    <w:p>
      <w:r>
        <w:rPr>
          <w:b w:val="false"/>
          <w:bCs w:val="false"/>
          <w:i w:val="false"/>
          <w:iCs w:val="false"/>
          <w:color w:val="000000"/>
        </w:rPr>
        <w:t xml:space="preserve">By including these 35 equations, you will ensure that your Methodology and Experiments chapters have the technical depth required to meet your 37-page and 13-page targets, respectively. These quantitative measures facilitate a rigorous assessment of model performance, ensuring that precision, recall, and F1 calculations align with established standards for classification tasks </w:t>
      </w:r>
      <w:sdt>
        <w:sdtPr>
          <w:tag w:val="CITATION MaY23"/>
          <w:id w:val="175554006"/>
          <w:citation/>
        </w:sdtPr>
        <w:sdtContent>
          <w:r>
            <w:fldChar w:fldCharType="begin"/>
          </w:r>
          <w:r>
            <w:instrText xml:space="preserve"> CITATION MaY23 \m ChungT24 \p 886 \l 1033 </w:instrText>
          </w:r>
          <w:r>
            <w:fldChar w:fldCharType="separate"/>
          </w:r>
          <w:r>
            <w:rPr>
              <w:noProof/>
            </w:rPr>
            <w:t xml:space="preserve">(Chung &amp; Latifi, 2024; Ma et al., 2023)</w:t>
          </w:r>
          <w:r>
            <w:fldChar w:fldCharType="end"/>
          </w:r>
        </w:sdtContent>
      </w:sdt>
      <w:r>
        <w:rPr>
          <w:b w:val="false"/>
          <w:bCs w:val="false"/>
          <w:i w:val="false"/>
          <w:iCs w:val="false"/>
          <w:color w:val="000000"/>
        </w:rPr>
        <w:t xml:space="preserve">. </w:t>
      </w:r>
    </w:p>
    <w:p>
      <w:r>
        <w:rPr>
          <w:b w:val="false"/>
          <w:bCs w:val="false"/>
          <w:i w:val="false"/>
          <w:iCs w:val="false"/>
          <w:color w:val="000000"/>
        </w:rPr>
        <w:t xml:space="preserve">Daris Dzakwan, to achieve the </w:t>
      </w:r>
      <w:r>
        <w:rPr>
          <w:b/>
          <w:bCs/>
          <w:i w:val="false"/>
          <w:iCs w:val="false"/>
          <w:color w:val="000000"/>
        </w:rPr>
        <w:t xml:space="preserve">"Highly Detailed"</w:t>
      </w:r>
      <w:r>
        <w:rPr>
          <w:b w:val="false"/>
          <w:bCs w:val="false"/>
          <w:i w:val="false"/>
          <w:iCs w:val="false"/>
          <w:color w:val="000000"/>
        </w:rPr>
        <w:t xml:space="preserve"> depth (15+ pages) required for Sections 3.3 and 3.4 of your methodology, you must move beyond listing equations and instead provide a rigorous mathematical justification for each.</w:t>
      </w:r>
    </w:p>
    <w:p>
      <w:r>
        <w:rPr>
          <w:b w:val="false"/>
          <w:bCs w:val="false"/>
          <w:i w:val="false"/>
          <w:iCs w:val="false"/>
          <w:color w:val="000000"/>
        </w:rPr>
        <w:t xml:space="preserve">Following your request, here is the first </w:t>
      </w:r>
      <w:r>
        <w:rPr>
          <w:b/>
          <w:bCs/>
          <w:i w:val="false"/>
          <w:iCs w:val="false"/>
          <w:color w:val="000000"/>
        </w:rPr>
        <w:t xml:space="preserve">batch</w:t>
      </w:r>
      <w:r>
        <w:rPr>
          <w:b w:val="false"/>
          <w:bCs w:val="false"/>
          <w:i w:val="false"/>
          <w:iCs w:val="false"/>
          <w:color w:val="000000"/>
        </w:rPr>
        <w:t xml:space="preserve"> of detailed elaborations for the formulations in your preprocessing and feature extraction layers.</w:t>
      </w:r>
    </w:p>
    <w:p>
      <w:pPr>
        <w:pBdr>
          <w:bottom w:val="single" w:color="auto" w:sz="6" w:space="1"/>
        </w:pBdr>
        <w:spacing w:after="240" w:before="240"/>
      </w:pPr>
    </w:p>
    <w:p>
      <w:pPr>
        <w:pStyle w:val="Heading3"/>
      </w:pPr>
      <w:r>
        <w:rPr>
          <w:b w:val="false"/>
          <w:bCs w:val="false"/>
          <w:i w:val="false"/>
          <w:iCs w:val="false"/>
          <w:color w:val="000000"/>
        </w:rPr>
        <w:t xml:space="preserve">Section 3.3: Preprocessing &amp; Standardization (Eq. 1–5)</w:t>
      </w:r>
    </w:p>
    <w:p>
      <w:r>
        <w:rPr>
          <w:b w:val="false"/>
          <w:bCs w:val="false"/>
          <w:i/>
          <w:iCs/>
          <w:color w:val="000000"/>
        </w:rPr>
        <w:t xml:space="preserve">This section provides the "Data Standardization" foundation (4 pages). Its role is to ensure that raw PDF noise does not pollute the ABSA extraction.</w:t>
      </w:r>
    </w:p>
    <w:p>
      <w:pPr>
        <w:pStyle w:val="Heading4"/>
      </w:pPr>
      <w:r>
        <w:rPr>
          <w:b w:val="false"/>
          <w:bCs w:val="false"/>
          <w:i w:val="false"/>
          <w:iCs w:val="false"/>
          <w:color w:val="000000"/>
        </w:rPr>
        <w:t xml:space="preserve">Equation 1: Text Cleaning Filter (</w:t>
      </w:r>
      <m:oMath xmlns:m="http://schemas.openxmlformats.org/officeDocument/2006/math" xmlns:w="http://schemas.openxmlformats.org/wordprocessingml/2006/main">
        <m:sSub>
          <m:sSubPr>
            <m:ctrlPr/>
          </m:sSubPr>
          <m:e>
            <m:r>
              <m:t xml:space="preserve">f</m:t>
            </m:r>
          </m:e>
          <m:sub>
            <m:r>
              <m:t xml:space="preserve">clean</m:t>
            </m:r>
          </m:sub>
        </m:sSub>
      </m:oMath>
      <w:r>
        <w:rPr>
          <w:b w:val="false"/>
          <w:bCs w:val="false"/>
          <w:i w:val="false"/>
          <w:iCs w:val="false"/>
          <w:color w:val="000000"/>
        </w:rPr>
        <w:t xml:space="preserve">)</w:t>
      </w:r>
    </w:p>
    <w:p>
      <w:r>
        <w:rPr>
          <w:b w:val="false"/>
          <w:bCs w:val="false"/>
          <w:i w:val="false"/>
          <w:iCs w:val="false"/>
          <w:color w:val="000000"/>
        </w:rPr>
        <w:t xml:space="preserve">To remove non-semantic artifacts like headers, footers, and legal page-numbering, we define an indicator function based on token density and positional metadata:</w:t>
      </w:r>
    </w:p>
    <w:p>
      <w:pPr>
        <w:jc w:val="center"/>
      </w:pPr>
      <m:oMath xmlns:m="http://schemas.openxmlformats.org/officeDocument/2006/math" xmlns:w="http://schemas.openxmlformats.org/wordprocessingml/2006/main">
        <m:sSub>
          <m:sSubPr>
            <m:ctrlPr/>
          </m:sSubPr>
          <m:e>
            <m:r>
              <m:t xml:space="preserve">f</m:t>
            </m:r>
          </m:e>
          <m:sub>
            <m:r>
              <m:t xml:space="preserve">clean</m:t>
            </m:r>
          </m:sub>
        </m:sSub>
        <m:r>
          <m:t xml:space="preserve">(s)</m:t>
        </m:r>
        <m:r>
          <m:t xml:space="preserve">=</m:t>
        </m:r>
        <m:r>
          <m:t xml:space="preserve">{</m:t>
        </m:r>
        <m:m>
          <m:mPr>
            <m:baseJc m:val="center"/>
            <m:plcHide m:val="on"/>
            <m:mcs>
              <m:mc>
                <m:mcPr>
                  <m:count m:val="2"/>
                  <m:mcJc m:val="center"/>
                </m:mcPr>
              </m:mc>
            </m:mcs>
          </m:mPr>
          <m:mr>
            <m:e>
              <m:r>
                <m:t xml:space="preserve">1</m:t>
              </m:r>
            </m:e>
            <m:e>
              <m:r>
                <m:rPr>
                  <m:nor/>
                </m:rPr>
                <m:t xml:space="preserve">ifLen</m:t>
              </m:r>
              <m:r>
                <m:t xml:space="preserve">(s)</m:t>
              </m:r>
              <m:r>
                <m:t xml:space="preserve">&gt;</m:t>
              </m:r>
              <m:sSub>
                <m:sSubPr>
                  <m:ctrlPr/>
                </m:sSubPr>
                <m:e>
                  <m:r>
                    <m:t xml:space="preserve">λ</m:t>
                  </m:r>
                </m:e>
                <m:sub>
                  <m:r>
                    <m:t xml:space="preserve">len</m:t>
                  </m:r>
                </m:sub>
              </m:sSub>
              <m:r>
                <m:rPr>
                  <m:nor/>
                </m:rPr>
                <m:t xml:space="preserve">andDens</m:t>
              </m:r>
              <m:r>
                <m:t xml:space="preserve">(s)</m:t>
              </m:r>
              <m:r>
                <m:t xml:space="preserve">&lt;</m:t>
              </m:r>
              <m:sSub>
                <m:sSubPr>
                  <m:ctrlPr/>
                </m:sSubPr>
                <m:e>
                  <m:r>
                    <m:t xml:space="preserve">λ</m:t>
                  </m:r>
                </m:e>
                <m:sub>
                  <m:r>
                    <m:t xml:space="preserve">noise</m:t>
                  </m:r>
                </m:sub>
              </m:sSub>
            </m:e>
          </m:mr>
          <m:mr>
            <m:e>
              <m:r>
                <m:t xml:space="preserve">0</m:t>
              </m:r>
            </m:e>
            <m:e>
              <m:r>
                <m:rPr>
                  <m:nor/>
                </m:rPr>
                <m:t xml:space="preserve">otherwise</m:t>
              </m:r>
            </m:e>
          </m:mr>
        </m:m>
        <m:r>
          <m:t xml:space="preserve"/>
        </m:r>
      </m:oMath>
    </w:p>
    <w:p>
      <w:r>
        <w:rPr>
          <w:b w:val="false"/>
          <w:bCs w:val="false"/>
          <w:i w:val="false"/>
          <w:iCs w:val="false"/>
          <w:color w:val="000000"/>
        </w:rPr>
        <w:t xml:space="preserve">* **Logic:** Here, </w:t>
      </w:r>
      <m:oMath xmlns:m="http://schemas.openxmlformats.org/officeDocument/2006/math" xmlns:w="http://schemas.openxmlformats.org/wordprocessingml/2006/main">
        <m:r>
          <m:t xml:space="preserve">s</m:t>
        </m:r>
      </m:oMath>
      <w:r>
        <w:rPr>
          <w:b w:val="false"/>
          <w:bCs w:val="false"/>
          <w:i w:val="false"/>
          <w:iCs w:val="false"/>
          <w:color w:val="000000"/>
        </w:rPr>
        <w:t xml:space="preserve"> is a candidate text segment. </w:t>
      </w:r>
      <m:oMath xmlns:m="http://schemas.openxmlformats.org/officeDocument/2006/math" xmlns:w="http://schemas.openxmlformats.org/wordprocessingml/2006/main">
        <m:sSub>
          <m:sSubPr>
            <m:ctrlPr/>
          </m:sSubPr>
          <m:e>
            <m:r>
              <m:t xml:space="preserve">λ</m:t>
            </m:r>
          </m:e>
          <m:sub>
            <m:r>
              <m:t xml:space="preserve">len</m:t>
            </m:r>
          </m:sub>
        </m:sSub>
      </m:oMath>
      <w:r>
        <w:rPr>
          <w:b w:val="false"/>
          <w:bCs w:val="false"/>
          <w:i w:val="false"/>
          <w:iCs w:val="false"/>
          <w:color w:val="000000"/>
        </w:rPr>
        <w:t xml:space="preserve"> represents the minimum character threshold to be considered a "sentence," while </w:t>
      </w:r>
      <m:oMath xmlns:m="http://schemas.openxmlformats.org/officeDocument/2006/math" xmlns:w="http://schemas.openxmlformats.org/wordprocessingml/2006/main">
        <m:sSub>
          <m:sSubPr>
            <m:ctrlPr/>
          </m:sSubPr>
          <m:e>
            <m:r>
              <m:t xml:space="preserve">λ</m:t>
            </m:r>
          </m:e>
          <m:sub>
            <m:r>
              <m:t xml:space="preserve">noise</m:t>
            </m:r>
          </m:sub>
        </m:sSub>
      </m:oMath>
      <w:r>
        <w:rPr>
          <w:b w:val="false"/>
          <w:bCs w:val="false"/>
          <w:i w:val="false"/>
          <w:iCs w:val="false"/>
          <w:color w:val="000000"/>
        </w:rPr>
        <w:t xml:space="preserve"> filters out segments with high non-alphabetic character ratios (common in complex PDF tables or legal footers).</w:t>
      </w:r>
    </w:p>
    <w:p>
      <w:pPr>
        <w:pStyle w:val="Heading4"/>
      </w:pPr>
      <w:r>
        <w:rPr>
          <w:b w:val="false"/>
          <w:bCs w:val="false"/>
          <w:i w:val="false"/>
          <w:iCs w:val="false"/>
          <w:color w:val="000000"/>
        </w:rPr>
        <w:t xml:space="preserve">Equation 2: Page-Aware Overlap Window (</w:t>
      </w:r>
      <m:oMath xmlns:m="http://schemas.openxmlformats.org/officeDocument/2006/math" xmlns:w="http://schemas.openxmlformats.org/wordprocessingml/2006/main">
        <m:r>
          <w:rPr/>
          <m:rPr>
            <m:nor/>
            <m:sty m:val="undefined"/>
          </m:rPr>
          <m:t xml:space="preserve">Ω</m:t>
        </m:r>
        <m:r>
          <m:t xml:space="preserve"/>
        </m:r>
      </m:oMath>
      <w:r>
        <w:rPr>
          <w:b w:val="false"/>
          <w:bCs w:val="false"/>
          <w:i w:val="false"/>
          <w:iCs w:val="false"/>
          <w:color w:val="000000"/>
        </w:rPr>
        <w:t xml:space="preserve">)</w:t>
      </w:r>
    </w:p>
    <w:p>
      <w:r>
        <w:rPr>
          <w:b w:val="false"/>
          <w:bCs w:val="false"/>
          <w:i w:val="false"/>
          <w:iCs w:val="false"/>
          <w:color w:val="000000"/>
        </w:rPr>
        <w:t xml:space="preserve">To maintain semantic continuity during the transition between PDF pages—where an ESG claim might be split across two pages—we utilize a sliding window batching strategy:</w:t>
      </w:r>
    </w:p>
    <w:p>
      <w:pPr>
        <w:jc w:val="center"/>
      </w:pPr>
      <m:oMath xmlns:m="http://schemas.openxmlformats.org/officeDocument/2006/math" xmlns:w="http://schemas.openxmlformats.org/wordprocessingml/2006/main">
        <m:sSub>
          <m:sSubPr>
            <m:ctrlPr/>
          </m:sSubPr>
          <m:e>
            <m:r>
              <w:rPr/>
              <m:rPr>
                <m:nor/>
                <m:sty m:val="undefined"/>
              </m:rPr>
              <m:t xml:space="preserve">Ω</m:t>
            </m:r>
            <m:r>
              <m:t xml:space="preserve"/>
            </m:r>
          </m:e>
          <m:sub>
            <m:r>
              <m:t xml:space="preserve">i</m:t>
            </m:r>
          </m:sub>
        </m:sSub>
        <m:r>
          <m:t xml:space="preserve">=</m:t>
        </m:r>
        <m:r>
          <m:t xml:space="preserve">{</m:t>
        </m:r>
        <m:sSub>
          <m:sSubPr>
            <m:ctrlPr/>
          </m:sSubPr>
          <m:e>
            <m:r>
              <m:t xml:space="preserve">w</m:t>
            </m:r>
          </m:e>
          <m:sub>
            <m:r>
              <m:t xml:space="preserve">i⋅</m:t>
            </m:r>
            <m:r>
              <m:t xml:space="preserve">(L−O)</m:t>
            </m:r>
          </m:sub>
        </m:sSub>
        <m:r>
          <m:t xml:space="preserve">,…,</m:t>
        </m:r>
        <m:sSub>
          <m:sSubPr>
            <m:ctrlPr/>
          </m:sSubPr>
          <m:e>
            <m:r>
              <m:t xml:space="preserve">w</m:t>
            </m:r>
          </m:e>
          <m:sub>
            <m:r>
              <m:t xml:space="preserve">i⋅</m:t>
            </m:r>
            <m:r>
              <m:t xml:space="preserve">(L−O)</m:t>
            </m:r>
            <m:r>
              <m:t xml:space="preserve">+L</m:t>
            </m:r>
          </m:sub>
        </m:sSub>
        <m:r>
          <m:t xml:space="preserve">}</m:t>
        </m:r>
      </m:oMath>
    </w:p>
    <w:p>
      <w:r>
        <w:rPr>
          <w:b w:val="false"/>
          <w:bCs w:val="false"/>
          <w:i w:val="false"/>
          <w:iCs w:val="false"/>
          <w:color w:val="000000"/>
        </w:rPr>
        <w:t xml:space="preserve">* **Logic:** </w:t>
      </w:r>
      <m:oMath xmlns:m="http://schemas.openxmlformats.org/officeDocument/2006/math" xmlns:w="http://schemas.openxmlformats.org/wordprocessingml/2006/main">
        <m:r>
          <m:t xml:space="preserve">L</m:t>
        </m:r>
      </m:oMath>
      <w:r>
        <w:rPr>
          <w:b w:val="false"/>
          <w:bCs w:val="false"/>
          <w:i w:val="false"/>
          <w:iCs w:val="false"/>
          <w:color w:val="000000"/>
        </w:rPr>
        <w:t xml:space="preserve"> is the fixed sequence length (e.g., 512 tokens), and </w:t>
      </w:r>
      <m:oMath xmlns:m="http://schemas.openxmlformats.org/officeDocument/2006/math" xmlns:w="http://schemas.openxmlformats.org/wordprocessingml/2006/main">
        <m:r>
          <m:t xml:space="preserve">O</m:t>
        </m:r>
      </m:oMath>
      <w:r>
        <w:rPr>
          <w:b w:val="false"/>
          <w:bCs w:val="false"/>
          <w:i w:val="false"/>
          <w:iCs w:val="false"/>
          <w:color w:val="000000"/>
        </w:rPr>
        <w:t xml:space="preserve"> is the overlap size (e.g., 50 tokens). This ensures that the **contextual cues** necessary for Aspect-Action linking </w:t>
      </w:r>
      <w:sdt>
        <w:sdtPr>
          <w:tag w:val="CITATION OngK25"/>
          <w:id w:val="1105878977"/>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 are not lost at the boundary of a batch.</w:t>
      </w:r>
    </w:p>
    <w:p>
      <w:pPr>
        <w:pStyle w:val="Heading4"/>
      </w:pPr>
      <w:r>
        <w:rPr>
          <w:b w:val="false"/>
          <w:bCs w:val="false"/>
          <w:i w:val="false"/>
          <w:iCs w:val="false"/>
          <w:color w:val="000000"/>
        </w:rPr>
        <w:t xml:space="preserve">Equation 5: Sentence Vectorization</w:t>
      </w:r>
    </w:p>
    <w:p>
      <w:r>
        <w:rPr>
          <w:b w:val="false"/>
          <w:bCs w:val="false"/>
          <w:i w:val="false"/>
          <w:iCs w:val="false"/>
          <w:color w:val="000000"/>
        </w:rPr>
        <w:t xml:space="preserve">Each cleaned sentence </w:t>
      </w:r>
      <m:oMath xmlns:m="http://schemas.openxmlformats.org/officeDocument/2006/math" xmlns:w="http://schemas.openxmlformats.org/wordprocessingml/2006/main">
        <m:sSub>
          <m:sSubPr>
            <m:ctrlPr/>
          </m:sSubPr>
          <m:e>
            <m:r>
              <m:t xml:space="preserve">s</m:t>
            </m:r>
          </m:e>
          <m:sub>
            <m:r>
              <m:t xml:space="preserve">i</m:t>
            </m:r>
          </m:sub>
        </m:sSub>
      </m:oMath>
      <w:r>
        <w:rPr>
          <w:b w:val="false"/>
          <w:bCs w:val="false"/>
          <w:i w:val="false"/>
          <w:iCs w:val="false"/>
          <w:color w:val="000000"/>
        </w:rPr>
        <w:t xml:space="preserve"> is mapped into a high-dimensional latent space to facilitate semantic similarity checks:</w:t>
      </w:r>
    </w:p>
    <w:p>
      <w:pPr>
        <w:jc w:val="center"/>
      </w:pPr>
      <m:oMath xmlns:m="http://schemas.openxmlformats.org/officeDocument/2006/math" xmlns:w="http://schemas.openxmlformats.org/wordprocessingml/2006/main">
        <m:sSub>
          <m:sSubPr>
            <m:ctrlPr/>
          </m:sSubPr>
          <m:e>
            <m:r>
              <m:t xml:space="preserve">𝐯</m:t>
            </m:r>
          </m:e>
          <m:sub>
            <m:r>
              <m:t xml:space="preserve">i</m:t>
            </m:r>
          </m:sub>
        </m:sSub>
        <m:r>
          <m:t xml:space="preserve">=</m:t>
        </m:r>
        <m:r>
          <m:rPr>
            <m:nor/>
          </m:rPr>
          <m:t xml:space="preserve">Pool</m:t>
        </m:r>
        <m:r>
          <m:t xml:space="preserve">(</m:t>
        </m:r>
        <m:r>
          <m:rPr>
            <m:nor/>
          </m:rPr>
          <m:t xml:space="preserve">Encoder</m:t>
        </m:r>
        <m:r>
          <m:t xml:space="preserve">(</m:t>
        </m:r>
        <m:sSub>
          <m:sSubPr>
            <m:ctrlPr/>
          </m:sSubPr>
          <m:e>
            <m:r>
              <m:t xml:space="preserve">s</m:t>
            </m:r>
          </m:e>
          <m:sub>
            <m:r>
              <m:t xml:space="preserve">i</m:t>
            </m:r>
          </m:sub>
        </m:sSub>
        <m:r>
          <m:t xml:space="preserve">)</m:t>
        </m:r>
        <m:r>
          <m:t xml:space="preserve">)</m:t>
        </m:r>
      </m:oMath>
    </w:p>
    <w:p>
      <w:r>
        <w:rPr>
          <w:b w:val="false"/>
          <w:bCs w:val="false"/>
          <w:i w:val="false"/>
          <w:iCs w:val="false"/>
          <w:color w:val="000000"/>
        </w:rPr>
        <w:t xml:space="preserve">* **Logic:** Using a transformer-based encoder (like ClimateBERT), we extract the [CLS] token or use mean pooling to represent the sentence as a vector </w:t>
      </w:r>
      <m:oMath xmlns:m="http://schemas.openxmlformats.org/officeDocument/2006/math" xmlns:w="http://schemas.openxmlformats.org/wordprocessingml/2006/main">
        <m:sSub>
          <m:sSubPr>
            <m:ctrlPr/>
          </m:sSubPr>
          <m:e>
            <m:r>
              <m:t xml:space="preserve">𝐯</m:t>
            </m:r>
          </m:e>
          <m:sub>
            <m:r>
              <m:t xml:space="preserve">i</m:t>
            </m:r>
          </m:sub>
        </m:sSub>
        <m:r>
          <m:t xml:space="preserve">∈</m:t>
        </m:r>
        <m:sSup>
          <m:sSupPr>
            <m:ctrlPr/>
          </m:sSupPr>
          <m:e>
            <m:r>
              <m:t xml:space="preserve">ℝ</m:t>
            </m:r>
          </m:e>
          <m:sup>
            <m:r>
              <m:t xml:space="preserve">d</m:t>
            </m:r>
          </m:sup>
        </m:sSup>
      </m:oMath>
      <w:r>
        <w:rPr>
          <w:b w:val="false"/>
          <w:bCs w:val="false"/>
          <w:i w:val="false"/>
          <w:iCs w:val="false"/>
          <w:color w:val="000000"/>
        </w:rPr>
        <w:t xml:space="preserve">. This vector is essential for later comparing the company's claim against industry benchmarks </w:t>
      </w:r>
      <w:sdt>
        <w:sdtPr>
          <w:tag w:val="CITATION VinellaA23"/>
          <w:id w:val="713957097"/>
          <w:citation/>
        </w:sdtPr>
        <w:sdtContent>
          <w:r>
            <w:fldChar w:fldCharType="begin"/>
          </w:r>
          <w:r>
            <w:instrText xml:space="preserve"> CITATION VinellaA23 \l 1033 </w:instrText>
          </w:r>
          <w:r>
            <w:fldChar w:fldCharType="separate"/>
          </w:r>
          <w:r>
            <w:rPr>
              <w:noProof/>
            </w:rPr>
            <w:t xml:space="preserve">(Vinella et al., 2023)</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3"/>
      </w:pPr>
      <w:r>
        <w:rPr>
          <w:b w:val="false"/>
          <w:bCs w:val="false"/>
          <w:i w:val="false"/>
          <w:iCs w:val="false"/>
          <w:color w:val="000000"/>
        </w:rPr>
        <w:t xml:space="preserve">Section 3.4: Feature Extraction &amp; ABSA (Eq. 6–20)</w:t>
      </w:r>
    </w:p>
    <w:p>
      <w:r>
        <w:rPr>
          <w:b w:val="false"/>
          <w:bCs w:val="false"/>
          <w:i/>
          <w:iCs/>
          <w:color w:val="000000"/>
        </w:rPr>
        <w:t xml:space="preserve">This is the 15-page "Meat." Its role is to quantify the communicative cues needed to generate the "final audit" output.</w:t>
      </w:r>
    </w:p>
    <w:p>
      <w:pPr>
        <w:pStyle w:val="Heading4"/>
      </w:pPr>
      <w:r>
        <w:rPr>
          <w:b w:val="false"/>
          <w:bCs w:val="false"/>
          <w:i w:val="false"/>
          <w:iCs w:val="false"/>
          <w:color w:val="000000"/>
        </w:rPr>
        <w:t xml:space="preserve">Equation 6: ABSA Tuple Formalization (</w:t>
      </w:r>
      <m:oMath xmlns:m="http://schemas.openxmlformats.org/officeDocument/2006/math" xmlns:w="http://schemas.openxmlformats.org/wordprocessingml/2006/main">
        <m:r>
          <m:t xml:space="preserve">T</m:t>
        </m:r>
      </m:oMath>
      <w:r>
        <w:rPr>
          <w:b w:val="false"/>
          <w:bCs w:val="false"/>
          <w:i w:val="false"/>
          <w:iCs w:val="false"/>
          <w:color w:val="000000"/>
        </w:rPr>
        <w:t xml:space="preserve">)</w:t>
      </w:r>
    </w:p>
    <w:p>
      <w:r>
        <w:rPr>
          <w:b w:val="false"/>
          <w:bCs w:val="false"/>
          <w:i w:val="false"/>
          <w:iCs w:val="false"/>
          <w:color w:val="000000"/>
        </w:rPr>
        <w:t xml:space="preserve">We formalize every ESG claim extracted from the report as a multi-dimensional tuple to capture the nuance of corporate behavior </w:t>
      </w:r>
      <w:sdt>
        <w:sdtPr>
          <w:tag w:val="CITATION OngK25"/>
          <w:id w:val="819828848"/>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T=</m:t>
        </m:r>
        <m:r>
          <m:t xml:space="preserve">{a,s,v,c,g}</m:t>
        </m:r>
      </m:oMath>
    </w:p>
    <w:p>
      <w:r>
        <w:rPr>
          <w:b w:val="false"/>
          <w:bCs w:val="false"/>
          <w:i w:val="false"/>
          <w:iCs w:val="false"/>
          <w:color w:val="000000"/>
        </w:rPr>
        <w:t xml:space="preserve">* **Aspect (</w:t>
      </w:r>
      <m:oMath xmlns:m="http://schemas.openxmlformats.org/officeDocument/2006/math" xmlns:w="http://schemas.openxmlformats.org/wordprocessingml/2006/main">
        <m:r>
          <m:t xml:space="preserve">a</m:t>
        </m:r>
      </m:oMath>
      <w:r>
        <w:rPr>
          <w:b w:val="false"/>
          <w:bCs w:val="false"/>
          <w:i w:val="false"/>
          <w:iCs w:val="false"/>
          <w:color w:val="000000"/>
        </w:rPr>
        <w:t xml:space="preserve">):** The ESG category (e.g., Carbon Neutrality). * **Sentiment (</w:t>
      </w:r>
      <m:oMath xmlns:m="http://schemas.openxmlformats.org/officeDocument/2006/math" xmlns:w="http://schemas.openxmlformats.org/wordprocessingml/2006/main">
        <m:r>
          <m:t xml:space="preserve">s</m:t>
        </m:r>
      </m:oMath>
      <w:r>
        <w:rPr>
          <w:b w:val="false"/>
          <w:bCs w:val="false"/>
          <w:i w:val="false"/>
          <w:iCs w:val="false"/>
          <w:color w:val="000000"/>
        </w:rPr>
        <w:t xml:space="preserve">):** The polarity score mapping the tone of the claim </w:t>
      </w:r>
      <w:sdt>
        <w:sdtPr>
          <w:tag w:val="CITATION ConsoliS22"/>
          <w:id w:val="293238310"/>
          <w:citation/>
        </w:sdtPr>
        <w:sdtContent>
          <w:r>
            <w:fldChar w:fldCharType="begin"/>
          </w:r>
          <w:r>
            <w:instrText xml:space="preserve"> CITATION ConsoliS22 \l 1033 </w:instrText>
          </w:r>
          <w:r>
            <w:fldChar w:fldCharType="separate"/>
          </w:r>
          <w:r>
            <w:rPr>
              <w:noProof/>
            </w:rPr>
            <w:t xml:space="preserve">(Consoli et al., 2022)</w:t>
          </w:r>
          <w:r>
            <w:fldChar w:fldCharType="end"/>
          </w:r>
        </w:sdtContent>
      </w:sdt>
      <w:r>
        <w:rPr>
          <w:b w:val="false"/>
          <w:bCs w:val="false"/>
          <w:i w:val="false"/>
          <w:iCs w:val="false"/>
          <w:color w:val="000000"/>
        </w:rPr>
        <w:t xml:space="preserve">. * **Action/Verb (</w:t>
      </w:r>
      <m:oMath xmlns:m="http://schemas.openxmlformats.org/officeDocument/2006/math" xmlns:w="http://schemas.openxmlformats.org/wordprocessingml/2006/main">
        <m:r>
          <m:t xml:space="preserve">v</m:t>
        </m:r>
      </m:oMath>
      <w:r>
        <w:rPr>
          <w:b w:val="false"/>
          <w:bCs w:val="false"/>
          <w:i w:val="false"/>
          <w:iCs w:val="false"/>
          <w:color w:val="000000"/>
        </w:rPr>
        <w:t xml:space="preserve">):** The commitment level identified through verb-strength analysis </w:t>
      </w:r>
      <w:sdt>
        <w:sdtPr>
          <w:tag w:val="CITATION OngK252"/>
          <w:id w:val="244506603"/>
          <w:citation/>
        </w:sdtPr>
        <w:sdtContent>
          <w:r>
            <w:fldChar w:fldCharType="begin"/>
          </w:r>
          <w:r>
            <w:instrText xml:space="preserve"> CITATION OngK252 \l 1033 </w:instrText>
          </w:r>
          <w:r>
            <w:fldChar w:fldCharType="separate"/>
          </w:r>
          <w:r>
            <w:rPr>
              <w:noProof/>
            </w:rPr>
            <w:t xml:space="preserve">(Ong et al., 2025)</w:t>
          </w:r>
          <w:r>
            <w:fldChar w:fldCharType="end"/>
          </w:r>
        </w:sdtContent>
      </w:sdt>
      <w:r>
        <w:rPr>
          <w:b w:val="false"/>
          <w:bCs w:val="false"/>
          <w:i w:val="false"/>
          <w:iCs w:val="false"/>
          <w:color w:val="000000"/>
        </w:rPr>
        <w:t xml:space="preserve">. * **Context (</w:t>
      </w:r>
      <m:oMath xmlns:m="http://schemas.openxmlformats.org/officeDocument/2006/math" xmlns:w="http://schemas.openxmlformats.org/wordprocessingml/2006/main">
        <m:r>
          <m:t xml:space="preserve">c</m:t>
        </m:r>
      </m:oMath>
      <w:r>
        <w:rPr>
          <w:b w:val="false"/>
          <w:bCs w:val="false"/>
          <w:i w:val="false"/>
          <w:iCs w:val="false"/>
          <w:color w:val="000000"/>
        </w:rPr>
        <w:t xml:space="preserve">):** Quantitative metrics or temporal qualifiers (e.g., "by 2030"). * **Grounding (</w:t>
      </w:r>
      <m:oMath xmlns:m="http://schemas.openxmlformats.org/officeDocument/2006/math" xmlns:w="http://schemas.openxmlformats.org/wordprocessingml/2006/main">
        <m:r>
          <m:t xml:space="preserve">g</m:t>
        </m:r>
      </m:oMath>
      <w:r>
        <w:rPr>
          <w:b w:val="false"/>
          <w:bCs w:val="false"/>
          <w:i w:val="false"/>
          <w:iCs w:val="false"/>
          <w:color w:val="000000"/>
        </w:rPr>
        <w:t xml:space="preserve">):** The verifiable reference (page/table) used to mitigate hallucinations </w:t>
      </w:r>
      <w:sdt>
        <w:sdtPr>
          <w:tag w:val="CITATION VinellaA23"/>
          <w:id w:val="1072890505"/>
          <w:citation/>
        </w:sdtPr>
        <w:sdtContent>
          <w:r>
            <w:fldChar w:fldCharType="begin"/>
          </w:r>
          <w:r>
            <w:instrText xml:space="preserve"> CITATION VinellaA23 \l 1033 </w:instrText>
          </w:r>
          <w:r>
            <w:fldChar w:fldCharType="separate"/>
          </w:r>
          <w:r>
            <w:rPr>
              <w:noProof/>
            </w:rPr>
            <w:t xml:space="preserve">(Vinella et al., 2023)</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Equation 10: ESG Language Specificity (</w:t>
      </w:r>
      <m:oMath xmlns:m="http://schemas.openxmlformats.org/officeDocument/2006/math" xmlns:w="http://schemas.openxmlformats.org/wordprocessingml/2006/main">
        <m:r>
          <m:t xml:space="preserve">ESGLR</m:t>
        </m:r>
      </m:oMath>
      <w:r>
        <w:rPr>
          <w:b w:val="false"/>
          <w:bCs w:val="false"/>
          <w:i w:val="false"/>
          <w:iCs w:val="false"/>
          <w:color w:val="000000"/>
        </w:rPr>
        <w:t xml:space="preserve">)</w:t>
      </w:r>
    </w:p>
    <w:p>
      <w:r>
        <w:rPr>
          <w:b w:val="false"/>
          <w:bCs w:val="false"/>
          <w:i w:val="false"/>
          <w:iCs w:val="false"/>
          <w:color w:val="000000"/>
        </w:rPr>
        <w:t xml:space="preserve">To identify "vague" or "ambiguous" claims—a primary indicator of greenwashing—we calculate the language specificity ratio </w:t>
      </w:r>
      <w:sdt>
        <w:sdtPr>
          <w:tag w:val="CITATION SinghM24"/>
          <w:id w:val="133885778"/>
          <w:citation/>
        </w:sdtPr>
        <w:sdtContent>
          <w:r>
            <w:fldChar w:fldCharType="begin"/>
          </w:r>
          <w:r>
            <w:instrText xml:space="preserve"> CITATION SinghM24 \l 1033 </w:instrText>
          </w:r>
          <w:r>
            <w:fldChar w:fldCharType="separate"/>
          </w:r>
          <w:r>
            <w:rPr>
              <w:noProof/>
            </w:rPr>
            <w:t xml:space="preserve">(Singh et al., 2024)</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ESGLR=</m:t>
        </m:r>
        <m:r>
          <m:t xml:space="preserve">(</m:t>
        </m:r>
        <m:f>
          <m:fPr>
            <m:type m:val="bar"/>
          </m:fPr>
          <m:num>
            <m:r>
              <m:t xml:space="preserve">∑</m:t>
            </m:r>
            <m:sSub>
              <m:sSubPr>
                <m:ctrlPr/>
              </m:sSubPr>
              <m:e>
                <m:r>
                  <m:t xml:space="preserve">X</m:t>
                </m:r>
              </m:e>
              <m:sub>
                <m:r>
                  <m:t xml:space="preserve">S</m:t>
                </m:r>
              </m:sub>
            </m:sSub>
          </m:num>
          <m:den>
            <m:r>
              <m:t xml:space="preserve">∑</m:t>
            </m:r>
            <m:sSub>
              <m:sSubPr>
                <m:ctrlPr/>
              </m:sSubPr>
              <m:e>
                <m:r>
                  <m:t xml:space="preserve">X</m:t>
                </m:r>
              </m:e>
              <m:sub>
                <m:r>
                  <m:t xml:space="preserve">A</m:t>
                </m:r>
              </m:sub>
            </m:sSub>
          </m:den>
        </m:f>
        <m:r>
          <m:t xml:space="preserve">)</m:t>
        </m:r>
        <m:r>
          <m:t xml:space="preserve">×</m:t>
        </m:r>
        <m:sSub>
          <m:sSubPr>
            <m:ctrlPr/>
          </m:sSubPr>
          <m:e>
            <m:r>
              <m:t xml:space="preserve">X</m:t>
            </m:r>
          </m:e>
          <m:sub>
            <m:r>
              <m:t xml:space="preserve">SF</m:t>
            </m:r>
          </m:sub>
        </m:sSub>
      </m:oMath>
    </w:p>
    <w:p>
      <w:r>
        <w:rPr>
          <w:b w:val="false"/>
          <w:bCs w:val="false"/>
          <w:i w:val="false"/>
          <w:iCs w:val="false"/>
          <w:color w:val="000000"/>
        </w:rPr>
        <w:t xml:space="preserve">* **Logic:** </w:t>
      </w:r>
      <m:oMath xmlns:m="http://schemas.openxmlformats.org/officeDocument/2006/math" xmlns:w="http://schemas.openxmlformats.org/wordprocessingml/2006/main">
        <m:sSub>
          <m:sSubPr>
            <m:ctrlPr/>
          </m:sSubPr>
          <m:e>
            <m:r>
              <m:t xml:space="preserve">X</m:t>
            </m:r>
          </m:e>
          <m:sub>
            <m:r>
              <m:t xml:space="preserve">S</m:t>
            </m:r>
          </m:sub>
        </m:sSub>
      </m:oMath>
      <w:r>
        <w:rPr>
          <w:b w:val="false"/>
          <w:bCs w:val="false"/>
          <w:i w:val="false"/>
          <w:iCs w:val="false"/>
          <w:color w:val="000000"/>
        </w:rPr>
        <w:t xml:space="preserve"> represents sentences containing concrete metrics (numbers, percentages, or dates), while </w:t>
      </w:r>
      <m:oMath xmlns:m="http://schemas.openxmlformats.org/officeDocument/2006/math" xmlns:w="http://schemas.openxmlformats.org/wordprocessingml/2006/main">
        <m:sSub>
          <m:sSubPr>
            <m:ctrlPr/>
          </m:sSubPr>
          <m:e>
            <m:r>
              <m:t xml:space="preserve">X</m:t>
            </m:r>
          </m:e>
          <m:sub>
            <m:r>
              <m:t xml:space="preserve">A</m:t>
            </m:r>
          </m:sub>
        </m:sSub>
      </m:oMath>
      <w:r>
        <w:rPr>
          <w:b w:val="false"/>
          <w:bCs w:val="false"/>
          <w:i w:val="false"/>
          <w:iCs w:val="false"/>
          <w:color w:val="000000"/>
        </w:rPr>
        <w:t xml:space="preserve"> represents qualitative, descriptive sentences </w:t>
      </w:r>
      <w:sdt>
        <w:sdtPr>
          <w:tag w:val="CITATION SinghM24"/>
          <w:id w:val="1477896990"/>
          <w:citation/>
        </w:sdtPr>
        <w:sdtContent>
          <w:r>
            <w:fldChar w:fldCharType="begin"/>
          </w:r>
          <w:r>
            <w:instrText xml:space="preserve"> CITATION SinghM24 \l 1033 </w:instrText>
          </w:r>
          <w:r>
            <w:fldChar w:fldCharType="separate"/>
          </w:r>
          <w:r>
            <w:rPr>
              <w:noProof/>
            </w:rPr>
            <w:t xml:space="preserve">(Singh et al., 2024)</w:t>
          </w:r>
          <w:r>
            <w:fldChar w:fldCharType="end"/>
          </w:r>
        </w:sdtContent>
      </w:sdt>
      <w:r>
        <w:rPr>
          <w:b w:val="false"/>
          <w:bCs w:val="false"/>
          <w:i w:val="false"/>
          <w:iCs w:val="false"/>
          <w:color w:val="000000"/>
        </w:rPr>
        <w:t xml:space="preserve">. A low </w:t>
      </w:r>
      <m:oMath xmlns:m="http://schemas.openxmlformats.org/officeDocument/2006/math" xmlns:w="http://schemas.openxmlformats.org/wordprocessingml/2006/main">
        <m:r>
          <m:t xml:space="preserve">ESGLR</m:t>
        </m:r>
      </m:oMath>
      <w:r>
        <w:rPr>
          <w:b w:val="false"/>
          <w:bCs w:val="false"/>
          <w:i w:val="false"/>
          <w:iCs w:val="false"/>
          <w:color w:val="000000"/>
        </w:rPr>
        <w:t xml:space="preserve"> score indicates a high density of "soft" language, often associated with virtue signaling </w:t>
      </w:r>
      <w:sdt>
        <w:sdtPr>
          <w:tag w:val="CITATION DorfleitnerG23"/>
          <w:id w:val="1979431826"/>
          <w:citation/>
        </w:sdtPr>
        <w:sdtContent>
          <w:r>
            <w:fldChar w:fldCharType="begin"/>
          </w:r>
          <w:r>
            <w:instrText xml:space="preserve"> CITATION DorfleitnerG23 \l 1033 </w:instrText>
          </w:r>
          <w:r>
            <w:fldChar w:fldCharType="separate"/>
          </w:r>
          <w:r>
            <w:rPr>
              <w:noProof/>
            </w:rPr>
            <w:t xml:space="preserve">(Dorfleitner &amp; Utz, 2023)</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Equation 13: Action Intensity Score (</w:t>
      </w:r>
      <m:oMath xmlns:m="http://schemas.openxmlformats.org/officeDocument/2006/math" xmlns:w="http://schemas.openxmlformats.org/wordprocessingml/2006/main">
        <m:sSub>
          <m:sSubPr>
            <m:ctrlPr/>
          </m:sSubPr>
          <m:e>
            <m:r>
              <m:t xml:space="preserve">V</m:t>
            </m:r>
          </m:e>
          <m:sub>
            <m:r>
              <m:t xml:space="preserve">i</m:t>
            </m:r>
          </m:sub>
        </m:sSub>
      </m:oMath>
      <w:r>
        <w:rPr>
          <w:b w:val="false"/>
          <w:bCs w:val="false"/>
          <w:i w:val="false"/>
          <w:iCs w:val="false"/>
          <w:color w:val="000000"/>
        </w:rPr>
        <w:t xml:space="preserve">)</w:t>
      </w:r>
    </w:p>
    <w:p>
      <w:r>
        <w:rPr>
          <w:b w:val="false"/>
          <w:bCs w:val="false"/>
          <w:i w:val="false"/>
          <w:iCs w:val="false"/>
          <w:color w:val="000000"/>
        </w:rPr>
        <w:t xml:space="preserve">The strength of a corporate commitment is quantified by the "intensity" of the verbs used in the claim </w:t>
      </w:r>
      <w:sdt>
        <w:sdtPr>
          <w:tag w:val="CITATION OngK252"/>
          <w:id w:val="382825966"/>
          <w:citation/>
        </w:sdtPr>
        <w:sdtContent>
          <w:r>
            <w:fldChar w:fldCharType="begin"/>
          </w:r>
          <w:r>
            <w:instrText xml:space="preserve"> CITATION OngK252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sSub>
          <m:sSubPr>
            <m:ctrlPr/>
          </m:sSubPr>
          <m:e>
            <m:r>
              <m:t xml:space="preserve">V</m:t>
            </m:r>
          </m:e>
          <m:sub>
            <m:r>
              <m:t xml:space="preserve">i</m:t>
            </m:r>
          </m:sub>
        </m:sSub>
        <m:r>
          <m:t xml:space="preserve">=</m:t>
        </m:r>
        <m:nary>
          <m:naryPr>
            <m:chr m:val="∑"/>
            <m:limLoc m:val="undOvr"/>
            <m:grow m:val="1"/>
            <m:subHide m:val="off"/>
            <m:supHide m:val="off"/>
          </m:naryPr>
          <m:sub>
            <m:r>
              <m:t xml:space="preserve">j=1</m:t>
            </m:r>
          </m:sub>
          <m:sup>
            <m:r>
              <m:t xml:space="preserve">n</m:t>
            </m:r>
          </m:sup>
          <m:e/>
        </m:nary>
        <m:r>
          <m:t xml:space="preserve">w</m:t>
        </m:r>
        <m:r>
          <m:t xml:space="preserve">(</m:t>
        </m:r>
        <m:sSub>
          <m:sSubPr>
            <m:ctrlPr/>
          </m:sSubPr>
          <m:e>
            <m:r>
              <m:t xml:space="preserve">v</m:t>
            </m:r>
          </m:e>
          <m:sub>
            <m:r>
              <m:t xml:space="preserve">j</m:t>
            </m:r>
          </m:sub>
        </m:sSub>
        <m:r>
          <m:t xml:space="preserve">)</m:t>
        </m:r>
      </m:oMath>
    </w:p>
    <w:p>
      <w:r>
        <w:rPr>
          <w:b w:val="false"/>
          <w:bCs w:val="false"/>
          <w:i w:val="false"/>
          <w:iCs w:val="false"/>
          <w:color w:val="000000"/>
        </w:rPr>
        <w:t xml:space="preserve">* **Logic:** Each extracted verb </w:t>
      </w:r>
      <m:oMath xmlns:m="http://schemas.openxmlformats.org/officeDocument/2006/math" xmlns:w="http://schemas.openxmlformats.org/wordprocessingml/2006/main">
        <m:sSub>
          <m:sSubPr>
            <m:ctrlPr/>
          </m:sSubPr>
          <m:e>
            <m:r>
              <m:t xml:space="preserve">v</m:t>
            </m:r>
          </m:e>
          <m:sub>
            <m:r>
              <m:t xml:space="preserve">j</m:t>
            </m:r>
          </m:sub>
        </m:sSub>
      </m:oMath>
      <w:r>
        <w:rPr>
          <w:b w:val="false"/>
          <w:bCs w:val="false"/>
          <w:i w:val="false"/>
          <w:iCs w:val="false"/>
          <w:color w:val="000000"/>
        </w:rPr>
        <w:t xml:space="preserve"> is assigned a weight </w:t>
      </w:r>
      <m:oMath xmlns:m="http://schemas.openxmlformats.org/officeDocument/2006/math" xmlns:w="http://schemas.openxmlformats.org/wordprocessingml/2006/main">
        <m:r>
          <m:t xml:space="preserve">w∈</m:t>
        </m:r>
      </m:oMath>
      <w:r>
        <w:rPr>
          <w:b w:val="false"/>
          <w:bCs w:val="false"/>
          <w:i w:val="false"/>
          <w:iCs w:val="false"/>
          <w:color w:val="000000"/>
        </w:rPr>
        <w:t xml:space="preserve"> based on its actionability. For example, "Achieved" or "Reduced" are weighted significantly higher ($0.9$) than "Considering" or "Aiming" ($0.2$) </w:t>
      </w:r>
      <w:sdt>
        <w:sdtPr>
          <w:tag w:val="CITATION OngK25"/>
          <w:id w:val="1712466761"/>
          <w:citation/>
        </w:sdtPr>
        <w:sdtContent>
          <w:r>
            <w:fldChar w:fldCharType="begin"/>
          </w:r>
          <w:r>
            <w:instrText xml:space="preserve"> CITATION OngK25 \m OngK252 \l 1033 </w:instrText>
          </w:r>
          <w:r>
            <w:fldChar w:fldCharType="separate"/>
          </w:r>
          <w:r>
            <w:rPr>
              <w:noProof/>
            </w:rPr>
            <w:t xml:space="preserve">(Ong et al., 2025a, 2025b)</w:t>
          </w:r>
          <w:r>
            <w:fldChar w:fldCharType="end"/>
          </w:r>
        </w:sdtContent>
      </w:sdt>
      <w:r>
        <w:rPr>
          <w:b w:val="false"/>
          <w:bCs w:val="false"/>
          <w:i w:val="false"/>
          <w:iCs w:val="false"/>
          <w:color w:val="000000"/>
        </w:rPr>
        <w:t xml:space="preserve">. This intensity score is a critical feature for the final **Greenwashing Risk Score** (</w:t>
      </w:r>
      <m:oMath xmlns:m="http://schemas.openxmlformats.org/officeDocument/2006/math" xmlns:w="http://schemas.openxmlformats.org/wordprocessingml/2006/main">
        <m:sSub>
          <m:sSubPr>
            <m:ctrlPr/>
          </m:sSubPr>
          <m:e>
            <m:r>
              <m:t xml:space="preserve">G</m:t>
            </m:r>
          </m:e>
          <m:sub>
            <m:r>
              <m:t xml:space="preserve">R</m:t>
            </m:r>
          </m:sub>
        </m:sSub>
      </m:oMath>
      <w:r>
        <w:rPr>
          <w:b w:val="false"/>
          <w:bCs w:val="false"/>
          <w:i w:val="false"/>
          <w:iCs w:val="false"/>
          <w:color w:val="000000"/>
        </w:rPr>
        <w:t xml:space="preserve">) </w:t>
      </w:r>
      <w:sdt>
        <w:sdtPr>
          <w:tag w:val="CITATION WangX25"/>
          <w:id w:val="44047985"/>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Equation 15: Aspect Weighting Matrix (</w:t>
      </w:r>
      <m:oMath xmlns:m="http://schemas.openxmlformats.org/officeDocument/2006/math" xmlns:w="http://schemas.openxmlformats.org/wordprocessingml/2006/main">
        <m:r>
          <m:t xml:space="preserve">W</m:t>
        </m:r>
      </m:oMath>
      <w:r>
        <w:rPr>
          <w:b w:val="false"/>
          <w:bCs w:val="false"/>
          <w:i w:val="false"/>
          <w:iCs w:val="false"/>
          <w:color w:val="000000"/>
        </w:rPr>
        <w:t xml:space="preserve">)</w:t>
      </w:r>
    </w:p>
    <w:p>
      <w:r>
        <w:rPr>
          <w:b w:val="false"/>
          <w:bCs w:val="false"/>
          <w:i w:val="false"/>
          <w:iCs w:val="false"/>
          <w:color w:val="000000"/>
        </w:rPr>
        <w:t xml:space="preserve">Since not all ESG topics are equally "material" for every industry, we apply a weighting matrix aligned with reporting standards (GRI/SASB) </w:t>
      </w:r>
      <w:sdt>
        <w:sdtPr>
          <w:tag w:val="CITATION DorfleitnerG23"/>
          <w:id w:val="776445731"/>
          <w:citation/>
        </w:sdtPr>
        <w:sdtContent>
          <w:r>
            <w:fldChar w:fldCharType="begin"/>
          </w:r>
          <w:r>
            <w:instrText xml:space="preserve"> CITATION DorfleitnerG23 \l 1033 </w:instrText>
          </w:r>
          <w:r>
            <w:fldChar w:fldCharType="separate"/>
          </w:r>
          <w:r>
            <w:rPr>
              <w:noProof/>
            </w:rPr>
            <w:t xml:space="preserve">(Dorfleitner &amp; Utz, 2023)</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sSub>
          <m:sSubPr>
            <m:ctrlPr/>
          </m:sSubPr>
          <m:e>
            <m:r>
              <m:t xml:space="preserve">𝐅</m:t>
            </m:r>
          </m:e>
          <m:sub>
            <m:r>
              <m:t xml:space="preserve">weighted</m:t>
            </m:r>
          </m:sub>
        </m:sSub>
        <m:r>
          <m:t xml:space="preserve">=</m:t>
        </m:r>
        <m:sSub>
          <m:sSubPr>
            <m:ctrlPr/>
          </m:sSubPr>
          <m:e>
            <m:r>
              <m:t xml:space="preserve">𝐅</m:t>
            </m:r>
          </m:e>
          <m:sub>
            <m:r>
              <m:t xml:space="preserve">extracted</m:t>
            </m:r>
          </m:sub>
        </m:sSub>
        <m:r>
          <m:t xml:space="preserve">×</m:t>
        </m:r>
        <m:sSub>
          <m:sSubPr>
            <m:ctrlPr/>
          </m:sSubPr>
          <m:e>
            <m:r>
              <m:t xml:space="preserve">W</m:t>
            </m:r>
          </m:e>
          <m:sub>
            <m:r>
              <m:t xml:space="preserve">materiality</m:t>
            </m:r>
          </m:sub>
        </m:sSub>
      </m:oMath>
    </w:p>
    <w:p>
      <w:r>
        <w:rPr>
          <w:b w:val="false"/>
          <w:bCs w:val="false"/>
          <w:i w:val="false"/>
          <w:iCs w:val="false"/>
          <w:color w:val="000000"/>
        </w:rPr>
        <w:t xml:space="preserve">* **Logic:** This ensures that a discrepancy in "Carbon Emissions" carries more weight for an Energy company than it would for a Software company </w:t>
      </w:r>
      <w:sdt>
        <w:sdtPr>
          <w:tag w:val="CITATION DorfleitnerG23"/>
          <w:id w:val="830440494"/>
          <w:citation/>
        </w:sdtPr>
        <w:sdtContent>
          <w:r>
            <w:fldChar w:fldCharType="begin"/>
          </w:r>
          <w:r>
            <w:instrText xml:space="preserve"> CITATION DorfleitnerG23 \m YuE20 \l 1033 </w:instrText>
          </w:r>
          <w:r>
            <w:fldChar w:fldCharType="separate"/>
          </w:r>
          <w:r>
            <w:rPr>
              <w:noProof/>
            </w:rPr>
            <w:t xml:space="preserve">(Dorfleitner &amp; Utz, 2023; Yu et al., 2020)</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3"/>
      </w:pPr>
      <w:r>
        <w:rPr>
          <w:b w:val="false"/>
          <w:bCs w:val="false"/>
          <w:i w:val="false"/>
          <w:iCs w:val="false"/>
          <w:color w:val="000000"/>
        </w:rPr>
        <w:t xml:space="preserve">Strategic Recommendation</w:t>
      </w:r>
    </w:p>
    <w:p>
      <w:r>
        <w:rPr>
          <w:b w:val="false"/>
          <w:bCs w:val="false"/>
          <w:i w:val="false"/>
          <w:iCs w:val="false"/>
          <w:color w:val="000000"/>
        </w:rPr>
        <w:t xml:space="preserve">To maintain the </w:t>
      </w:r>
      <w:r>
        <w:rPr>
          <w:b/>
          <w:bCs/>
          <w:i w:val="false"/>
          <w:iCs w:val="false"/>
          <w:color w:val="000000"/>
        </w:rPr>
        <w:t xml:space="preserve">Linear Data Flow</w:t>
      </w:r>
      <w:r>
        <w:rPr>
          <w:b w:val="false"/>
          <w:bCs w:val="false"/>
          <w:i w:val="false"/>
          <w:iCs w:val="false"/>
          <w:color w:val="000000"/>
        </w:rPr>
        <w:t xml:space="preserve"> and </w:t>
      </w:r>
      <w:r>
        <w:rPr>
          <w:b/>
          <w:bCs/>
          <w:i w:val="false"/>
          <w:iCs w:val="false"/>
          <w:color w:val="000000"/>
        </w:rPr>
        <w:t xml:space="preserve">Subsections</w:t>
      </w:r>
      <w:r>
        <w:rPr>
          <w:b w:val="false"/>
          <w:bCs w:val="false"/>
          <w:i w:val="false"/>
          <w:iCs w:val="false"/>
          <w:color w:val="000000"/>
        </w:rPr>
        <w:t xml:space="preserve"> pattern:</w:t>
      </w:r>
    </w:p>
    <w:p>
      <w:pPr>
        <w:pStyle w:val="ListParagraph"/>
        <w:numPr>
          <w:ilvl w:val="0"/>
          <w:numId w:val="6"/>
        </w:numPr>
      </w:pPr>
      <w:r>
        <w:rPr>
          <w:b/>
          <w:bCs/>
          <w:i w:val="false"/>
          <w:iCs w:val="false"/>
          <w:color w:val="000000"/>
        </w:rPr>
        <w:t xml:space="preserve">Define your parameters early:</w:t>
      </w:r>
      <w:r>
        <w:rPr>
          <w:b w:val="false"/>
          <w:bCs w:val="false"/>
          <w:i w:val="false"/>
          <w:iCs w:val="false"/>
          <w:color w:val="000000"/>
        </w:rPr>
        <w:t xml:space="preserve"> Use Section 3.4.1 to define the constants (</w:t>
      </w:r>
      <m:oMath xmlns:m="http://schemas.openxmlformats.org/officeDocument/2006/math" xmlns:w="http://schemas.openxmlformats.org/wordprocessingml/2006/main">
        <m:r>
          <m:t xml:space="preserve">λ,L,O</m:t>
        </m:r>
      </m:oMath>
      <w:r>
        <w:rPr>
          <w:b w:val="false"/>
          <w:bCs w:val="false"/>
          <w:i w:val="false"/>
          <w:iCs w:val="false"/>
          <w:color w:val="000000"/>
        </w:rPr>
        <w:t xml:space="preserve">) so that they can be referenced simply by symbol in the more complex </w:t>
      </w:r>
      <w:r>
        <w:rPr>
          <w:b/>
          <w:bCs/>
          <w:i w:val="false"/>
          <w:iCs w:val="false"/>
          <w:color w:val="000000"/>
        </w:rPr>
        <w:t xml:space="preserve">Framework Logic</w:t>
      </w:r>
      <w:r>
        <w:rPr>
          <w:b w:val="false"/>
          <w:bCs w:val="false"/>
          <w:i w:val="false"/>
          <w:iCs w:val="false"/>
          <w:color w:val="000000"/>
        </w:rPr>
        <w:t xml:space="preserve"> (Section 3.5).</w:t>
      </w:r>
    </w:p>
    <w:p>
      <w:pPr>
        <w:pStyle w:val="ListParagraph"/>
        <w:numPr>
          <w:ilvl w:val="0"/>
          <w:numId w:val="6"/>
        </w:numPr>
      </w:pPr>
      <w:r>
        <w:rPr>
          <w:b/>
          <w:bCs/>
          <w:i w:val="false"/>
          <w:iCs w:val="false"/>
          <w:color w:val="000000"/>
        </w:rPr>
        <w:t xml:space="preserve">Use Table of Notations:</w:t>
      </w:r>
      <w:r>
        <w:rPr>
          <w:b w:val="false"/>
          <w:bCs w:val="false"/>
          <w:i w:val="false"/>
          <w:iCs w:val="false"/>
          <w:color w:val="000000"/>
        </w:rPr>
        <w:t xml:space="preserve"> At the start of Section 3.4, include a table explaining every symbol used in these 15 equations to improve the "Mathematical Rigor" of your 15-page feature extraction.</w:t>
      </w:r>
    </w:p>
    <w:p>
      <w:r>
        <w:rPr>
          <w:b/>
          <w:bCs/>
          <w:i w:val="false"/>
          <w:iCs w:val="false"/>
          <w:color w:val="000000"/>
        </w:rPr>
        <w:t xml:space="preserve">Would you like the next batch (Eq. 21–35) for the Greenwashing Framework and Evaluation Metrics?</w:t>
      </w:r>
    </w:p>
    <w:p>
      <w:r>
        <w:rPr>
          <w:b w:val="false"/>
          <w:bCs w:val="false"/>
          <w:i w:val="false"/>
          <w:iCs w:val="false"/>
          <w:color w:val="000000"/>
        </w:rPr>
        <w:t xml:space="preserve">Daris Dzakwan, to continue your goal of achieving the </w:t>
      </w:r>
      <w:r>
        <w:rPr>
          <w:b/>
          <w:bCs/>
          <w:i w:val="false"/>
          <w:iCs w:val="false"/>
          <w:color w:val="000000"/>
        </w:rPr>
        <w:t xml:space="preserve">"Highly Detailed"</w:t>
      </w:r>
      <w:r>
        <w:rPr>
          <w:b w:val="false"/>
          <w:bCs w:val="false"/>
          <w:i w:val="false"/>
          <w:iCs w:val="false"/>
          <w:color w:val="000000"/>
        </w:rPr>
        <w:t xml:space="preserve"> 15-page depth for Section 3.4 and 11-page depth for Section 3.5, this second batch of elaborations focuses on the </w:t>
      </w:r>
      <w:r>
        <w:rPr>
          <w:b/>
          <w:bCs/>
          <w:i w:val="false"/>
          <w:iCs w:val="false"/>
          <w:color w:val="000000"/>
        </w:rPr>
        <w:t xml:space="preserve">Semantic Extraction</w:t>
      </w:r>
      <w:r>
        <w:rPr>
          <w:b w:val="false"/>
          <w:bCs w:val="false"/>
          <w:i w:val="false"/>
          <w:iCs w:val="false"/>
          <w:color w:val="000000"/>
        </w:rPr>
        <w:t xml:space="preserve"> and </w:t>
      </w:r>
      <w:r>
        <w:rPr>
          <w:b/>
          <w:bCs/>
          <w:i w:val="false"/>
          <w:iCs w:val="false"/>
          <w:color w:val="000000"/>
        </w:rPr>
        <w:t xml:space="preserve">Greenwashing Logic</w:t>
      </w:r>
      <w:r>
        <w:rPr>
          <w:b w:val="false"/>
          <w:bCs w:val="false"/>
          <w:i w:val="false"/>
          <w:iCs w:val="false"/>
          <w:color w:val="000000"/>
        </w:rPr>
        <w:t xml:space="preserve"> layers.</w:t>
      </w:r>
    </w:p>
    <w:p>
      <w:r>
        <w:rPr>
          <w:b w:val="false"/>
          <w:bCs w:val="false"/>
          <w:i w:val="false"/>
          <w:iCs w:val="false"/>
          <w:color w:val="000000"/>
        </w:rPr>
        <w:t xml:space="preserve">These formulations move from raw text processing to the analytical "reasoning" that allows your framework to detect corporate discrepancies.</w:t>
      </w:r>
    </w:p>
    <w:p>
      <w:pPr>
        <w:pBdr>
          <w:bottom w:val="single" w:color="auto" w:sz="6" w:space="1"/>
        </w:pBdr>
        <w:spacing w:after="240" w:before="240"/>
      </w:pPr>
    </w:p>
    <w:p>
      <w:pPr>
        <w:pStyle w:val="Heading3"/>
      </w:pPr>
      <w:r>
        <w:rPr>
          <w:b w:val="false"/>
          <w:bCs w:val="false"/>
          <w:i w:val="false"/>
          <w:iCs w:val="false"/>
          <w:color w:val="000000"/>
        </w:rPr>
        <w:t xml:space="preserve">Section 3.4: Feature Extraction &amp; ABSA</w:t>
      </w:r>
    </w:p>
    <w:p>
      <w:r>
        <w:rPr>
          <w:b w:val="false"/>
          <w:bCs w:val="false"/>
          <w:i/>
          <w:iCs/>
          <w:color w:val="000000"/>
        </w:rPr>
        <w:t xml:space="preserve">This section provides the semantic features needed to identify the tone and thematic focus of corporate disclosures.</w:t>
      </w:r>
    </w:p>
    <w:p>
      <w:pPr>
        <w:pStyle w:val="Heading4"/>
      </w:pPr>
      <w:r>
        <w:rPr>
          <w:b w:val="false"/>
          <w:bCs w:val="false"/>
          <w:i w:val="false"/>
          <w:iCs w:val="false"/>
          <w:color w:val="000000"/>
        </w:rPr>
        <w:t xml:space="preserve">Equation 7: Sentiment Polarity Mapping (</w:t>
      </w:r>
      <m:oMath xmlns:m="http://schemas.openxmlformats.org/officeDocument/2006/math" xmlns:w="http://schemas.openxmlformats.org/wordprocessingml/2006/main">
        <m:r>
          <m:t xml:space="preserve">NPD</m:t>
        </m:r>
      </m:oMath>
      <w:r>
        <w:rPr>
          <w:b w:val="false"/>
          <w:bCs w:val="false"/>
          <w:i w:val="false"/>
          <w:iCs w:val="false"/>
          <w:color w:val="000000"/>
        </w:rPr>
        <w:t xml:space="preserve">)</w:t>
      </w:r>
    </w:p>
    <w:p>
      <w:r>
        <w:rPr>
          <w:b w:val="false"/>
          <w:bCs w:val="false"/>
          <w:i w:val="false"/>
          <w:iCs w:val="false"/>
          <w:color w:val="000000"/>
        </w:rPr>
        <w:t xml:space="preserve">To convert high-dimensional LLM sentiment outputs into a structured financial range suitable for auditing, we apply a Neutral Polarity Displacement (</w:t>
      </w:r>
      <m:oMath xmlns:m="http://schemas.openxmlformats.org/officeDocument/2006/math" xmlns:w="http://schemas.openxmlformats.org/wordprocessingml/2006/main">
        <m:r>
          <m:t xml:space="preserve">NPD</m:t>
        </m:r>
      </m:oMath>
      <w:r>
        <w:rPr>
          <w:b w:val="false"/>
          <w:bCs w:val="false"/>
          <w:i w:val="false"/>
          <w:iCs w:val="false"/>
          <w:color w:val="000000"/>
        </w:rPr>
        <w:t xml:space="preserve">) function </w:t>
      </w:r>
      <w:sdt>
        <w:sdtPr>
          <w:tag w:val="CITATION ConsoliS22"/>
          <w:id w:val="899183236"/>
          <w:citation/>
        </w:sdtPr>
        <w:sdtContent>
          <w:r>
            <w:fldChar w:fldCharType="begin"/>
          </w:r>
          <w:r>
            <w:instrText xml:space="preserve"> CITATION ConsoliS22 \m LiC24 \l 1033 </w:instrText>
          </w:r>
          <w:r>
            <w:fldChar w:fldCharType="separate"/>
          </w:r>
          <w:r>
            <w:rPr>
              <w:noProof/>
            </w:rPr>
            <w:t xml:space="preserve">(Consoli et al., 2022; Li et al., 2024)</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NPD</m:t>
        </m:r>
        <m:r>
          <m:t xml:space="preserve">(</m:t>
        </m:r>
        <m:sSub>
          <m:sSubPr>
            <m:ctrlPr/>
          </m:sSubPr>
          <m:e>
            <m:r>
              <m:t xml:space="preserve">s</m:t>
            </m:r>
          </m:e>
          <m:sub>
            <m:r>
              <m:t xml:space="preserve">i</m:t>
            </m:r>
          </m:sub>
        </m:sSub>
        <m:r>
          <m:t xml:space="preserve">)</m:t>
        </m:r>
        <m:r>
          <m:t xml:space="preserve">=</m:t>
        </m:r>
        <m:r>
          <m:t xml:space="preserve">{</m:t>
        </m:r>
        <m:m>
          <m:mPr>
            <m:baseJc m:val="center"/>
            <m:plcHide m:val="on"/>
            <m:mcs>
              <m:mc>
                <m:mcPr>
                  <m:count m:val="2"/>
                  <m:mcJc m:val="center"/>
                </m:mcPr>
              </m:mc>
            </m:mcs>
          </m:mPr>
          <m:mr>
            <m:e>
              <m:r>
                <m:t xml:space="preserve">1</m:t>
              </m:r>
            </m:e>
            <m:e>
              <m:r>
                <m:rPr>
                  <m:nor/>
                </m:rPr>
                <m:t xml:space="preserve">if</m:t>
              </m:r>
              <m:r>
                <m:t xml:space="preserve">σ</m:t>
              </m:r>
              <m:r>
                <m:t xml:space="preserve">(</m:t>
              </m:r>
              <m:sSub>
                <m:sSubPr>
                  <m:ctrlPr/>
                </m:sSubPr>
                <m:e>
                  <m:r>
                    <m:t xml:space="preserve">s</m:t>
                  </m:r>
                </m:e>
                <m:sub>
                  <m:r>
                    <m:t xml:space="preserve">i</m:t>
                  </m:r>
                </m:sub>
              </m:sSub>
              <m:r>
                <m:t xml:space="preserve">)</m:t>
              </m:r>
              <m:r>
                <m:t xml:space="preserve">&gt;</m:t>
              </m:r>
              <m:sSub>
                <m:sSubPr>
                  <m:ctrlPr/>
                </m:sSubPr>
                <m:e>
                  <m:r>
                    <m:t xml:space="preserve">τ</m:t>
                  </m:r>
                </m:e>
                <m:sub>
                  <m:r>
                    <m:t xml:space="preserve">pos</m:t>
                  </m:r>
                </m:sub>
              </m:sSub>
            </m:e>
          </m:mr>
          <m:mr>
            <m:e>
              <m:r>
                <m:t xml:space="preserve">−1</m:t>
              </m:r>
            </m:e>
            <m:e>
              <m:r>
                <m:rPr>
                  <m:nor/>
                </m:rPr>
                <m:t xml:space="preserve">if</m:t>
              </m:r>
              <m:r>
                <m:t xml:space="preserve">σ</m:t>
              </m:r>
              <m:r>
                <m:t xml:space="preserve">(</m:t>
              </m:r>
              <m:sSub>
                <m:sSubPr>
                  <m:ctrlPr/>
                </m:sSubPr>
                <m:e>
                  <m:r>
                    <m:t xml:space="preserve">s</m:t>
                  </m:r>
                </m:e>
                <m:sub>
                  <m:r>
                    <m:t xml:space="preserve">i</m:t>
                  </m:r>
                </m:sub>
              </m:sSub>
              <m:r>
                <m:t xml:space="preserve">)</m:t>
              </m:r>
              <m:r>
                <m:t xml:space="preserve">&lt;</m:t>
              </m:r>
              <m:sSub>
                <m:sSubPr>
                  <m:ctrlPr/>
                </m:sSubPr>
                <m:e>
                  <m:r>
                    <m:t xml:space="preserve">τ</m:t>
                  </m:r>
                </m:e>
                <m:sub>
                  <m:r>
                    <m:t xml:space="preserve">neg</m:t>
                  </m:r>
                </m:sub>
              </m:sSub>
            </m:e>
          </m:mr>
          <m:mr>
            <m:e>
              <m:r>
                <m:t xml:space="preserve">0</m:t>
              </m:r>
            </m:e>
            <m:e>
              <m:r>
                <m:rPr>
                  <m:nor/>
                </m:rPr>
                <m:t xml:space="preserve">otherwise</m:t>
              </m:r>
            </m:e>
          </m:mr>
        </m:m>
        <m:r>
          <m:t xml:space="preserve"/>
        </m:r>
      </m:oMath>
    </w:p>
    <w:p>
      <w:r>
        <w:rPr>
          <w:b w:val="false"/>
          <w:bCs w:val="false"/>
          <w:i w:val="false"/>
          <w:iCs w:val="false"/>
          <w:color w:val="000000"/>
        </w:rPr>
        <w:t xml:space="preserve">* **Logic:** Here, </w:t>
      </w:r>
      <m:oMath xmlns:m="http://schemas.openxmlformats.org/officeDocument/2006/math" xmlns:w="http://schemas.openxmlformats.org/wordprocessingml/2006/main">
        <m:r>
          <m:t xml:space="preserve">σ</m:t>
        </m:r>
        <m:r>
          <m:t xml:space="preserve">(</m:t>
        </m:r>
        <m:sSub>
          <m:sSubPr>
            <m:ctrlPr/>
          </m:sSubPr>
          <m:e>
            <m:r>
              <m:t xml:space="preserve">s</m:t>
            </m:r>
          </m:e>
          <m:sub>
            <m:r>
              <m:t xml:space="preserve">i</m:t>
            </m:r>
          </m:sub>
        </m:sSub>
        <m:r>
          <m:t xml:space="preserve">)</m:t>
        </m:r>
      </m:oMath>
      <w:r>
        <w:rPr>
          <w:b w:val="false"/>
          <w:bCs w:val="false"/>
          <w:i w:val="false"/>
          <w:iCs w:val="false"/>
          <w:color w:val="000000"/>
        </w:rPr>
        <w:t xml:space="preserve"> is the raw sentiment logit from the LLM. The thresholds </w:t>
      </w:r>
      <m:oMath xmlns:m="http://schemas.openxmlformats.org/officeDocument/2006/math" xmlns:w="http://schemas.openxmlformats.org/wordprocessingml/2006/main">
        <m:sSub>
          <m:sSubPr>
            <m:ctrlPr/>
          </m:sSubPr>
          <m:e>
            <m:r>
              <m:t xml:space="preserve">τ</m:t>
            </m:r>
          </m:e>
          <m:sub>
            <m:r>
              <m:t xml:space="preserve">pos</m:t>
            </m:r>
          </m:sub>
        </m:sSub>
      </m:oMath>
      <w:r>
        <w:rPr>
          <w:b w:val="false"/>
          <w:bCs w:val="false"/>
          <w:i w:val="false"/>
          <w:iCs w:val="false"/>
          <w:color w:val="000000"/>
        </w:rPr>
        <w:t xml:space="preserve"> and </w:t>
      </w:r>
      <m:oMath xmlns:m="http://schemas.openxmlformats.org/officeDocument/2006/math" xmlns:w="http://schemas.openxmlformats.org/wordprocessingml/2006/main">
        <m:sSub>
          <m:sSubPr>
            <m:ctrlPr/>
          </m:sSubPr>
          <m:e>
            <m:r>
              <m:t xml:space="preserve">τ</m:t>
            </m:r>
          </m:e>
          <m:sub>
            <m:r>
              <m:t xml:space="preserve">neg</m:t>
            </m:r>
          </m:sub>
        </m:sSub>
      </m:oMath>
      <w:r>
        <w:rPr>
          <w:b w:val="false"/>
          <w:bCs w:val="false"/>
          <w:i w:val="false"/>
          <w:iCs w:val="false"/>
          <w:color w:val="000000"/>
        </w:rPr>
        <w:t xml:space="preserve"> are tuned specifically for the financial lexicon, where words like "stable" or "consistent" may be mapped to neutral ($0$) while "exceeded" is mapped to positive ($1$) </w:t>
      </w:r>
      <w:sdt>
        <w:sdtPr>
          <w:tag w:val="CITATION ConsoliS22"/>
          <w:id w:val="2073139245"/>
          <w:citation/>
        </w:sdtPr>
        <w:sdtContent>
          <w:r>
            <w:fldChar w:fldCharType="begin"/>
          </w:r>
          <w:r>
            <w:instrText xml:space="preserve"> CITATION ConsoliS22 \l 1033 </w:instrText>
          </w:r>
          <w:r>
            <w:fldChar w:fldCharType="separate"/>
          </w:r>
          <w:r>
            <w:rPr>
              <w:noProof/>
            </w:rPr>
            <w:t xml:space="preserve">(Consoli et al., 2022)</w:t>
          </w:r>
          <w:r>
            <w:fldChar w:fldCharType="end"/>
          </w:r>
        </w:sdtContent>
      </w:sdt>
      <w:r>
        <w:rPr>
          <w:b w:val="false"/>
          <w:bCs w:val="false"/>
          <w:i w:val="false"/>
          <w:iCs w:val="false"/>
          <w:color w:val="000000"/>
        </w:rPr>
        <w:t xml:space="preserve">. This mapping is critical for identifying the **"Narrative Positivity"** bias </w:t>
      </w:r>
      <w:sdt>
        <w:sdtPr>
          <w:tag w:val="CITATION WangX25"/>
          <w:id w:val="773088047"/>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Equation 8: Aspect Probability (</w:t>
      </w:r>
      <m:oMath xmlns:m="http://schemas.openxmlformats.org/officeDocument/2006/math" xmlns:w="http://schemas.openxmlformats.org/wordprocessingml/2006/main">
        <m:r>
          <m:t xml:space="preserve">P</m:t>
        </m:r>
        <m:r>
          <m:t xml:space="preserve">(a|s)</m:t>
        </m:r>
      </m:oMath>
      <w:r>
        <w:rPr>
          <w:b w:val="false"/>
          <w:bCs w:val="false"/>
          <w:i w:val="false"/>
          <w:iCs w:val="false"/>
          <w:color w:val="000000"/>
        </w:rPr>
        <w:t xml:space="preserve">)</w:t>
      </w:r>
    </w:p>
    <w:p>
      <w:r>
        <w:rPr>
          <w:b w:val="false"/>
          <w:bCs w:val="false"/>
          <w:i w:val="false"/>
          <w:iCs w:val="false"/>
          <w:color w:val="000000"/>
        </w:rPr>
        <w:t xml:space="preserve">We formalize the classification of a sentence into an ESG category using a Softmax distribution over the defined ontology </w:t>
      </w:r>
      <w:sdt>
        <w:sdtPr>
          <w:tag w:val="CITATION BrauwersG21"/>
          <w:id w:val="902729769"/>
          <w:citation/>
        </w:sdtPr>
        <w:sdtContent>
          <w:r>
            <w:fldChar w:fldCharType="begin"/>
          </w:r>
          <w:r>
            <w:instrText xml:space="preserve"> CITATION BrauwersG21 \l 1033 </w:instrText>
          </w:r>
          <w:r>
            <w:fldChar w:fldCharType="separate"/>
          </w:r>
          <w:r>
            <w:rPr>
              <w:noProof/>
            </w:rPr>
            <w:t xml:space="preserve">(Brauwers &amp; Frăsincar, 2021)</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P</m:t>
        </m:r>
        <m:r>
          <m:t xml:space="preserve">(</m:t>
        </m:r>
        <m:sSub>
          <m:sSubPr>
            <m:ctrlPr/>
          </m:sSubPr>
          <m:e>
            <m:r>
              <m:t xml:space="preserve">a</m:t>
            </m:r>
          </m:e>
          <m:sub>
            <m:r>
              <m:t xml:space="preserve">k</m:t>
            </m:r>
          </m:sub>
        </m:sSub>
        <m:r>
          <m:t xml:space="preserve">|</m:t>
        </m:r>
        <m:sSub>
          <m:sSubPr>
            <m:ctrlPr/>
          </m:sSubPr>
          <m:e>
            <m:r>
              <m:t xml:space="preserve">s</m:t>
            </m:r>
          </m:e>
          <m:sub>
            <m:r>
              <m:t xml:space="preserve">i</m:t>
            </m:r>
          </m:sub>
        </m:sSub>
        <m:r>
          <m:t xml:space="preserve">)</m:t>
        </m:r>
        <m:r>
          <m:t xml:space="preserve">=</m:t>
        </m:r>
        <m:f>
          <m:fPr>
            <m:type m:val="bar"/>
          </m:fPr>
          <m:num>
            <m:r>
              <m:t xml:space="preserve">exp⁡</m:t>
            </m:r>
            <m:r>
              <m:t xml:space="preserve">(</m:t>
            </m:r>
            <m:sSub>
              <m:sSubPr>
                <m:ctrlPr/>
              </m:sSubPr>
              <m:e>
                <m:r>
                  <m:t xml:space="preserve">𝐯</m:t>
                </m:r>
              </m:e>
              <m:sub>
                <m:r>
                  <m:t xml:space="preserve">i</m:t>
                </m:r>
              </m:sub>
            </m:sSub>
            <m:r>
              <m:t xml:space="preserve">⋅</m:t>
            </m:r>
            <m:sSub>
              <m:sSubPr>
                <m:ctrlPr/>
              </m:sSubPr>
              <m:e>
                <m:r>
                  <m:t xml:space="preserve">𝐰</m:t>
                </m:r>
              </m:e>
              <m:sub>
                <m:r>
                  <m:t xml:space="preserve">k</m:t>
                </m:r>
              </m:sub>
            </m:sSub>
            <m:r>
              <m:t xml:space="preserve">)</m:t>
            </m:r>
          </m:num>
          <m:den>
            <m:nary>
              <m:naryPr>
                <m:chr m:val="∑"/>
                <m:limLoc m:val="subSup"/>
                <m:grow m:val="1"/>
                <m:subHide m:val="off"/>
                <m:supHide m:val="off"/>
              </m:naryPr>
              <m:sub>
                <m:r>
                  <m:t xml:space="preserve">j=1</m:t>
                </m:r>
              </m:sub>
              <m:sup>
                <m:r>
                  <m:t xml:space="preserve">K</m:t>
                </m:r>
              </m:sup>
              <m:e>
                <m:r>
                  <m:t xml:space="preserve">exp⁡</m:t>
                </m:r>
              </m:e>
            </m:nary>
            <m:r>
              <m:t xml:space="preserve">(</m:t>
            </m:r>
            <m:sSub>
              <m:sSubPr>
                <m:ctrlPr/>
              </m:sSubPr>
              <m:e>
                <m:r>
                  <m:t xml:space="preserve">𝐯</m:t>
                </m:r>
              </m:e>
              <m:sub>
                <m:r>
                  <m:t xml:space="preserve">i</m:t>
                </m:r>
              </m:sub>
            </m:sSub>
            <m:r>
              <m:t xml:space="preserve">⋅</m:t>
            </m:r>
            <m:sSub>
              <m:sSubPr>
                <m:ctrlPr/>
              </m:sSubPr>
              <m:e>
                <m:r>
                  <m:t xml:space="preserve">𝐰</m:t>
                </m:r>
              </m:e>
              <m:sub>
                <m:r>
                  <m:t xml:space="preserve">j</m:t>
                </m:r>
              </m:sub>
            </m:sSub>
            <m:r>
              <m:t xml:space="preserve">)</m:t>
            </m:r>
          </m:den>
        </m:f>
      </m:oMath>
    </w:p>
    <w:p>
      <w:r>
        <w:rPr>
          <w:b w:val="false"/>
          <w:bCs w:val="false"/>
          <w:i w:val="false"/>
          <w:iCs w:val="false"/>
          <w:color w:val="000000"/>
        </w:rPr>
        <w:t xml:space="preserve">* **Logic:** </w:t>
      </w:r>
      <m:oMath xmlns:m="http://schemas.openxmlformats.org/officeDocument/2006/math" xmlns:w="http://schemas.openxmlformats.org/wordprocessingml/2006/main">
        <m:sSub>
          <m:sSubPr>
            <m:ctrlPr/>
          </m:sSubPr>
          <m:e>
            <m:r>
              <m:t xml:space="preserve">𝐯</m:t>
            </m:r>
          </m:e>
          <m:sub>
            <m:r>
              <m:t xml:space="preserve">i</m:t>
            </m:r>
          </m:sub>
        </m:sSub>
      </m:oMath>
      <w:r>
        <w:rPr>
          <w:b w:val="false"/>
          <w:bCs w:val="false"/>
          <w:i w:val="false"/>
          <w:iCs w:val="false"/>
          <w:color w:val="000000"/>
        </w:rPr>
        <w:t xml:space="preserve"> is the sentence vector from Equation 5, and </w:t>
      </w:r>
      <m:oMath xmlns:m="http://schemas.openxmlformats.org/officeDocument/2006/math" xmlns:w="http://schemas.openxmlformats.org/wordprocessingml/2006/main">
        <m:sSub>
          <m:sSubPr>
            <m:ctrlPr/>
          </m:sSubPr>
          <m:e>
            <m:r>
              <m:t xml:space="preserve">𝐰</m:t>
            </m:r>
          </m:e>
          <m:sub>
            <m:r>
              <m:t xml:space="preserve">k</m:t>
            </m:r>
          </m:sub>
        </m:sSub>
      </m:oMath>
      <w:r>
        <w:rPr>
          <w:b w:val="false"/>
          <w:bCs w:val="false"/>
          <w:i w:val="false"/>
          <w:iCs w:val="false"/>
          <w:color w:val="000000"/>
        </w:rPr>
        <w:t xml:space="preserve"> is the weight vector for the </w:t>
      </w:r>
      <m:oMath xmlns:m="http://schemas.openxmlformats.org/officeDocument/2006/math" xmlns:w="http://schemas.openxmlformats.org/wordprocessingml/2006/main">
        <m:r>
          <m:t xml:space="preserve">k</m:t>
        </m:r>
      </m:oMath>
      <w:r>
        <w:rPr>
          <w:b w:val="false"/>
          <w:bCs w:val="false"/>
          <w:i w:val="false"/>
          <w:iCs w:val="false"/>
          <w:color w:val="000000"/>
        </w:rPr>
        <w:t xml:space="preserve">-th ESG aspect (e.g., Scope 1 Emissions). This allows the model to handle cases where a sentence covers multiple aspects, assigning a probability to each to ensure the audit captures all relevant "cues" </w:t>
      </w:r>
      <w:sdt>
        <w:sdtPr>
          <w:tag w:val="CITATION ZhangH24"/>
          <w:id w:val="405169374"/>
          <w:citation/>
        </w:sdtPr>
        <w:sdtContent>
          <w:r>
            <w:fldChar w:fldCharType="begin"/>
          </w:r>
          <w:r>
            <w:instrText xml:space="preserve"> CITATION ZhangH24 \l 1033 </w:instrText>
          </w:r>
          <w:r>
            <w:fldChar w:fldCharType="separate"/>
          </w:r>
          <w:r>
            <w:rPr>
              <w:noProof/>
            </w:rPr>
            <w:t xml:space="preserve">(Zhang et al., 2024)</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Equation 11: Narrative Positivity (</w:t>
      </w:r>
      <m:oMath xmlns:m="http://schemas.openxmlformats.org/officeDocument/2006/math" xmlns:w="http://schemas.openxmlformats.org/wordprocessingml/2006/main">
        <m:r>
          <m:t xml:space="preserve">NP</m:t>
        </m:r>
      </m:oMath>
      <w:r>
        <w:rPr>
          <w:b w:val="false"/>
          <w:bCs w:val="false"/>
          <w:i w:val="false"/>
          <w:iCs w:val="false"/>
          <w:color w:val="000000"/>
        </w:rPr>
        <w:t xml:space="preserve">)</w:t>
      </w:r>
    </w:p>
    <w:p>
      <w:r>
        <w:rPr>
          <w:b w:val="false"/>
          <w:bCs w:val="false"/>
          <w:i w:val="false"/>
          <w:iCs w:val="false"/>
          <w:color w:val="000000"/>
        </w:rPr>
        <w:t xml:space="preserve">This formula quantifies the "Optimism Bias" often found in greenwashed reports by comparing the density of positive claims against negative/neutral ones </w:t>
      </w:r>
      <w:sdt>
        <w:sdtPr>
          <w:tag w:val="CITATION WangX25"/>
          <w:id w:val="1611261698"/>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NP=</m:t>
        </m:r>
        <m:f>
          <m:fPr>
            <m:type m:val="bar"/>
          </m:fPr>
          <m:num>
            <m:r>
              <m:t xml:space="preserve">∑</m:t>
            </m:r>
            <m:r>
              <m:t xml:space="preserve">[NPD</m:t>
            </m:r>
            <m:r>
              <m:t xml:space="preserve">(</m:t>
            </m:r>
            <m:sSub>
              <m:sSubPr>
                <m:ctrlPr/>
              </m:sSubPr>
              <m:e>
                <m:r>
                  <m:t xml:space="preserve">s</m:t>
                </m:r>
              </m:e>
              <m:sub>
                <m:r>
                  <m:t xml:space="preserve">i</m:t>
                </m:r>
              </m:sub>
            </m:sSub>
            <m:r>
              <m:t xml:space="preserve">)</m:t>
            </m:r>
            <m:r>
              <m:t xml:space="preserve">=1]</m:t>
            </m:r>
          </m:num>
          <m:den>
            <m:r>
              <m:t xml:space="preserve">∑</m:t>
            </m:r>
            <m:r>
              <m:t xml:space="preserve">[NPD</m:t>
            </m:r>
            <m:r>
              <m:t xml:space="preserve">(</m:t>
            </m:r>
            <m:sSub>
              <m:sSubPr>
                <m:ctrlPr/>
              </m:sSubPr>
              <m:e>
                <m:r>
                  <m:t xml:space="preserve">s</m:t>
                </m:r>
              </m:e>
              <m:sub>
                <m:r>
                  <m:t xml:space="preserve">i</m:t>
                </m:r>
              </m:sub>
            </m:sSub>
            <m:r>
              <m:t xml:space="preserve">)</m:t>
            </m:r>
            <m:r>
              <m:t xml:space="preserve">=1]</m:t>
            </m:r>
            <m:r>
              <m:t xml:space="preserve">+∑</m:t>
            </m:r>
            <m:r>
              <m:t xml:space="preserve">[NPD</m:t>
            </m:r>
            <m:r>
              <m:t xml:space="preserve">(</m:t>
            </m:r>
            <m:sSub>
              <m:sSubPr>
                <m:ctrlPr/>
              </m:sSubPr>
              <m:e>
                <m:r>
                  <m:t xml:space="preserve">s</m:t>
                </m:r>
              </m:e>
              <m:sub>
                <m:r>
                  <m:t xml:space="preserve">i</m:t>
                </m:r>
              </m:sub>
            </m:sSub>
            <m:r>
              <m:t xml:space="preserve">)</m:t>
            </m:r>
            <m:r>
              <m:t xml:space="preserve">=−1]</m:t>
            </m:r>
          </m:den>
        </m:f>
      </m:oMath>
    </w:p>
    <w:p>
      <w:r>
        <w:rPr>
          <w:b w:val="false"/>
          <w:bCs w:val="false"/>
          <w:i w:val="false"/>
          <w:iCs w:val="false"/>
          <w:color w:val="000000"/>
        </w:rPr>
        <w:t xml:space="preserve">* **Logic:** A high </w:t>
      </w:r>
      <m:oMath xmlns:m="http://schemas.openxmlformats.org/officeDocument/2006/math" xmlns:w="http://schemas.openxmlformats.org/wordprocessingml/2006/main">
        <m:r>
          <m:t xml:space="preserve">NP</m:t>
        </m:r>
      </m:oMath>
      <w:r>
        <w:rPr>
          <w:b w:val="false"/>
          <w:bCs w:val="false"/>
          <w:i w:val="false"/>
          <w:iCs w:val="false"/>
          <w:color w:val="000000"/>
        </w:rPr>
        <w:t xml:space="preserve"> score (e.g., </w:t>
      </w:r>
      <m:oMath xmlns:m="http://schemas.openxmlformats.org/officeDocument/2006/math" xmlns:w="http://schemas.openxmlformats.org/wordprocessingml/2006/main">
        <m:r>
          <m:t xml:space="preserve">&gt;0.9</m:t>
        </m:r>
      </m:oMath>
      <w:r>
        <w:rPr>
          <w:b w:val="false"/>
          <w:bCs w:val="false"/>
          <w:i w:val="false"/>
          <w:iCs w:val="false"/>
          <w:color w:val="000000"/>
        </w:rPr>
        <w:t xml:space="preserve">) indicates a report that focuses almost exclusively on positive outcomes, which is a known thematic feature for predicting the degree of corporate greenwashing </w:t>
      </w:r>
      <w:sdt>
        <w:sdtPr>
          <w:tag w:val="CITATION WangX25"/>
          <w:id w:val="1249199610"/>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3"/>
      </w:pPr>
      <w:r>
        <w:rPr>
          <w:b w:val="false"/>
          <w:bCs w:val="false"/>
          <w:i w:val="false"/>
          <w:iCs w:val="false"/>
          <w:color w:val="000000"/>
        </w:rPr>
        <w:t xml:space="preserve">Section 3.5: Greenwashing &amp; Framework Logic (Eq. 21–30)</w:t>
      </w:r>
    </w:p>
    <w:p>
      <w:r>
        <w:rPr>
          <w:b w:val="false"/>
          <w:bCs w:val="false"/>
          <w:i/>
          <w:iCs/>
          <w:color w:val="000000"/>
        </w:rPr>
        <w:t xml:space="preserve">This is the 11-page "Primary Innovation" layer. These equations define how the extracted features are combined to produce the final risk audit.</w:t>
      </w:r>
    </w:p>
    <w:p>
      <w:pPr>
        <w:pStyle w:val="Heading4"/>
      </w:pPr>
      <w:r>
        <w:rPr>
          <w:b w:val="false"/>
          <w:bCs w:val="false"/>
          <w:i w:val="false"/>
          <w:iCs w:val="false"/>
          <w:color w:val="000000"/>
        </w:rPr>
        <w:t xml:space="preserve">Equation 21: ESG-washing Severity Index (</w:t>
      </w:r>
      <m:oMath xmlns:m="http://schemas.openxmlformats.org/officeDocument/2006/math" xmlns:w="http://schemas.openxmlformats.org/wordprocessingml/2006/main">
        <m:r>
          <m:t xml:space="preserve">ESGSI</m:t>
        </m:r>
      </m:oMath>
      <w:r>
        <w:rPr>
          <w:b w:val="false"/>
          <w:bCs w:val="false"/>
          <w:i w:val="false"/>
          <w:iCs w:val="false"/>
          <w:color w:val="000000"/>
        </w:rPr>
        <w:t xml:space="preserve">)</w:t>
      </w:r>
    </w:p>
    <w:p>
      <w:r>
        <w:rPr>
          <w:b w:val="false"/>
          <w:bCs w:val="false"/>
          <w:i w:val="false"/>
          <w:iCs w:val="false"/>
          <w:color w:val="000000"/>
        </w:rPr>
        <w:t xml:space="preserve">To identify companies that use "soft language" to mask poor performance, we calculate the discrepancy between textual sentiment and quantitative disclosure </w:t>
      </w:r>
      <w:sdt>
        <w:sdtPr>
          <w:tag w:val="CITATION LagasioV24"/>
          <w:id w:val="107318183"/>
          <w:citation/>
        </w:sdtPr>
        <w:sdtContent>
          <w:r>
            <w:fldChar w:fldCharType="begin"/>
          </w:r>
          <w:r>
            <w:instrText xml:space="preserve"> CITATION LagasioV24 \l 1033 </w:instrText>
          </w:r>
          <w:r>
            <w:fldChar w:fldCharType="separate"/>
          </w:r>
          <w:r>
            <w:rPr>
              <w:noProof/>
            </w:rPr>
            <w:t xml:space="preserve">(Lagasio, 2024)</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ESGSI=α⋅</m:t>
        </m:r>
        <m:r>
          <m:rPr>
            <m:nor/>
          </m:rPr>
          <m:t xml:space="preserve">Sent</m:t>
        </m:r>
        <m:r>
          <m:t xml:space="preserve">−β⋅</m:t>
        </m:r>
        <m:r>
          <m:rPr>
            <m:nor/>
          </m:rPr>
          <m:t xml:space="preserve">Disc</m:t>
        </m:r>
      </m:oMath>
    </w:p>
    <w:p>
      <w:r>
        <w:rPr>
          <w:b w:val="false"/>
          <w:bCs w:val="false"/>
          <w:i w:val="false"/>
          <w:iCs w:val="false"/>
          <w:color w:val="000000"/>
        </w:rPr>
        <w:t xml:space="preserve">* **Logic:** </w:t>
      </w:r>
      <m:oMath xmlns:m="http://schemas.openxmlformats.org/officeDocument/2006/math" xmlns:w="http://schemas.openxmlformats.org/wordprocessingml/2006/main">
        <m:r>
          <m:rPr>
            <m:nor/>
          </m:rPr>
          <m:t xml:space="preserve">Sent</m:t>
        </m:r>
      </m:oMath>
      <w:r>
        <w:rPr>
          <w:b w:val="false"/>
          <w:bCs w:val="false"/>
          <w:i w:val="false"/>
          <w:iCs w:val="false"/>
          <w:color w:val="000000"/>
        </w:rPr>
        <w:t xml:space="preserve"> is the aggregated sentiment from Equation 11, and </w:t>
      </w:r>
      <m:oMath xmlns:m="http://schemas.openxmlformats.org/officeDocument/2006/math" xmlns:w="http://schemas.openxmlformats.org/wordprocessingml/2006/main">
        <m:r>
          <m:rPr>
            <m:nor/>
          </m:rPr>
          <m:t xml:space="preserve">Disc</m:t>
        </m:r>
      </m:oMath>
      <w:r>
        <w:rPr>
          <w:b w:val="false"/>
          <w:bCs w:val="false"/>
          <w:i w:val="false"/>
          <w:iCs w:val="false"/>
          <w:color w:val="000000"/>
        </w:rPr>
        <w:t xml:space="preserve"> is the "Disclosure Density". </w:t>
      </w:r>
      <m:oMath xmlns:m="http://schemas.openxmlformats.org/officeDocument/2006/math" xmlns:w="http://schemas.openxmlformats.org/wordprocessingml/2006/main">
        <m:r>
          <m:t xml:space="preserve">α</m:t>
        </m:r>
      </m:oMath>
      <w:r>
        <w:rPr>
          <w:b w:val="false"/>
          <w:bCs w:val="false"/>
          <w:i w:val="false"/>
          <w:iCs w:val="false"/>
          <w:color w:val="000000"/>
        </w:rPr>
        <w:t xml:space="preserve"> and </w:t>
      </w:r>
      <m:oMath xmlns:m="http://schemas.openxmlformats.org/officeDocument/2006/math" xmlns:w="http://schemas.openxmlformats.org/wordprocessingml/2006/main">
        <m:r>
          <m:t xml:space="preserve">β</m:t>
        </m:r>
      </m:oMath>
      <w:r>
        <w:rPr>
          <w:b w:val="false"/>
          <w:bCs w:val="false"/>
          <w:i w:val="false"/>
          <w:iCs w:val="false"/>
          <w:color w:val="000000"/>
        </w:rPr>
        <w:t xml:space="preserve"> are weighting coefficients. A high </w:t>
      </w:r>
      <m:oMath xmlns:m="http://schemas.openxmlformats.org/officeDocument/2006/math" xmlns:w="http://schemas.openxmlformats.org/wordprocessingml/2006/main">
        <m:r>
          <m:t xml:space="preserve">ESGSI</m:t>
        </m:r>
      </m:oMath>
      <w:r>
        <w:rPr>
          <w:b w:val="false"/>
          <w:bCs w:val="false"/>
          <w:i w:val="false"/>
          <w:iCs w:val="false"/>
          <w:color w:val="000000"/>
        </w:rPr>
        <w:t xml:space="preserve"> suggests that a company’s positive tone is not supported by a proportional density of hard metrics, a hallmark of ESG-washing </w:t>
      </w:r>
      <w:sdt>
        <w:sdtPr>
          <w:tag w:val="CITATION LagasioV24"/>
          <w:id w:val="814647054"/>
          <w:citation/>
        </w:sdtPr>
        <w:sdtContent>
          <w:r>
            <w:fldChar w:fldCharType="begin"/>
          </w:r>
          <w:r>
            <w:instrText xml:space="preserve"> CITATION LagasioV24 \l 1033 </w:instrText>
          </w:r>
          <w:r>
            <w:fldChar w:fldCharType="separate"/>
          </w:r>
          <w:r>
            <w:rPr>
              <w:noProof/>
            </w:rPr>
            <w:t xml:space="preserve">(Lagasio, 2024)</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Equation 22: Apparent Green Performance (</w:t>
      </w:r>
      <m:oMath xmlns:m="http://schemas.openxmlformats.org/officeDocument/2006/math" xmlns:w="http://schemas.openxmlformats.org/wordprocessingml/2006/main">
        <m:r>
          <m:t xml:space="preserve">a</m:t>
        </m:r>
        <m:sSup>
          <m:sSupPr>
            <m:ctrlPr/>
          </m:sSupPr>
          <m:e>
            <m:r>
              <m:t xml:space="preserve">p</m:t>
            </m:r>
          </m:e>
          <m:sup>
            <m:r>
              <m:t xml:space="preserve">(j)</m:t>
            </m:r>
          </m:sup>
        </m:sSup>
      </m:oMath>
      <w:r>
        <w:rPr>
          <w:b w:val="false"/>
          <w:bCs w:val="false"/>
          <w:i w:val="false"/>
          <w:iCs w:val="false"/>
          <w:color w:val="000000"/>
        </w:rPr>
        <w:t xml:space="preserve">)</w:t>
      </w:r>
    </w:p>
    <w:p>
      <w:r>
        <w:rPr>
          <w:b w:val="false"/>
          <w:bCs w:val="false"/>
          <w:i w:val="false"/>
          <w:iCs w:val="false"/>
          <w:color w:val="000000"/>
        </w:rPr>
        <w:t xml:space="preserve">We adopt a conceptual framework to measure the "Perceived" sustainability profile created by the report's text </w:t>
      </w:r>
      <w:sdt>
        <w:sdtPr>
          <w:tag w:val="CITATION DorfleitnerG23"/>
          <w:id w:val="1877693049"/>
          <w:citation/>
        </w:sdtPr>
        <w:sdtContent>
          <w:r>
            <w:fldChar w:fldCharType="begin"/>
          </w:r>
          <w:r>
            <w:instrText xml:space="preserve"> CITATION DorfleitnerG23 \l 1033 </w:instrText>
          </w:r>
          <w:r>
            <w:fldChar w:fldCharType="separate"/>
          </w:r>
          <w:r>
            <w:rPr>
              <w:noProof/>
            </w:rPr>
            <w:t xml:space="preserve">(Dorfleitner &amp; Utz, 2023)</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a</m:t>
        </m:r>
        <m:sSup>
          <m:sSupPr>
            <m:ctrlPr/>
          </m:sSupPr>
          <m:e>
            <m:r>
              <m:t xml:space="preserve">p</m:t>
            </m:r>
          </m:e>
          <m:sup>
            <m:r>
              <m:t xml:space="preserve">(j)</m:t>
            </m:r>
          </m:sup>
        </m:sSup>
        <m:r>
          <m:t xml:space="preserve">=</m:t>
        </m:r>
        <m:nary>
          <m:naryPr>
            <m:chr m:val="∑"/>
            <m:limLoc m:val="undOvr"/>
            <m:grow m:val="1"/>
            <m:subHide m:val="off"/>
            <m:supHide m:val="off"/>
          </m:naryPr>
          <m:sub>
            <m:r>
              <m:t xml:space="preserve">k=1</m:t>
            </m:r>
          </m:sub>
          <m:sup>
            <m:r>
              <m:t xml:space="preserve">n</m:t>
            </m:r>
          </m:sup>
          <m:e/>
        </m:nary>
        <m:sSub>
          <m:sSubPr>
            <m:ctrlPr/>
          </m:sSubPr>
          <m:e>
            <m:r>
              <m:t xml:space="preserve">w</m:t>
            </m:r>
          </m:e>
          <m:sub>
            <m:r>
              <m:t xml:space="preserve">k</m:t>
            </m:r>
          </m:sub>
        </m:sSub>
        <m:r>
          <m:t xml:space="preserve">⋅</m:t>
        </m:r>
        <m:sSub>
          <m:sSubPr>
            <m:ctrlPr/>
          </m:sSubPr>
          <m:e>
            <m:r>
              <m:t xml:space="preserve">f</m:t>
            </m:r>
          </m:e>
          <m:sub>
            <m:r>
              <m:t xml:space="preserve">aspect</m:t>
            </m:r>
          </m:sub>
        </m:sSub>
        <m:r>
          <m:t xml:space="preserve">(k)</m:t>
        </m:r>
        <m:r>
          <m:t xml:space="preserve">+</m:t>
        </m:r>
        <m:sSub>
          <m:sSubPr>
            <m:ctrlPr/>
          </m:sSubPr>
          <m:e>
            <m:r>
              <m:t xml:space="preserve">f</m:t>
            </m:r>
          </m:e>
          <m:sub>
            <m:r>
              <m:t xml:space="preserve">virtue</m:t>
            </m:r>
          </m:sub>
        </m:sSub>
        <m:r>
          <m:t xml:space="preserve">(s)</m:t>
        </m:r>
      </m:oMath>
    </w:p>
    <w:p>
      <w:r>
        <w:rPr>
          <w:b w:val="false"/>
          <w:bCs w:val="false"/>
          <w:i w:val="false"/>
          <w:iCs w:val="false"/>
          <w:color w:val="000000"/>
        </w:rPr>
        <w:t xml:space="preserve">* **Logic:** This formula sums the weighted materiality of each ESG aspect (</w:t>
      </w:r>
      <m:oMath xmlns:m="http://schemas.openxmlformats.org/officeDocument/2006/math" xmlns:w="http://schemas.openxmlformats.org/wordprocessingml/2006/main">
        <m:sSub>
          <m:sSubPr>
            <m:ctrlPr/>
          </m:sSubPr>
          <m:e>
            <m:r>
              <m:t xml:space="preserve">w</m:t>
            </m:r>
          </m:e>
          <m:sub>
            <m:r>
              <m:t xml:space="preserve">k</m:t>
            </m:r>
          </m:sub>
        </m:sSub>
      </m:oMath>
      <w:r>
        <w:rPr>
          <w:b w:val="false"/>
          <w:bCs w:val="false"/>
          <w:i w:val="false"/>
          <w:iCs w:val="false"/>
          <w:color w:val="000000"/>
        </w:rPr>
        <w:t xml:space="preserve">) and adds a "Virtue Signaling" factor. This represents the "Green Image" the company intends to project, which we then compare against external benchmarks in Equation 23 </w:t>
      </w:r>
      <w:sdt>
        <w:sdtPr>
          <w:tag w:val="CITATION DorfleitnerG23"/>
          <w:id w:val="555018556"/>
          <w:citation/>
        </w:sdtPr>
        <w:sdtContent>
          <w:r>
            <w:fldChar w:fldCharType="begin"/>
          </w:r>
          <w:r>
            <w:instrText xml:space="preserve"> CITATION DorfleitnerG23 \l 1033 </w:instrText>
          </w:r>
          <w:r>
            <w:fldChar w:fldCharType="separate"/>
          </w:r>
          <w:r>
            <w:rPr>
              <w:noProof/>
            </w:rPr>
            <w:t xml:space="preserve">(Dorfleitner &amp; Utz, 2023)</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Equation 24: Greenwashing Risk Score (</w:t>
      </w:r>
      <m:oMath xmlns:m="http://schemas.openxmlformats.org/officeDocument/2006/math" xmlns:w="http://schemas.openxmlformats.org/wordprocessingml/2006/main">
        <m:sSub>
          <m:sSubPr>
            <m:ctrlPr/>
          </m:sSubPr>
          <m:e>
            <m:r>
              <m:t xml:space="preserve">G</m:t>
            </m:r>
          </m:e>
          <m:sub>
            <m:r>
              <m:t xml:space="preserve">R</m:t>
            </m:r>
          </m:sub>
        </m:sSub>
      </m:oMath>
      <w:r>
        <w:rPr>
          <w:b w:val="false"/>
          <w:bCs w:val="false"/>
          <w:i w:val="false"/>
          <w:iCs w:val="false"/>
          <w:color w:val="000000"/>
        </w:rPr>
        <w:t xml:space="preserve">)</w:t>
      </w:r>
    </w:p>
    <w:p>
      <w:r>
        <w:rPr>
          <w:b w:val="false"/>
          <w:bCs w:val="false"/>
          <w:i w:val="false"/>
          <w:iCs w:val="false"/>
          <w:color w:val="000000"/>
        </w:rPr>
        <w:t xml:space="preserve">The primary output of your framework is the aggregated risk score, which fuses the Aspect-Action extracted features with thematic bias </w:t>
      </w:r>
      <w:sdt>
        <w:sdtPr>
          <w:tag w:val="CITATION VinellaA23"/>
          <w:id w:val="1546355365"/>
          <w:citation/>
        </w:sdtPr>
        <w:sdtContent>
          <w:r>
            <w:fldChar w:fldCharType="begin"/>
          </w:r>
          <w:r>
            <w:instrText xml:space="preserve"> CITATION VinellaA23 \m WangX25 \l 1033 </w:instrText>
          </w:r>
          <w:r>
            <w:fldChar w:fldCharType="separate"/>
          </w:r>
          <w:r>
            <w:rPr>
              <w:noProof/>
            </w:rPr>
            <w:t xml:space="preserve">(Vinella et al., 2023; Wang et al., 2025)</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sSub>
          <m:sSubPr>
            <m:ctrlPr/>
          </m:sSubPr>
          <m:e>
            <m:r>
              <m:t xml:space="preserve">G</m:t>
            </m:r>
          </m:e>
          <m:sub>
            <m:r>
              <m:t xml:space="preserve">R</m:t>
            </m:r>
          </m:sub>
        </m:sSub>
        <m:r>
          <m:t xml:space="preserve">=</m:t>
        </m:r>
        <m:r>
          <w:rPr/>
          <m:rPr>
            <m:nor/>
            <m:sty m:val="undefined"/>
          </m:rPr>
          <m:t xml:space="preserve">Φ</m:t>
        </m:r>
        <m:r>
          <m:t xml:space="preserve"/>
        </m:r>
        <m:r>
          <m:t xml:space="preserve">(T,NP,ESGLR,</m:t>
        </m:r>
        <m:r>
          <w:rPr/>
          <m:rPr>
            <m:nor/>
            <m:sty m:val="undefined"/>
          </m:rPr>
          <m:t xml:space="preserve">Δ</m:t>
        </m:r>
        <m:r>
          <m:t xml:space="preserve"/>
        </m:r>
        <m:r>
          <m:t xml:space="preserve">)</m:t>
        </m:r>
      </m:oMath>
    </w:p>
    <w:p>
      <w:r>
        <w:rPr>
          <w:b w:val="false"/>
          <w:bCs w:val="false"/>
          <w:i w:val="false"/>
          <w:iCs w:val="false"/>
          <w:color w:val="000000"/>
        </w:rPr>
        <w:t xml:space="preserve">* **Logic:** </w:t>
      </w:r>
      <m:oMath xmlns:m="http://schemas.openxmlformats.org/officeDocument/2006/math" xmlns:w="http://schemas.openxmlformats.org/wordprocessingml/2006/main">
        <m:r>
          <w:rPr/>
          <m:rPr>
            <m:nor/>
            <m:sty m:val="undefined"/>
          </m:rPr>
          <m:t xml:space="preserve">Φ</m:t>
        </m:r>
        <m:r>
          <m:t xml:space="preserve"/>
        </m:r>
      </m:oMath>
      <w:r>
        <w:rPr>
          <w:b w:val="false"/>
          <w:bCs w:val="false"/>
          <w:i w:val="false"/>
          <w:iCs w:val="false"/>
          <w:color w:val="000000"/>
        </w:rPr>
        <w:t xml:space="preserve"> is a multi-channel classifier (often a simple logistic or neural layer) that takes the **ABSA Tuple (</w:t>
      </w:r>
      <m:oMath xmlns:m="http://schemas.openxmlformats.org/officeDocument/2006/math" xmlns:w="http://schemas.openxmlformats.org/wordprocessingml/2006/main">
        <m:r>
          <m:t xml:space="preserve">T</m:t>
        </m:r>
      </m:oMath>
      <w:r>
        <w:rPr>
          <w:b w:val="false"/>
          <w:bCs w:val="false"/>
          <w:i w:val="false"/>
          <w:iCs w:val="false"/>
          <w:color w:val="000000"/>
        </w:rPr>
        <w:t xml:space="preserve">)**, **Narrative Positivity (</w:t>
      </w:r>
      <m:oMath xmlns:m="http://schemas.openxmlformats.org/officeDocument/2006/math" xmlns:w="http://schemas.openxmlformats.org/wordprocessingml/2006/main">
        <m:r>
          <m:t xml:space="preserve">NP</m:t>
        </m:r>
      </m:oMath>
      <w:r>
        <w:rPr>
          <w:b w:val="false"/>
          <w:bCs w:val="false"/>
          <w:i w:val="false"/>
          <w:iCs w:val="false"/>
          <w:color w:val="000000"/>
        </w:rPr>
        <w:t xml:space="preserve">)**, **Language Specificity (</w:t>
      </w:r>
      <m:oMath xmlns:m="http://schemas.openxmlformats.org/officeDocument/2006/math" xmlns:w="http://schemas.openxmlformats.org/wordprocessingml/2006/main">
        <m:r>
          <m:t xml:space="preserve">ESGLR</m:t>
        </m:r>
      </m:oMath>
      <w:r>
        <w:rPr>
          <w:b w:val="false"/>
          <w:bCs w:val="false"/>
          <w:i w:val="false"/>
          <w:iCs w:val="false"/>
          <w:color w:val="000000"/>
        </w:rPr>
        <w:t xml:space="preserve">)**, and **Semantic Discrepancy (</w:t>
      </w:r>
      <m:oMath xmlns:m="http://schemas.openxmlformats.org/officeDocument/2006/math" xmlns:w="http://schemas.openxmlformats.org/wordprocessingml/2006/main">
        <m:r>
          <w:rPr/>
          <m:rPr>
            <m:nor/>
            <m:sty m:val="undefined"/>
          </m:rPr>
          <m:t xml:space="preserve">Δ</m:t>
        </m:r>
        <m:r>
          <m:t xml:space="preserve"/>
        </m:r>
      </m:oMath>
      <w:r>
        <w:rPr>
          <w:b w:val="false"/>
          <w:bCs w:val="false"/>
          <w:i w:val="false"/>
          <w:iCs w:val="false"/>
          <w:color w:val="000000"/>
        </w:rPr>
        <w:t xml:space="preserve">)** as inputs. By integrating these diverse cues, the model can robustly predict the probability of greenwashing risk </w:t>
      </w:r>
      <w:sdt>
        <w:sdtPr>
          <w:tag w:val="CITATION WangX25"/>
          <w:id w:val="1300640618"/>
          <w:citation/>
        </w:sdtPr>
        <w:sdtContent>
          <w:r>
            <w:fldChar w:fldCharType="begin"/>
          </w:r>
          <w:r>
            <w:instrText xml:space="preserve"> CITATION WangX25 \m VinellaA23 \l 1033 </w:instrText>
          </w:r>
          <w:r>
            <w:fldChar w:fldCharType="separate"/>
          </w:r>
          <w:r>
            <w:rPr>
              <w:noProof/>
            </w:rPr>
            <w:t xml:space="preserve">(Vinella et al., 2023; Wang et al., 2025)</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Equation 29: Sustainability Quality Rating (</w:t>
      </w:r>
      <m:oMath xmlns:m="http://schemas.openxmlformats.org/officeDocument/2006/math" xmlns:w="http://schemas.openxmlformats.org/wordprocessingml/2006/main">
        <m:r>
          <m:t xml:space="preserve">QR</m:t>
        </m:r>
      </m:oMath>
      <w:r>
        <w:rPr>
          <w:b w:val="false"/>
          <w:bCs w:val="false"/>
          <w:i w:val="false"/>
          <w:iCs w:val="false"/>
          <w:color w:val="000000"/>
        </w:rPr>
        <w:t xml:space="preserve">)</w:t>
      </w:r>
    </w:p>
    <w:p>
      <w:r>
        <w:rPr>
          <w:b w:val="false"/>
          <w:bCs w:val="false"/>
          <w:i w:val="false"/>
          <w:iCs w:val="false"/>
          <w:color w:val="000000"/>
        </w:rPr>
        <w:t xml:space="preserve">Finally, we calculate a global quality score for the disclosure based on its semantic clarity and consistency </w:t>
      </w:r>
      <w:sdt>
        <w:sdtPr>
          <w:tag w:val="CITATION ConfettoM21"/>
          <w:id w:val="1117686432"/>
          <w:citation/>
        </w:sdtPr>
        <w:sdtContent>
          <w:r>
            <w:fldChar w:fldCharType="begin"/>
          </w:r>
          <w:r>
            <w:instrText xml:space="preserve"> CITATION ConfettoM21 \l 1033 </w:instrText>
          </w:r>
          <w:r>
            <w:fldChar w:fldCharType="separate"/>
          </w:r>
          <w:r>
            <w:rPr>
              <w:noProof/>
            </w:rPr>
            <w:t xml:space="preserve">(Confetto &amp; Covucci, 2021)</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QR=</m:t>
        </m:r>
        <m:f>
          <m:fPr>
            <m:type m:val="bar"/>
          </m:fPr>
          <m:num>
            <m:r>
              <m:t xml:space="preserve">Com</m:t>
            </m:r>
            <m:r>
              <m:t xml:space="preserve">(</m:t>
            </m:r>
            <m:sSub>
              <m:sSubPr>
                <m:ctrlPr/>
              </m:sSubPr>
              <m:e>
                <m:r>
                  <m:t xml:space="preserve">K</m:t>
                </m:r>
              </m:e>
              <m:sub>
                <m:r>
                  <m:t xml:space="preserve">1</m:t>
                </m:r>
              </m:sub>
            </m:sSub>
            <m:r>
              <m:t xml:space="preserve">)</m:t>
            </m:r>
            <m:r>
              <m:t xml:space="preserve">+Cla</m:t>
            </m:r>
            <m:r>
              <m:t xml:space="preserve">(</m:t>
            </m:r>
            <m:sSub>
              <m:sSubPr>
                <m:ctrlPr/>
              </m:sSubPr>
              <m:e>
                <m:r>
                  <m:t xml:space="preserve">K</m:t>
                </m:r>
              </m:e>
              <m:sub>
                <m:r>
                  <m:t xml:space="preserve">2</m:t>
                </m:r>
              </m:sub>
            </m:sSub>
            <m:r>
              <m:t xml:space="preserve">)</m:t>
            </m:r>
            <m:r>
              <m:t xml:space="preserve">+Con</m:t>
            </m:r>
            <m:r>
              <m:t xml:space="preserve">(</m:t>
            </m:r>
            <m:sSub>
              <m:sSubPr>
                <m:ctrlPr/>
              </m:sSubPr>
              <m:e>
                <m:r>
                  <m:t xml:space="preserve">K</m:t>
                </m:r>
              </m:e>
              <m:sub>
                <m:r>
                  <m:t xml:space="preserve">3</m:t>
                </m:r>
              </m:sub>
            </m:sSub>
            <m:r>
              <m:t xml:space="preserve">)</m:t>
            </m:r>
          </m:num>
          <m:den>
            <m:r>
              <m:t xml:space="preserve">3</m:t>
            </m:r>
          </m:den>
        </m:f>
      </m:oMath>
    </w:p>
    <w:p>
      <w:r>
        <w:rPr>
          <w:b w:val="false"/>
          <w:bCs w:val="false"/>
          <w:i w:val="false"/>
          <w:iCs w:val="false"/>
          <w:color w:val="000000"/>
        </w:rPr>
        <w:t xml:space="preserve">* **Logic:** Here, </w:t>
      </w:r>
      <m:oMath xmlns:m="http://schemas.openxmlformats.org/officeDocument/2006/math" xmlns:w="http://schemas.openxmlformats.org/wordprocessingml/2006/main">
        <m:r>
          <m:t xml:space="preserve">Com</m:t>
        </m:r>
      </m:oMath>
      <w:r>
        <w:rPr>
          <w:b w:val="false"/>
          <w:bCs w:val="false"/>
          <w:i w:val="false"/>
          <w:iCs w:val="false"/>
          <w:color w:val="000000"/>
        </w:rPr>
        <w:t xml:space="preserve"> represents Completeness (covering all material aspects), </w:t>
      </w:r>
      <m:oMath xmlns:m="http://schemas.openxmlformats.org/officeDocument/2006/math" xmlns:w="http://schemas.openxmlformats.org/wordprocessingml/2006/main">
        <m:r>
          <m:t xml:space="preserve">Cla</m:t>
        </m:r>
      </m:oMath>
      <w:r>
        <w:rPr>
          <w:b w:val="false"/>
          <w:bCs w:val="false"/>
          <w:i w:val="false"/>
          <w:iCs w:val="false"/>
          <w:color w:val="000000"/>
        </w:rPr>
        <w:t xml:space="preserve"> is Clarity (specificity of metrics), and </w:t>
      </w:r>
      <m:oMath xmlns:m="http://schemas.openxmlformats.org/officeDocument/2006/math" xmlns:w="http://schemas.openxmlformats.org/wordprocessingml/2006/main">
        <m:r>
          <m:t xml:space="preserve">Con</m:t>
        </m:r>
      </m:oMath>
      <w:r>
        <w:rPr>
          <w:b w:val="false"/>
          <w:bCs w:val="false"/>
          <w:i w:val="false"/>
          <w:iCs w:val="false"/>
          <w:color w:val="000000"/>
        </w:rPr>
        <w:t xml:space="preserve"> is Consistency (alignment between the text and historical data) </w:t>
      </w:r>
      <w:sdt>
        <w:sdtPr>
          <w:tag w:val="CITATION ConfettoM21"/>
          <w:id w:val="1783398412"/>
          <w:citation/>
        </w:sdtPr>
        <w:sdtContent>
          <w:r>
            <w:fldChar w:fldCharType="begin"/>
          </w:r>
          <w:r>
            <w:instrText xml:space="preserve"> CITATION ConfettoM21 \l 1033 </w:instrText>
          </w:r>
          <w:r>
            <w:fldChar w:fldCharType="separate"/>
          </w:r>
          <w:r>
            <w:rPr>
              <w:noProof/>
            </w:rPr>
            <w:t xml:space="preserve">(Confetto &amp; Covucci, 2021)</w:t>
          </w:r>
          <w:r>
            <w:fldChar w:fldCharType="end"/>
          </w:r>
        </w:sdtContent>
      </w:sdt>
      <w:r>
        <w:rPr>
          <w:b w:val="false"/>
          <w:bCs w:val="false"/>
          <w:i w:val="false"/>
          <w:iCs w:val="false"/>
          <w:color w:val="000000"/>
        </w:rPr>
        <w:t xml:space="preserve">. This rating allows for an easy-to-read "Sustainability SEO" score for investors.</w:t>
      </w:r>
    </w:p>
    <w:p>
      <w:pPr>
        <w:pBdr>
          <w:bottom w:val="single" w:color="auto" w:sz="6" w:space="1"/>
        </w:pBdr>
        <w:spacing w:after="240" w:before="240"/>
      </w:pPr>
    </w:p>
    <w:p>
      <w:pPr>
        <w:pStyle w:val="Heading3"/>
      </w:pPr>
      <w:r>
        <w:rPr>
          <w:b w:val="false"/>
          <w:bCs w:val="false"/>
          <w:i w:val="false"/>
          <w:iCs w:val="false"/>
          <w:color w:val="000000"/>
        </w:rPr>
        <w:t xml:space="preserve">Strategic Recommendation for Expansion</w:t>
      </w:r>
    </w:p>
    <w:p>
      <w:r>
        <w:rPr>
          <w:b w:val="false"/>
          <w:bCs w:val="false"/>
          <w:i w:val="false"/>
          <w:iCs w:val="false"/>
          <w:color w:val="000000"/>
        </w:rPr>
        <w:t xml:space="preserve">To ensure these equations help you hit your page-length targets:</w:t>
      </w:r>
    </w:p>
    <w:p>
      <w:pPr>
        <w:pStyle w:val="ListParagraph"/>
        <w:numPr>
          <w:ilvl w:val="0"/>
          <w:numId w:val="7"/>
        </w:numPr>
      </w:pPr>
      <w:r>
        <w:rPr>
          <w:b/>
          <w:bCs/>
          <w:i w:val="false"/>
          <w:iCs w:val="false"/>
          <w:color w:val="000000"/>
        </w:rPr>
        <w:t xml:space="preserve">Iterative Proofs:</w:t>
      </w:r>
      <w:r>
        <w:rPr>
          <w:b w:val="false"/>
          <w:bCs w:val="false"/>
          <w:i w:val="false"/>
          <w:iCs w:val="false"/>
          <w:color w:val="000000"/>
        </w:rPr>
        <w:t xml:space="preserve"> In Section 3.5, don't just state Equation 24. Instead, spend 2 pages deriving how the </w:t>
      </w:r>
      <w:r>
        <w:rPr>
          <w:b/>
          <w:bCs/>
          <w:i w:val="false"/>
          <w:iCs w:val="false"/>
          <w:color w:val="000000"/>
        </w:rPr>
        <w:t xml:space="preserve">Aspect-Action</w:t>
      </w:r>
      <w:r>
        <w:rPr>
          <w:b w:val="false"/>
          <w:bCs w:val="false"/>
          <w:i w:val="false"/>
          <w:iCs w:val="false"/>
          <w:color w:val="000000"/>
        </w:rPr>
        <w:t xml:space="preserve"> logic from Chapter 3.4.1 </w:t>
      </w:r>
      <w:sdt>
        <w:sdtPr>
          <w:tag w:val="CITATION OngK25"/>
          <w:id w:val="1928412429"/>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 flows into the </w:t>
      </w:r>
      <m:oMath xmlns:m="http://schemas.openxmlformats.org/officeDocument/2006/math" xmlns:w="http://schemas.openxmlformats.org/wordprocessingml/2006/main">
        <m:sSub>
          <m:sSubPr>
            <m:ctrlPr/>
          </m:sSubPr>
          <m:e>
            <m:r>
              <m:t xml:space="preserve">G</m:t>
            </m:r>
          </m:e>
          <m:sub>
            <m:r>
              <m:t xml:space="preserve">R</m:t>
            </m:r>
          </m:sub>
        </m:sSub>
      </m:oMath>
      <w:r>
        <w:rPr>
          <w:b w:val="false"/>
          <w:bCs w:val="false"/>
          <w:i w:val="false"/>
          <w:iCs w:val="false"/>
          <w:color w:val="000000"/>
        </w:rPr>
        <w:t xml:space="preserve"> classifier.</w:t>
      </w:r>
    </w:p>
    <w:p>
      <w:pPr>
        <w:pStyle w:val="ListParagraph"/>
        <w:numPr>
          <w:ilvl w:val="0"/>
          <w:numId w:val="7"/>
        </w:numPr>
      </w:pPr>
      <w:r>
        <w:rPr>
          <w:b/>
          <w:bCs/>
          <w:i w:val="false"/>
          <w:iCs w:val="false"/>
          <w:color w:val="000000"/>
        </w:rPr>
        <w:t xml:space="preserve">Sensitivity Analysis:</w:t>
      </w:r>
      <w:r>
        <w:rPr>
          <w:b w:val="false"/>
          <w:bCs w:val="false"/>
          <w:i w:val="false"/>
          <w:iCs w:val="false"/>
          <w:color w:val="000000"/>
        </w:rPr>
        <w:t xml:space="preserve"> Discuss how changing the weights (</w:t>
      </w:r>
      <m:oMath xmlns:m="http://schemas.openxmlformats.org/officeDocument/2006/math" xmlns:w="http://schemas.openxmlformats.org/wordprocessingml/2006/main">
        <m:r>
          <m:t xml:space="preserve">α,β</m:t>
        </m:r>
      </m:oMath>
      <w:r>
        <w:rPr>
          <w:b w:val="false"/>
          <w:bCs w:val="false"/>
          <w:i w:val="false"/>
          <w:iCs w:val="false"/>
          <w:color w:val="000000"/>
        </w:rPr>
        <w:t xml:space="preserve">) in Equation 21 changes the sensitivity of the greenwashing detection. This "Technical Justification" is a key writing pattern in your 37-page reference </w:t>
      </w:r>
      <w:sdt>
        <w:sdtPr>
          <w:tag w:val="CITATION OngK252"/>
          <w:id w:val="2003301623"/>
          <w:citation/>
        </w:sdtPr>
        <w:sdtContent>
          <w:r>
            <w:fldChar w:fldCharType="begin"/>
          </w:r>
          <w:r>
            <w:instrText xml:space="preserve"> CITATION OngK252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pStyle w:val="ListParagraph"/>
        <w:numPr>
          <w:ilvl w:val="0"/>
          <w:numId w:val="7"/>
        </w:numPr>
      </w:pPr>
      <w:r>
        <w:rPr>
          <w:b/>
          <w:bCs/>
          <w:i w:val="false"/>
          <w:iCs w:val="false"/>
          <w:color w:val="000000"/>
        </w:rPr>
        <w:t xml:space="preserve">Visual Anchors:</w:t>
      </w:r>
      <w:r>
        <w:rPr>
          <w:b w:val="false"/>
          <w:bCs w:val="false"/>
          <w:i w:val="false"/>
          <w:iCs w:val="false"/>
          <w:color w:val="000000"/>
        </w:rPr>
        <w:t xml:space="preserve"> Include a "Logic Gate" diagram for Equation 30 (the Final Audit Classifier), showing how a claim moves from "Detected" to "Analyzed" to "Risk Categorized."</w:t>
      </w:r>
    </w:p>
    <w:p>
      <w:r>
        <w:rPr>
          <w:b/>
          <w:bCs/>
          <w:i w:val="false"/>
          <w:iCs w:val="false"/>
          <w:color w:val="000000"/>
        </w:rPr>
        <w:t xml:space="preserve">Daris Dzakwan, would you like the final batch for the Evaluation Metrics (Eq. 31–35) to finalize your Chapter 4 structure?</w:t>
      </w:r>
    </w:p>
    <w:p>
      <w:r>
        <w:rPr>
          <w:b w:val="false"/>
          <w:bCs w:val="false"/>
          <w:i w:val="false"/>
          <w:iCs w:val="false"/>
          <w:color w:val="000000"/>
        </w:rPr>
        <w:t xml:space="preserve">Daris Dzakwan, this final batch provides the complete technical elaboration for the </w:t>
      </w:r>
      <w:r>
        <w:rPr>
          <w:b/>
          <w:bCs/>
          <w:i w:val="false"/>
          <w:iCs w:val="false"/>
          <w:color w:val="000000"/>
        </w:rPr>
        <w:t xml:space="preserve">Greenwashing Framework Logic (Section 3.5)</w:t>
      </w:r>
      <w:r>
        <w:rPr>
          <w:b w:val="false"/>
          <w:bCs w:val="false"/>
          <w:i w:val="false"/>
          <w:iCs w:val="false"/>
          <w:color w:val="000000"/>
        </w:rPr>
        <w:t xml:space="preserve"> and the </w:t>
      </w:r>
      <w:r>
        <w:rPr>
          <w:b/>
          <w:bCs/>
          <w:i w:val="false"/>
          <w:iCs w:val="false"/>
          <w:color w:val="000000"/>
        </w:rPr>
        <w:t xml:space="preserve">Evaluation Metrics (Section 4.2)</w:t>
      </w:r>
      <w:r>
        <w:rPr>
          <w:b w:val="false"/>
          <w:bCs w:val="false"/>
          <w:i w:val="false"/>
          <w:iCs w:val="false"/>
          <w:color w:val="000000"/>
        </w:rPr>
        <w:t xml:space="preserve">. These formulations are essential for reaching the 11-page and 1.5-page depth targets, respectively, by formalizing how the system identifies "virtue signaling" and validates its own accuracy.</w:t>
      </w:r>
    </w:p>
    <w:p>
      <w:pPr>
        <w:pBdr>
          <w:bottom w:val="single" w:color="auto" w:sz="6" w:space="1"/>
        </w:pBdr>
        <w:spacing w:after="240" w:before="240"/>
      </w:pPr>
    </w:p>
    <w:p>
      <w:pPr>
        <w:pStyle w:val="Heading3"/>
      </w:pPr>
      <w:r>
        <w:rPr>
          <w:b w:val="false"/>
          <w:bCs w:val="false"/>
          <w:i w:val="false"/>
          <w:iCs w:val="false"/>
          <w:color w:val="000000"/>
        </w:rPr>
        <w:t xml:space="preserve">Section 3.5: Greenwashing &amp; Framework Logic (Eq. 21–30)</w:t>
      </w:r>
    </w:p>
    <w:p>
      <w:r>
        <w:rPr>
          <w:b w:val="false"/>
          <w:bCs w:val="false"/>
          <w:i/>
          <w:iCs/>
          <w:color w:val="000000"/>
        </w:rPr>
        <w:t xml:space="preserve">This is the 11-page "Primary Innovation" layer. Its role is to define the logical fusion of cues—sentiment, specificity, and action—to detect ESG-washing.</w:t>
      </w:r>
    </w:p>
    <w:p>
      <w:pPr>
        <w:pStyle w:val="Heading4"/>
      </w:pPr>
      <w:r>
        <w:rPr>
          <w:b w:val="false"/>
          <w:bCs w:val="false"/>
          <w:i w:val="false"/>
          <w:iCs w:val="false"/>
          <w:color w:val="000000"/>
        </w:rPr>
        <w:t xml:space="preserve">Equation 23: Discrepancy Score (</w:t>
      </w:r>
      <m:oMath xmlns:m="http://schemas.openxmlformats.org/officeDocument/2006/math" xmlns:w="http://schemas.openxmlformats.org/wordprocessingml/2006/main">
        <m:r>
          <w:rPr/>
          <m:rPr>
            <m:nor/>
            <m:sty m:val="undefined"/>
          </m:rPr>
          <m:t xml:space="preserve">Δ</m:t>
        </m:r>
        <m:r>
          <m:t xml:space="preserve"/>
        </m:r>
      </m:oMath>
      <w:r>
        <w:rPr>
          <w:b w:val="false"/>
          <w:bCs w:val="false"/>
          <w:i w:val="false"/>
          <w:iCs w:val="false"/>
          <w:color w:val="000000"/>
        </w:rPr>
        <w:t xml:space="preserve">)</w:t>
      </w:r>
    </w:p>
    <w:p>
      <w:r>
        <w:rPr>
          <w:b w:val="false"/>
          <w:bCs w:val="false"/>
          <w:i w:val="false"/>
          <w:iCs w:val="false"/>
          <w:color w:val="000000"/>
        </w:rPr>
        <w:t xml:space="preserve">To detect "Sentiment Inflation," we measure the semantic distance between the company's stated sentiment and the audit extracted by a domain-specific benchmark like ClimateBERT </w:t>
      </w:r>
      <w:sdt>
        <w:sdtPr>
          <w:tag w:val="CITATION VinellaA23"/>
          <w:id w:val="1165935418"/>
          <w:citation/>
        </w:sdtPr>
        <w:sdtContent>
          <w:r>
            <w:fldChar w:fldCharType="begin"/>
          </w:r>
          <w:r>
            <w:instrText xml:space="preserve"> CITATION VinellaA23 \l 1033 </w:instrText>
          </w:r>
          <w:r>
            <w:fldChar w:fldCharType="separate"/>
          </w:r>
          <w:r>
            <w:rPr>
              <w:noProof/>
            </w:rPr>
            <w:t xml:space="preserve">(Vinella et al., 2023)</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w:rPr/>
          <m:rPr>
            <m:nor/>
            <m:sty m:val="undefined"/>
          </m:rPr>
          <m:t xml:space="preserve">Δ</m:t>
        </m:r>
        <m:r>
          <m:t xml:space="preserve"/>
        </m:r>
        <m:r>
          <m:t xml:space="preserve">=‖</m:t>
        </m:r>
        <m:sSub>
          <m:sSubPr>
            <m:ctrlPr/>
          </m:sSubPr>
          <m:e>
            <m:r>
              <m:t xml:space="preserve">𝐯</m:t>
            </m:r>
          </m:e>
          <m:sub>
            <m:r>
              <m:t xml:space="preserve">claim</m:t>
            </m:r>
          </m:sub>
        </m:sSub>
        <m:r>
          <m:t xml:space="preserve">−</m:t>
        </m:r>
        <m:sSub>
          <m:sSubPr>
            <m:ctrlPr/>
          </m:sSubPr>
          <m:e>
            <m:r>
              <m:t xml:space="preserve">𝐯</m:t>
            </m:r>
          </m:e>
          <m:sub>
            <m:r>
              <m:t xml:space="preserve">audit</m:t>
            </m:r>
          </m:sub>
        </m:sSub>
        <m:sSub>
          <m:sSubPr>
            <m:ctrlPr/>
          </m:sSubPr>
          <m:e>
            <m:r>
              <m:t xml:space="preserve">‖</m:t>
            </m:r>
          </m:e>
          <m:sub>
            <m:r>
              <m:t xml:space="preserve">2</m:t>
            </m:r>
          </m:sub>
        </m:sSub>
      </m:oMath>
    </w:p>
    <w:p>
      <w:r>
        <w:rPr>
          <w:b w:val="false"/>
          <w:bCs w:val="false"/>
          <w:i w:val="false"/>
          <w:iCs w:val="false"/>
          <w:color w:val="000000"/>
        </w:rPr>
        <w:t xml:space="preserve">* **Logic:** </w:t>
      </w:r>
      <m:oMath xmlns:m="http://schemas.openxmlformats.org/officeDocument/2006/math" xmlns:w="http://schemas.openxmlformats.org/wordprocessingml/2006/main">
        <m:sSub>
          <m:sSubPr>
            <m:ctrlPr/>
          </m:sSubPr>
          <m:e>
            <m:r>
              <m:t xml:space="preserve">𝐯</m:t>
            </m:r>
          </m:e>
          <m:sub>
            <m:r>
              <m:t xml:space="preserve">claim</m:t>
            </m:r>
          </m:sub>
        </m:sSub>
      </m:oMath>
      <w:r>
        <w:rPr>
          <w:b w:val="false"/>
          <w:bCs w:val="false"/>
          <w:i w:val="false"/>
          <w:iCs w:val="false"/>
          <w:color w:val="000000"/>
        </w:rPr>
        <w:t xml:space="preserve"> represents the company's narrative vector, while </w:t>
      </w:r>
      <m:oMath xmlns:m="http://schemas.openxmlformats.org/officeDocument/2006/math" xmlns:w="http://schemas.openxmlformats.org/wordprocessingml/2006/main">
        <m:sSub>
          <m:sSubPr>
            <m:ctrlPr/>
          </m:sSubPr>
          <m:e>
            <m:r>
              <m:t xml:space="preserve">𝐯</m:t>
            </m:r>
          </m:e>
          <m:sub>
            <m:r>
              <m:t xml:space="preserve">audit</m:t>
            </m:r>
          </m:sub>
        </m:sSub>
      </m:oMath>
      <w:r>
        <w:rPr>
          <w:b w:val="false"/>
          <w:bCs w:val="false"/>
          <w:i w:val="false"/>
          <w:iCs w:val="false"/>
          <w:color w:val="000000"/>
        </w:rPr>
        <w:t xml:space="preserve"> represents the objective extraction from the framework. A high Euclidean distance (</w:t>
      </w:r>
      <m:oMath xmlns:m="http://schemas.openxmlformats.org/officeDocument/2006/math" xmlns:w="http://schemas.openxmlformats.org/wordprocessingml/2006/main">
        <m:r>
          <w:rPr/>
          <m:rPr>
            <m:nor/>
            <m:sty m:val="undefined"/>
          </m:rPr>
          <m:t xml:space="preserve">Δ</m:t>
        </m:r>
        <m:r>
          <m:t xml:space="preserve"/>
        </m:r>
      </m:oMath>
      <w:r>
        <w:rPr>
          <w:b w:val="false"/>
          <w:bCs w:val="false"/>
          <w:i w:val="false"/>
          <w:iCs w:val="false"/>
          <w:color w:val="000000"/>
        </w:rPr>
        <w:t xml:space="preserve">) indicates that the company is using high-sentiment "soft language" to describe an aspect that the audit model identifies as low-performance or ambiguous </w:t>
      </w:r>
      <w:sdt>
        <w:sdtPr>
          <w:tag w:val="CITATION OngK25"/>
          <w:id w:val="1579243251"/>
          <w:citation/>
        </w:sdtPr>
        <w:sdtContent>
          <w:r>
            <w:fldChar w:fldCharType="begin"/>
          </w:r>
          <w:r>
            <w:instrText xml:space="preserve"> CITATION OngK25 \m VinellaA23 \l 1033 </w:instrText>
          </w:r>
          <w:r>
            <w:fldChar w:fldCharType="separate"/>
          </w:r>
          <w:r>
            <w:rPr>
              <w:noProof/>
            </w:rPr>
            <w:t xml:space="preserve">(Ong et al., 2025; Vinella et al., 2023)</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Equation 25: Virtue Signaling Score (</w:t>
      </w:r>
      <m:oMath xmlns:m="http://schemas.openxmlformats.org/officeDocument/2006/math" xmlns:w="http://schemas.openxmlformats.org/wordprocessingml/2006/main">
        <m:r>
          <m:t xml:space="preserve">VSS</m:t>
        </m:r>
      </m:oMath>
      <w:r>
        <w:rPr>
          <w:b w:val="false"/>
          <w:bCs w:val="false"/>
          <w:i w:val="false"/>
          <w:iCs w:val="false"/>
          <w:color w:val="000000"/>
        </w:rPr>
        <w:t xml:space="preserve">)</w:t>
      </w:r>
    </w:p>
    <w:p>
      <w:r>
        <w:rPr>
          <w:b w:val="false"/>
          <w:bCs w:val="false"/>
          <w:i w:val="false"/>
          <w:iCs w:val="false"/>
          <w:color w:val="000000"/>
        </w:rPr>
        <w:t xml:space="preserve">This identifies high-sentiment statements that lack any verifiable link to a quantitative metric </w:t>
      </w:r>
      <w:sdt>
        <w:sdtPr>
          <w:tag w:val="CITATION DorfleitnerG23"/>
          <w:id w:val="1418112647"/>
          <w:citation/>
        </w:sdtPr>
        <w:sdtContent>
          <w:r>
            <w:fldChar w:fldCharType="begin"/>
          </w:r>
          <w:r>
            <w:instrText xml:space="preserve"> CITATION DorfleitnerG23 \l 1033 </w:instrText>
          </w:r>
          <w:r>
            <w:fldChar w:fldCharType="separate"/>
          </w:r>
          <w:r>
            <w:rPr>
              <w:noProof/>
            </w:rPr>
            <w:t xml:space="preserve">(Dorfleitner &amp; Utz, 2023)</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VSS=∑</m:t>
        </m:r>
        <m:r>
          <m:t xml:space="preserve">[NPD</m:t>
        </m:r>
        <m:r>
          <m:t xml:space="preserve">(</m:t>
        </m:r>
        <m:sSub>
          <m:sSubPr>
            <m:ctrlPr/>
          </m:sSubPr>
          <m:e>
            <m:r>
              <m:t xml:space="preserve">s</m:t>
            </m:r>
          </m:e>
          <m:sub>
            <m:r>
              <m:t xml:space="preserve">i</m:t>
            </m:r>
          </m:sub>
        </m:sSub>
        <m:r>
          <m:t xml:space="preserve">)</m:t>
        </m:r>
        <m:r>
          <m:t xml:space="preserve">=1]</m:t>
        </m:r>
        <m:r>
          <m:t xml:space="preserve">⋅𝕀</m:t>
        </m:r>
        <m:r>
          <m:t xml:space="preserve">(</m:t>
        </m:r>
        <m:r>
          <m:rPr>
            <m:nor/>
          </m:rPr>
          <m:t xml:space="preserve">Metric</m:t>
        </m:r>
        <m:r>
          <m:t xml:space="preserve">(</m:t>
        </m:r>
        <m:sSub>
          <m:sSubPr>
            <m:ctrlPr/>
          </m:sSubPr>
          <m:e>
            <m:r>
              <m:t xml:space="preserve">s</m:t>
            </m:r>
          </m:e>
          <m:sub>
            <m:r>
              <m:t xml:space="preserve">i</m:t>
            </m:r>
          </m:sub>
        </m:sSub>
        <m:r>
          <m:t xml:space="preserve">)</m:t>
        </m:r>
        <m:r>
          <m:t xml:space="preserve">=∅)</m:t>
        </m:r>
      </m:oMath>
    </w:p>
    <w:p>
      <w:r>
        <w:rPr>
          <w:b w:val="false"/>
          <w:bCs w:val="false"/>
          <w:i w:val="false"/>
          <w:iCs w:val="false"/>
          <w:color w:val="000000"/>
        </w:rPr>
        <w:t xml:space="preserve">* **Logic:** </w:t>
      </w:r>
      <m:oMath xmlns:m="http://schemas.openxmlformats.org/officeDocument/2006/math" xmlns:w="http://schemas.openxmlformats.org/wordprocessingml/2006/main">
        <m:r>
          <m:t xml:space="preserve">𝕀</m:t>
        </m:r>
      </m:oMath>
      <w:r>
        <w:rPr>
          <w:b w:val="false"/>
          <w:bCs w:val="false"/>
          <w:i w:val="false"/>
          <w:iCs w:val="false"/>
          <w:color w:val="000000"/>
        </w:rPr>
        <w:t xml:space="preserve"> is an indicator function that returns $1</w:t>
      </w:r>
      <m:oMath xmlns:m="http://schemas.openxmlformats.org/officeDocument/2006/math" xmlns:w="http://schemas.openxmlformats.org/wordprocessingml/2006/main">
        <m:r>
          <m:t xml:space="preserve">ifthesentence</m:t>
        </m:r>
      </m:oMath>
      <w:r>
        <w:rPr>
          <w:b w:val="false"/>
          <w:bCs w:val="false"/>
          <w:i w:val="false"/>
          <w:iCs w:val="false"/>
          <w:color w:val="000000"/>
        </w:rPr>
        <w:t xml:space="preserve">s_i$ contains no quantitative metric. This captures "symbolic" corporate behavior where companies express positive commitment without disclosing the "hard" data required for accountability </w:t>
      </w:r>
      <w:sdt>
        <w:sdtPr>
          <w:tag w:val="CITATION LagasioV24"/>
          <w:id w:val="1491603688"/>
          <w:citation/>
        </w:sdtPr>
        <w:sdtContent>
          <w:r>
            <w:fldChar w:fldCharType="begin"/>
          </w:r>
          <w:r>
            <w:instrText xml:space="preserve"> CITATION LagasioV24 \m DorfleitnerG23 \l 1033 </w:instrText>
          </w:r>
          <w:r>
            <w:fldChar w:fldCharType="separate"/>
          </w:r>
          <w:r>
            <w:rPr>
              <w:noProof/>
            </w:rPr>
            <w:t xml:space="preserve">(Dorfleitner &amp; Utz, 2023; Lagasio, 2024)</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Equation 26: Claim Consistency Ratio (</w:t>
      </w:r>
      <m:oMath xmlns:m="http://schemas.openxmlformats.org/officeDocument/2006/math" xmlns:w="http://schemas.openxmlformats.org/wordprocessingml/2006/main">
        <m:r>
          <m:t xml:space="preserve">CR</m:t>
        </m:r>
      </m:oMath>
      <w:r>
        <w:rPr>
          <w:b w:val="false"/>
          <w:bCs w:val="false"/>
          <w:i w:val="false"/>
          <w:iCs w:val="false"/>
          <w:color w:val="000000"/>
        </w:rPr>
        <w:t xml:space="preserve">)</w:t>
      </w:r>
    </w:p>
    <w:p>
      <w:r>
        <w:rPr>
          <w:b w:val="false"/>
          <w:bCs w:val="false"/>
          <w:i w:val="false"/>
          <w:iCs w:val="false"/>
          <w:color w:val="000000"/>
        </w:rPr>
        <w:t xml:space="preserve">To measure document-level reliability, we calculate the ratio of qualitative claims that are supported by concrete data </w:t>
      </w:r>
      <w:sdt>
        <w:sdtPr>
          <w:tag w:val="CITATION KlnY26"/>
          <w:id w:val="737124940"/>
          <w:citation/>
        </w:sdtPr>
        <w:sdtContent>
          <w:r>
            <w:fldChar w:fldCharType="begin"/>
          </w:r>
          <w:r>
            <w:instrText xml:space="preserve"> CITATION KlnY26 \l 1033 </w:instrText>
          </w:r>
          <w:r>
            <w:fldChar w:fldCharType="separate"/>
          </w:r>
          <w:r>
            <w:rPr>
              <w:noProof/>
            </w:rPr>
            <w:t xml:space="preserve">(Kılınç et al., 2026)</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CR=</m:t>
        </m:r>
        <m:f>
          <m:fPr>
            <m:type m:val="bar"/>
          </m:fPr>
          <m:num>
            <m:r>
              <m:t xml:space="preserve">∑</m:t>
            </m:r>
            <m:sSub>
              <m:sSubPr>
                <m:ctrlPr/>
              </m:sSubPr>
              <m:e>
                <m:r>
                  <m:t xml:space="preserve">T</m:t>
                </m:r>
              </m:e>
              <m:sub>
                <m:r>
                  <m:t xml:space="preserve">supported</m:t>
                </m:r>
              </m:sub>
            </m:sSub>
          </m:num>
          <m:den>
            <m:r>
              <m:t xml:space="preserve">∑</m:t>
            </m:r>
            <m:sSub>
              <m:sSubPr>
                <m:ctrlPr/>
              </m:sSubPr>
              <m:e>
                <m:r>
                  <m:t xml:space="preserve">T</m:t>
                </m:r>
              </m:e>
              <m:sub>
                <m:r>
                  <m:t xml:space="preserve">total</m:t>
                </m:r>
              </m:sub>
            </m:sSub>
          </m:den>
        </m:f>
      </m:oMath>
    </w:p>
    <w:p>
      <w:r>
        <w:rPr>
          <w:b w:val="false"/>
          <w:bCs w:val="false"/>
          <w:i w:val="false"/>
          <w:iCs w:val="false"/>
          <w:color w:val="000000"/>
        </w:rPr>
        <w:t xml:space="preserve">* **Logic:** A claim is "supported" if the ABSA tuple </w:t>
      </w:r>
      <m:oMath xmlns:m="http://schemas.openxmlformats.org/officeDocument/2006/math" xmlns:w="http://schemas.openxmlformats.org/wordprocessingml/2006/main">
        <m:r>
          <m:t xml:space="preserve">T</m:t>
        </m:r>
      </m:oMath>
      <w:r>
        <w:rPr>
          <w:b w:val="false"/>
          <w:bCs w:val="false"/>
          <w:i w:val="false"/>
          <w:iCs w:val="false"/>
          <w:color w:val="000000"/>
        </w:rPr>
        <w:t xml:space="preserve"> includes a grounded reference (</w:t>
      </w:r>
      <m:oMath xmlns:m="http://schemas.openxmlformats.org/officeDocument/2006/math" xmlns:w="http://schemas.openxmlformats.org/wordprocessingml/2006/main">
        <m:r>
          <m:t xml:space="preserve">g</m:t>
        </m:r>
      </m:oMath>
      <w:r>
        <w:rPr>
          <w:b w:val="false"/>
          <w:bCs w:val="false"/>
          <w:i w:val="false"/>
          <w:iCs w:val="false"/>
          <w:color w:val="000000"/>
        </w:rPr>
        <w:t xml:space="preserve">) to a numerical table or specific metric </w:t>
      </w:r>
      <w:sdt>
        <w:sdtPr>
          <w:tag w:val="CITATION VinellaA23"/>
          <w:id w:val="363400058"/>
          <w:citation/>
        </w:sdtPr>
        <w:sdtContent>
          <w:r>
            <w:fldChar w:fldCharType="begin"/>
          </w:r>
          <w:r>
            <w:instrText xml:space="preserve"> CITATION VinellaA23 \l 1033 </w:instrText>
          </w:r>
          <w:r>
            <w:fldChar w:fldCharType="separate"/>
          </w:r>
          <w:r>
            <w:rPr>
              <w:noProof/>
            </w:rPr>
            <w:t xml:space="preserve">(Vinella et al., 2023)</w:t>
          </w:r>
          <w:r>
            <w:fldChar w:fldCharType="end"/>
          </w:r>
        </w:sdtContent>
      </w:sdt>
      <w:r>
        <w:rPr>
          <w:b w:val="false"/>
          <w:bCs w:val="false"/>
          <w:i w:val="false"/>
          <w:iCs w:val="false"/>
          <w:color w:val="000000"/>
        </w:rPr>
        <w:t xml:space="preserve">. A low </w:t>
      </w:r>
      <m:oMath xmlns:m="http://schemas.openxmlformats.org/officeDocument/2006/math" xmlns:w="http://schemas.openxmlformats.org/wordprocessingml/2006/main">
        <m:r>
          <m:t xml:space="preserve">CR</m:t>
        </m:r>
      </m:oMath>
      <w:r>
        <w:rPr>
          <w:b w:val="false"/>
          <w:bCs w:val="false"/>
          <w:i w:val="false"/>
          <w:iCs w:val="false"/>
          <w:color w:val="000000"/>
        </w:rPr>
        <w:t xml:space="preserve"> is a primary indicator of "Selective Disclosure," where a company highlights a few positive themes while omitting broader ESG failures.</w:t>
      </w:r>
    </w:p>
    <w:p>
      <w:pPr>
        <w:pStyle w:val="Heading4"/>
      </w:pPr>
      <w:r>
        <w:rPr>
          <w:b w:val="false"/>
          <w:bCs w:val="false"/>
          <w:i w:val="false"/>
          <w:iCs w:val="false"/>
          <w:color w:val="000000"/>
        </w:rPr>
        <w:t xml:space="preserve">Equation 27: Temporal Contradiction (</w:t>
      </w:r>
      <m:oMath xmlns:m="http://schemas.openxmlformats.org/officeDocument/2006/math" xmlns:w="http://schemas.openxmlformats.org/wordprocessingml/2006/main">
        <m:r>
          <m:t xml:space="preserve">TC</m:t>
        </m:r>
      </m:oMath>
      <w:r>
        <w:rPr>
          <w:b w:val="false"/>
          <w:bCs w:val="false"/>
          <w:i w:val="false"/>
          <w:iCs w:val="false"/>
          <w:color w:val="000000"/>
        </w:rPr>
        <w:t xml:space="preserve">)</w:t>
      </w:r>
    </w:p>
    <w:p>
      <w:r>
        <w:rPr>
          <w:b w:val="false"/>
          <w:bCs w:val="false"/>
          <w:i w:val="false"/>
          <w:iCs w:val="false"/>
          <w:color w:val="000000"/>
        </w:rPr>
        <w:t xml:space="preserve">This formula detects discrepancies between the company’s current narrative and its historical commitments:</w:t>
      </w:r>
    </w:p>
    <w:p>
      <w:pPr>
        <w:jc w:val="center"/>
      </w:pPr>
      <m:oMath xmlns:m="http://schemas.openxmlformats.org/officeDocument/2006/math" xmlns:w="http://schemas.openxmlformats.org/wordprocessingml/2006/main">
        <m:r>
          <m:t xml:space="preserve">TC=</m:t>
        </m:r>
        <m:sSub>
          <m:sSubPr>
            <m:ctrlPr/>
          </m:sSubPr>
          <m:e>
            <m:r>
              <m:rPr>
                <m:nor/>
              </m:rPr>
              <m:t xml:space="preserve">Score</m:t>
            </m:r>
          </m:e>
          <m:sub>
            <m:r>
              <m:t xml:space="preserve">year_n</m:t>
            </m:r>
          </m:sub>
        </m:sSub>
        <m:r>
          <m:t xml:space="preserve">−</m:t>
        </m:r>
        <m:sSub>
          <m:sSubPr>
            <m:ctrlPr/>
          </m:sSubPr>
          <m:e>
            <m:r>
              <m:rPr>
                <m:nor/>
              </m:rPr>
              <m:t xml:space="preserve">Commitment</m:t>
            </m:r>
          </m:e>
          <m:sub>
            <m:r>
              <m:t xml:space="preserve">year_n−1</m:t>
            </m:r>
          </m:sub>
        </m:sSub>
      </m:oMath>
    </w:p>
    <w:p>
      <w:r>
        <w:rPr>
          <w:b w:val="false"/>
          <w:bCs w:val="false"/>
          <w:i w:val="false"/>
          <w:iCs w:val="false"/>
          <w:color w:val="000000"/>
        </w:rPr>
        <w:t xml:space="preserve">* **Logic:** By comparing current performance metrics against the "Action Intensity" (</w:t>
      </w:r>
      <m:oMath xmlns:m="http://schemas.openxmlformats.org/officeDocument/2006/math" xmlns:w="http://schemas.openxmlformats.org/wordprocessingml/2006/main">
        <m:sSub>
          <m:sSubPr>
            <m:ctrlPr/>
          </m:sSubPr>
          <m:e>
            <m:r>
              <m:t xml:space="preserve">V</m:t>
            </m:r>
          </m:e>
          <m:sub>
            <m:r>
              <m:t xml:space="preserve">i</m:t>
            </m:r>
          </m:sub>
        </m:sSub>
      </m:oMath>
      <w:r>
        <w:rPr>
          <w:b w:val="false"/>
          <w:bCs w:val="false"/>
          <w:i w:val="false"/>
          <w:iCs w:val="false"/>
          <w:color w:val="000000"/>
        </w:rPr>
        <w:t xml:space="preserve">) of previous years, the framework identifies if a company has failed to meet its stated trajectory, triggering a higher risk classification </w:t>
      </w:r>
      <w:sdt>
        <w:sdtPr>
          <w:tag w:val="CITATION WangX25"/>
          <w:id w:val="2102405800"/>
          <w:citation/>
        </w:sdtPr>
        <w:sdtContent>
          <w:r>
            <w:fldChar w:fldCharType="begin"/>
          </w:r>
          <w:r>
            <w:instrText xml:space="preserve"> CITATION WangX25 \m OngK252 \l 1033 </w:instrText>
          </w:r>
          <w:r>
            <w:fldChar w:fldCharType="separate"/>
          </w:r>
          <w:r>
            <w:rPr>
              <w:noProof/>
            </w:rPr>
            <w:t xml:space="preserve">(Ong et al., 2025; Wang et al., 2025)</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Equation 30: Final Audit Classifier (</w:t>
      </w:r>
      <m:oMath xmlns:m="http://schemas.openxmlformats.org/officeDocument/2006/math" xmlns:w="http://schemas.openxmlformats.org/wordprocessingml/2006/main">
        <m:limUpp>
          <m:e>
            <m:r>
              <m:t xml:space="preserve">y</m:t>
            </m:r>
          </m:e>
          <m:lim>
            <m:r>
              <m:t xml:space="preserve">^</m:t>
            </m:r>
          </m:lim>
        </m:limUpp>
      </m:oMath>
      <w:r>
        <w:rPr>
          <w:b w:val="false"/>
          <w:bCs w:val="false"/>
          <w:i w:val="false"/>
          <w:iCs w:val="false"/>
          <w:color w:val="000000"/>
        </w:rPr>
        <w:t xml:space="preserve">)</w:t>
      </w:r>
    </w:p>
    <w:p>
      <w:r>
        <w:rPr>
          <w:b w:val="false"/>
          <w:bCs w:val="false"/>
          <w:i w:val="false"/>
          <w:iCs w:val="false"/>
          <w:color w:val="000000"/>
        </w:rPr>
        <w:t xml:space="preserve">The framework concludes by categorizing the report into a discrete risk level (e.g., Low, Moderate, High) using the fused feature vector </w:t>
      </w:r>
      <w:sdt>
        <w:sdtPr>
          <w:tag w:val="CITATION WangX25"/>
          <w:id w:val="336092825"/>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limUpp>
          <m:e>
            <m:r>
              <m:t xml:space="preserve">y</m:t>
            </m:r>
          </m:e>
          <m:lim>
            <m:r>
              <m:t xml:space="preserve">^</m:t>
            </m:r>
          </m:lim>
        </m:limUpp>
        <m:r>
          <m:t xml:space="preserve">=</m:t>
        </m:r>
        <m:r>
          <m:rPr>
            <m:nor/>
          </m:rPr>
          <m:t xml:space="preserve">Argmax</m:t>
        </m:r>
        <m:r>
          <m:t xml:space="preserve">(</m:t>
        </m:r>
        <m:r>
          <m:rPr>
            <m:nor/>
          </m:rPr>
          <m:t xml:space="preserve">Softmax</m:t>
        </m:r>
        <m:r>
          <m:t xml:space="preserve">(</m:t>
        </m:r>
        <m:sSub>
          <m:sSubPr>
            <m:ctrlPr/>
          </m:sSubPr>
          <m:e>
            <m:r>
              <m:t xml:space="preserve">𝐖</m:t>
            </m:r>
          </m:e>
          <m:sub>
            <m:r>
              <m:t xml:space="preserve">f</m:t>
            </m:r>
          </m:sub>
        </m:sSub>
        <m:r>
          <m:t xml:space="preserve">⋅</m:t>
        </m:r>
        <m:sSub>
          <m:sSubPr>
            <m:ctrlPr/>
          </m:sSubPr>
          <m:e>
            <m:r>
              <m:t xml:space="preserve">𝐱</m:t>
            </m:r>
          </m:e>
          <m:sub>
            <m:r>
              <m:t xml:space="preserve">fused</m:t>
            </m:r>
          </m:sub>
        </m:sSub>
        <m:r>
          <m:t xml:space="preserve">+𝐛)</m:t>
        </m:r>
        <m:r>
          <m:t xml:space="preserve">)</m:t>
        </m:r>
      </m:oMath>
    </w:p>
    <w:p>
      <w:r>
        <w:rPr>
          <w:b w:val="false"/>
          <w:bCs w:val="false"/>
          <w:i w:val="false"/>
          <w:iCs w:val="false"/>
          <w:color w:val="000000"/>
        </w:rPr>
        <w:t xml:space="preserve">* **Logic:** </w:t>
      </w:r>
      <m:oMath xmlns:m="http://schemas.openxmlformats.org/officeDocument/2006/math" xmlns:w="http://schemas.openxmlformats.org/wordprocessingml/2006/main">
        <m:sSub>
          <m:sSubPr>
            <m:ctrlPr/>
          </m:sSubPr>
          <m:e>
            <m:r>
              <m:t xml:space="preserve">𝐱</m:t>
            </m:r>
          </m:e>
          <m:sub>
            <m:r>
              <m:t xml:space="preserve">fused</m:t>
            </m:r>
          </m:sub>
        </m:sSub>
      </m:oMath>
      <w:r>
        <w:rPr>
          <w:b w:val="false"/>
          <w:bCs w:val="false"/>
          <w:i w:val="false"/>
          <w:iCs w:val="false"/>
          <w:color w:val="000000"/>
        </w:rPr>
        <w:t xml:space="preserve"> contains the </w:t>
      </w:r>
      <m:oMath xmlns:m="http://schemas.openxmlformats.org/officeDocument/2006/math" xmlns:w="http://schemas.openxmlformats.org/wordprocessingml/2006/main">
        <m:sSub>
          <m:sSubPr>
            <m:ctrlPr/>
          </m:sSubPr>
          <m:e>
            <m:r>
              <m:t xml:space="preserve">G</m:t>
            </m:r>
          </m:e>
          <m:sub>
            <m:r>
              <m:t xml:space="preserve">R</m:t>
            </m:r>
          </m:sub>
        </m:sSub>
      </m:oMath>
      <w:r>
        <w:rPr>
          <w:b w:val="false"/>
          <w:bCs w:val="false"/>
          <w:i w:val="false"/>
          <w:iCs w:val="false"/>
          <w:color w:val="000000"/>
        </w:rPr>
        <w:t xml:space="preserve">, </w:t>
      </w:r>
      <m:oMath xmlns:m="http://schemas.openxmlformats.org/officeDocument/2006/math" xmlns:w="http://schemas.openxmlformats.org/wordprocessingml/2006/main">
        <m:r>
          <m:t xml:space="preserve">ESGSI</m:t>
        </m:r>
      </m:oMath>
      <w:r>
        <w:rPr>
          <w:b w:val="false"/>
          <w:bCs w:val="false"/>
          <w:i w:val="false"/>
          <w:iCs w:val="false"/>
          <w:color w:val="000000"/>
        </w:rPr>
        <w:t xml:space="preserve">, and </w:t>
      </w:r>
      <m:oMath xmlns:m="http://schemas.openxmlformats.org/officeDocument/2006/math" xmlns:w="http://schemas.openxmlformats.org/wordprocessingml/2006/main">
        <m:r>
          <m:t xml:space="preserve">TC</m:t>
        </m:r>
      </m:oMath>
      <w:r>
        <w:rPr>
          <w:b w:val="false"/>
          <w:bCs w:val="false"/>
          <w:i w:val="false"/>
          <w:iCs w:val="false"/>
          <w:color w:val="000000"/>
        </w:rPr>
        <w:t xml:space="preserve"> scores. This output serves as the "final verdict" of the audit, providing the categorical evidence needed for the **Research Question Resolution (Section 5.2)** </w:t>
      </w:r>
      <w:sdt>
        <w:sdtPr>
          <w:tag w:val="CITATION OngK25"/>
          <w:id w:val="386363135"/>
          <w:citation/>
        </w:sdtPr>
        <w:sdtContent>
          <w:r>
            <w:fldChar w:fldCharType="begin"/>
          </w:r>
          <w:r>
            <w:instrText xml:space="preserve"> CITATION OngK25 \m WangX25 \l 1033 </w:instrText>
          </w:r>
          <w:r>
            <w:fldChar w:fldCharType="separate"/>
          </w:r>
          <w:r>
            <w:rPr>
              <w:noProof/>
            </w:rPr>
            <w:t xml:space="preserve">(Ong et al., 2025; Wang et al., 2025)</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3"/>
      </w:pPr>
      <w:r>
        <w:rPr>
          <w:b w:val="false"/>
          <w:bCs w:val="false"/>
          <w:i w:val="false"/>
          <w:iCs w:val="false"/>
          <w:color w:val="000000"/>
        </w:rPr>
        <w:t xml:space="preserve">Section 4.2: Evaluation Metrics (Eq. 31–35)</w:t>
      </w:r>
    </w:p>
    <w:p>
      <w:r>
        <w:rPr>
          <w:b w:val="false"/>
          <w:bCs w:val="false"/>
          <w:i/>
          <w:iCs/>
          <w:color w:val="000000"/>
        </w:rPr>
        <w:t xml:space="preserve">This section provides the mathematical criteria for Chapter 4 (1.5 pages). It ensures the model's extraction is validated against human expertise.</w:t>
      </w:r>
    </w:p>
    <w:p>
      <w:pPr>
        <w:pStyle w:val="Heading4"/>
      </w:pPr>
      <w:r>
        <w:rPr>
          <w:b w:val="false"/>
          <w:bCs w:val="false"/>
          <w:i w:val="false"/>
          <w:iCs w:val="false"/>
          <w:color w:val="000000"/>
        </w:rPr>
        <w:t xml:space="preserve">Equation 31, 32, &amp; 33: Precision, Recall, and F1-Score</w:t>
      </w:r>
    </w:p>
    <w:p>
      <w:r>
        <w:rPr>
          <w:b w:val="false"/>
          <w:bCs w:val="false"/>
          <w:i w:val="false"/>
          <w:iCs w:val="false"/>
          <w:color w:val="000000"/>
        </w:rPr>
        <w:t xml:space="preserve">We utilize these standard metrics to evaluate the model's ability to identify ESG aspects correctly </w:t>
      </w:r>
      <w:sdt>
        <w:sdtPr>
          <w:tag w:val="CITATION SinghM24"/>
          <w:id w:val="1184871640"/>
          <w:citation/>
        </w:sdtPr>
        <w:sdtContent>
          <w:r>
            <w:fldChar w:fldCharType="begin"/>
          </w:r>
          <w:r>
            <w:instrText xml:space="preserve"> CITATION SinghM24 \m ZhangH24 \l 1033 </w:instrText>
          </w:r>
          <w:r>
            <w:fldChar w:fldCharType="separate"/>
          </w:r>
          <w:r>
            <w:rPr>
              <w:noProof/>
            </w:rPr>
            <w:t xml:space="preserve">(Singh et al., 2024; Zhang et al., 2024)</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P=</m:t>
        </m:r>
        <m:f>
          <m:fPr>
            <m:type m:val="bar"/>
          </m:fPr>
          <m:num>
            <m:r>
              <m:t xml:space="preserve">TP</m:t>
            </m:r>
          </m:num>
          <m:den>
            <m:r>
              <m:t xml:space="preserve">TP+FP</m:t>
            </m:r>
          </m:den>
        </m:f>
        <m:r>
          <m:t xml:space="preserve">,</m:t>
        </m:r>
        <m:r>
          <m:t xml:space="preserve"/>
        </m:r>
        <m:r>
          <m:t xml:space="preserve">R=</m:t>
        </m:r>
        <m:f>
          <m:fPr>
            <m:type m:val="bar"/>
          </m:fPr>
          <m:num>
            <m:r>
              <m:t xml:space="preserve">TP</m:t>
            </m:r>
          </m:num>
          <m:den>
            <m:r>
              <m:t xml:space="preserve">TP+FN</m:t>
            </m:r>
          </m:den>
        </m:f>
        <m:r>
          <m:t xml:space="preserve">,</m:t>
        </m:r>
        <m:r>
          <m:t xml:space="preserve"/>
        </m:r>
        <m:r>
          <m:t xml:space="preserve">F1=2⋅</m:t>
        </m:r>
        <m:f>
          <m:fPr>
            <m:type m:val="bar"/>
          </m:fPr>
          <m:num>
            <m:r>
              <m:t xml:space="preserve">P⋅R</m:t>
            </m:r>
          </m:num>
          <m:den>
            <m:r>
              <m:t xml:space="preserve">P+R</m:t>
            </m:r>
          </m:den>
        </m:f>
      </m:oMath>
    </w:p>
    <w:p>
      <w:r>
        <w:rPr>
          <w:b w:val="false"/>
          <w:bCs w:val="false"/>
          <w:i w:val="false"/>
          <w:iCs w:val="false"/>
          <w:color w:val="000000"/>
        </w:rPr>
        <w:t xml:space="preserve">* **Logic:** Precision (</w:t>
      </w:r>
      <m:oMath xmlns:m="http://schemas.openxmlformats.org/officeDocument/2006/math" xmlns:w="http://schemas.openxmlformats.org/wordprocessingml/2006/main">
        <m:r>
          <m:t xml:space="preserve">P</m:t>
        </m:r>
      </m:oMath>
      <w:r>
        <w:rPr>
          <w:b w:val="false"/>
          <w:bCs w:val="false"/>
          <w:i w:val="false"/>
          <w:iCs w:val="false"/>
          <w:color w:val="000000"/>
        </w:rPr>
        <w:t xml:space="preserve">) measures the model's resistance to hallucinations, while Recall (</w:t>
      </w:r>
      <m:oMath xmlns:m="http://schemas.openxmlformats.org/officeDocument/2006/math" xmlns:w="http://schemas.openxmlformats.org/wordprocessingml/2006/main">
        <m:r>
          <m:t xml:space="preserve">R</m:t>
        </m:r>
      </m:oMath>
      <w:r>
        <w:rPr>
          <w:b w:val="false"/>
          <w:bCs w:val="false"/>
          <w:i w:val="false"/>
          <w:iCs w:val="false"/>
          <w:color w:val="000000"/>
        </w:rPr>
        <w:t xml:space="preserve">) measures its coverage. In ESG auditing, high Recall is vital to ensure no greenwashing "cue" is missed during the scan </w:t>
      </w:r>
      <w:sdt>
        <w:sdtPr>
          <w:tag w:val="CITATION MaY18"/>
          <w:id w:val="583028724"/>
          <w:citation/>
        </w:sdtPr>
        <w:sdtContent>
          <w:r>
            <w:fldChar w:fldCharType="begin"/>
          </w:r>
          <w:r>
            <w:instrText xml:space="preserve"> CITATION MaY18 \m SinghM24 \l 1033 </w:instrText>
          </w:r>
          <w:r>
            <w:fldChar w:fldCharType="separate"/>
          </w:r>
          <w:r>
            <w:rPr>
              <w:noProof/>
            </w:rPr>
            <w:t xml:space="preserve">(Ma et al., 2018; Singh et al., 2024)</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Equation 34: Strict Accuracy (</w:t>
      </w:r>
      <m:oMath xmlns:m="http://schemas.openxmlformats.org/officeDocument/2006/math" xmlns:w="http://schemas.openxmlformats.org/wordprocessingml/2006/main">
        <m:r>
          <m:t xml:space="preserve">Ac</m:t>
        </m:r>
        <m:sSub>
          <m:sSubPr>
            <m:ctrlPr/>
          </m:sSubPr>
          <m:e>
            <m:r>
              <m:t xml:space="preserve">c</m:t>
            </m:r>
          </m:e>
          <m:sub>
            <m:r>
              <m:t xml:space="preserve">strict</m:t>
            </m:r>
          </m:sub>
        </m:sSub>
      </m:oMath>
      <w:r>
        <w:rPr>
          <w:b w:val="false"/>
          <w:bCs w:val="false"/>
          <w:i w:val="false"/>
          <w:iCs w:val="false"/>
          <w:color w:val="000000"/>
        </w:rPr>
        <w:t xml:space="preserve">)</w:t>
      </w:r>
    </w:p>
    <w:p>
      <w:r>
        <w:rPr>
          <w:b w:val="false"/>
          <w:bCs w:val="false"/>
          <w:i w:val="false"/>
          <w:iCs w:val="false"/>
          <w:color w:val="000000"/>
        </w:rPr>
        <w:t xml:space="preserve">To prove the framework's sophistication, we count a prediction as correct only if the entire </w:t>
      </w:r>
      <w:r>
        <w:rPr>
          <w:b/>
          <w:bCs/>
          <w:i w:val="false"/>
          <w:iCs w:val="false"/>
          <w:color w:val="000000"/>
        </w:rPr>
        <w:t xml:space="preserve">Aspect-Action-Sentiment</w:t>
      </w:r>
      <w:r>
        <w:rPr>
          <w:b w:val="false"/>
          <w:bCs w:val="false"/>
          <w:i w:val="false"/>
          <w:iCs w:val="false"/>
          <w:color w:val="000000"/>
        </w:rPr>
        <w:t xml:space="preserve"> triplet matches the human gold standard </w:t>
      </w:r>
      <w:sdt>
        <w:sdtPr>
          <w:tag w:val="CITATION OngK25"/>
          <w:id w:val="631627282"/>
          <w:citation/>
        </w:sdtPr>
        <w:sdtContent>
          <w:r>
            <w:fldChar w:fldCharType="begin"/>
          </w:r>
          <w:r>
            <w:instrText xml:space="preserve"> CITATION OngK25 \m MaY18 \l 1033 </w:instrText>
          </w:r>
          <w:r>
            <w:fldChar w:fldCharType="separate"/>
          </w:r>
          <w:r>
            <w:rPr>
              <w:noProof/>
            </w:rPr>
            <w:t xml:space="preserve">(Ma et al., 2018; Ong et al., 2025)</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Ac</m:t>
        </m:r>
        <m:sSub>
          <m:sSubPr>
            <m:ctrlPr/>
          </m:sSubPr>
          <m:e>
            <m:r>
              <m:t xml:space="preserve">c</m:t>
            </m:r>
          </m:e>
          <m:sub>
            <m:r>
              <m:t xml:space="preserve">strict</m:t>
            </m:r>
          </m:sub>
        </m:sSub>
        <m:r>
          <m:t xml:space="preserve">=</m:t>
        </m:r>
        <m:f>
          <m:fPr>
            <m:type m:val="bar"/>
          </m:fPr>
          <m:num>
            <m:r>
              <m:t xml:space="preserve">1</m:t>
            </m:r>
          </m:num>
          <m:den>
            <m:r>
              <m:t xml:space="preserve">N</m:t>
            </m:r>
          </m:den>
        </m:f>
        <m:nary>
          <m:naryPr>
            <m:chr m:val="∑"/>
            <m:limLoc m:val="undOvr"/>
            <m:grow m:val="1"/>
            <m:subHide m:val="off"/>
            <m:supHide m:val="off"/>
          </m:naryPr>
          <m:sub>
            <m:r>
              <m:t xml:space="preserve">i=1</m:t>
            </m:r>
          </m:sub>
          <m:sup>
            <m:r>
              <m:t xml:space="preserve">N</m:t>
            </m:r>
          </m:sup>
          <m:e/>
        </m:nary>
        <m:r>
          <m:t xml:space="preserve">𝕀</m:t>
        </m:r>
        <m:r>
          <m:t xml:space="preserve">(</m:t>
        </m:r>
        <m:sSub>
          <m:sSubPr>
            <m:ctrlPr/>
          </m:sSubPr>
          <m:e>
            <m:r>
              <m:t xml:space="preserve">a</m:t>
            </m:r>
          </m:e>
          <m:sub>
            <m:r>
              <m:t xml:space="preserve">i</m:t>
            </m:r>
          </m:sub>
        </m:sSub>
        <m:r>
          <m:t xml:space="preserve">=</m:t>
        </m:r>
        <m:sSub>
          <m:sSubPr>
            <m:ctrlPr/>
          </m:sSubPr>
          <m:e>
            <m:limUpp>
              <m:e>
                <m:r>
                  <m:t xml:space="preserve">a</m:t>
                </m:r>
              </m:e>
              <m:lim>
                <m:r>
                  <m:t xml:space="preserve">^</m:t>
                </m:r>
              </m:lim>
            </m:limUpp>
          </m:e>
          <m:sub>
            <m:r>
              <m:t xml:space="preserve">i</m:t>
            </m:r>
          </m:sub>
        </m:sSub>
        <m:r>
          <m:t xml:space="preserve">∧</m:t>
        </m:r>
        <m:sSub>
          <m:sSubPr>
            <m:ctrlPr/>
          </m:sSubPr>
          <m:e>
            <m:r>
              <m:t xml:space="preserve">v</m:t>
            </m:r>
          </m:e>
          <m:sub>
            <m:r>
              <m:t xml:space="preserve">i</m:t>
            </m:r>
          </m:sub>
        </m:sSub>
        <m:r>
          <m:t xml:space="preserve">=</m:t>
        </m:r>
        <m:sSub>
          <m:sSubPr>
            <m:ctrlPr/>
          </m:sSubPr>
          <m:e>
            <m:limUpp>
              <m:e>
                <m:r>
                  <m:t xml:space="preserve">v</m:t>
                </m:r>
              </m:e>
              <m:lim>
                <m:r>
                  <m:t xml:space="preserve">^</m:t>
                </m:r>
              </m:lim>
            </m:limUpp>
          </m:e>
          <m:sub>
            <m:r>
              <m:t xml:space="preserve">i</m:t>
            </m:r>
          </m:sub>
        </m:sSub>
        <m:r>
          <m:t xml:space="preserve">∧</m:t>
        </m:r>
        <m:sSub>
          <m:sSubPr>
            <m:ctrlPr/>
          </m:sSubPr>
          <m:e>
            <m:r>
              <m:t xml:space="preserve">s</m:t>
            </m:r>
          </m:e>
          <m:sub>
            <m:r>
              <m:t xml:space="preserve">i</m:t>
            </m:r>
          </m:sub>
        </m:sSub>
        <m:r>
          <m:t xml:space="preserve">=</m:t>
        </m:r>
        <m:sSub>
          <m:sSubPr>
            <m:ctrlPr/>
          </m:sSubPr>
          <m:e>
            <m:limUpp>
              <m:e>
                <m:r>
                  <m:t xml:space="preserve">s</m:t>
                </m:r>
              </m:e>
              <m:lim>
                <m:r>
                  <m:t xml:space="preserve">^</m:t>
                </m:r>
              </m:lim>
            </m:limUpp>
          </m:e>
          <m:sub>
            <m:r>
              <m:t xml:space="preserve">i</m:t>
            </m:r>
          </m:sub>
        </m:sSub>
        <m:r>
          <m:t xml:space="preserve">)</m:t>
        </m:r>
      </m:oMath>
    </w:p>
    <w:p>
      <w:r>
        <w:rPr>
          <w:b w:val="false"/>
          <w:bCs w:val="false"/>
          <w:i w:val="false"/>
          <w:iCs w:val="false"/>
          <w:color w:val="000000"/>
        </w:rPr>
        <w:t xml:space="preserve">* **Logic:** This is the most rigorous metric in the thesis. It ensures that the model isn't just getting the "Topic" right by luck, but is correctly understanding the "Action" taken by the company </w:t>
      </w:r>
      <w:sdt>
        <w:sdtPr>
          <w:tag w:val="CITATION OngK252"/>
          <w:id w:val="1947954141"/>
          <w:citation/>
        </w:sdtPr>
        <w:sdtContent>
          <w:r>
            <w:fldChar w:fldCharType="begin"/>
          </w:r>
          <w:r>
            <w:instrText xml:space="preserve"> CITATION OngK252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Equation 35: Inter-Annotator Agreement (</w:t>
      </w:r>
      <m:oMath xmlns:m="http://schemas.openxmlformats.org/officeDocument/2006/math" xmlns:w="http://schemas.openxmlformats.org/wordprocessingml/2006/main">
        <m:r>
          <m:t xml:space="preserve">κ</m:t>
        </m:r>
      </m:oMath>
      <w:r>
        <w:rPr>
          <w:b w:val="false"/>
          <w:bCs w:val="false"/>
          <w:i w:val="false"/>
          <w:iCs w:val="false"/>
          <w:color w:val="000000"/>
        </w:rPr>
        <w:t xml:space="preserve">)</w:t>
      </w:r>
    </w:p>
    <w:p>
      <w:r>
        <w:rPr>
          <w:b w:val="false"/>
          <w:bCs w:val="false"/>
          <w:i w:val="false"/>
          <w:iCs w:val="false"/>
          <w:color w:val="000000"/>
        </w:rPr>
        <w:t xml:space="preserve">We use Cohen’s Kappa to validate the reliability of the "Silver Dataset" generated by the LLM by comparing it against a human-audited 10% sample </w:t>
      </w:r>
      <w:sdt>
        <w:sdtPr>
          <w:tag w:val="CITATION SinghM24"/>
          <w:id w:val="39817863"/>
          <w:citation/>
        </w:sdtPr>
        <w:sdtContent>
          <w:r>
            <w:fldChar w:fldCharType="begin"/>
          </w:r>
          <w:r>
            <w:instrText xml:space="preserve"> CITATION SinghM24 \l 1033 </w:instrText>
          </w:r>
          <w:r>
            <w:fldChar w:fldCharType="separate"/>
          </w:r>
          <w:r>
            <w:rPr>
              <w:noProof/>
            </w:rPr>
            <w:t xml:space="preserve">(Singh et al., 2024)</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κ=</m:t>
        </m:r>
        <m:f>
          <m:fPr>
            <m:type m:val="bar"/>
          </m:fPr>
          <m:num>
            <m:sSub>
              <m:sSubPr>
                <m:ctrlPr/>
              </m:sSubPr>
              <m:e>
                <m:r>
                  <m:t xml:space="preserve">p</m:t>
                </m:r>
              </m:e>
              <m:sub>
                <m:r>
                  <m:t xml:space="preserve">o</m:t>
                </m:r>
              </m:sub>
            </m:sSub>
            <m:r>
              <m:t xml:space="preserve">−</m:t>
            </m:r>
            <m:sSub>
              <m:sSubPr>
                <m:ctrlPr/>
              </m:sSubPr>
              <m:e>
                <m:r>
                  <m:t xml:space="preserve">p</m:t>
                </m:r>
              </m:e>
              <m:sub>
                <m:r>
                  <m:t xml:space="preserve">e</m:t>
                </m:r>
              </m:sub>
            </m:sSub>
          </m:num>
          <m:den>
            <m:r>
              <m:t xml:space="preserve">1−</m:t>
            </m:r>
            <m:sSub>
              <m:sSubPr>
                <m:ctrlPr/>
              </m:sSubPr>
              <m:e>
                <m:r>
                  <m:t xml:space="preserve">p</m:t>
                </m:r>
              </m:e>
              <m:sub>
                <m:r>
                  <m:t xml:space="preserve">e</m:t>
                </m:r>
              </m:sub>
            </m:sSub>
          </m:den>
        </m:f>
      </m:oMath>
    </w:p>
    <w:p>
      <w:r>
        <w:rPr>
          <w:b w:val="false"/>
          <w:bCs w:val="false"/>
          <w:i w:val="false"/>
          <w:iCs w:val="false"/>
          <w:color w:val="000000"/>
        </w:rPr>
        <w:t xml:space="preserve">* **Logic:** A high </w:t>
      </w:r>
      <m:oMath xmlns:m="http://schemas.openxmlformats.org/officeDocument/2006/math" xmlns:w="http://schemas.openxmlformats.org/wordprocessingml/2006/main">
        <m:r>
          <m:t xml:space="preserve">κ</m:t>
        </m:r>
      </m:oMath>
      <w:r>
        <w:rPr>
          <w:b w:val="false"/>
          <w:bCs w:val="false"/>
          <w:i w:val="false"/>
          <w:iCs w:val="false"/>
          <w:color w:val="000000"/>
        </w:rPr>
        <w:t xml:space="preserve"> (e.g., </w:t>
      </w:r>
      <m:oMath xmlns:m="http://schemas.openxmlformats.org/officeDocument/2006/math" xmlns:w="http://schemas.openxmlformats.org/wordprocessingml/2006/main">
        <m:r>
          <m:t xml:space="preserve">&gt;0.80</m:t>
        </m:r>
      </m:oMath>
      <w:r>
        <w:rPr>
          <w:b w:val="false"/>
          <w:bCs w:val="false"/>
          <w:i w:val="false"/>
          <w:iCs w:val="false"/>
          <w:color w:val="000000"/>
        </w:rPr>
        <w:t xml:space="preserve">) proves that the automated extraction is statistically indistinguishable from a human auditor, justifying the large-scale deployment of the system </w:t>
      </w:r>
      <w:sdt>
        <w:sdtPr>
          <w:tag w:val="CITATION SinghM24"/>
          <w:id w:val="1211820931"/>
          <w:citation/>
        </w:sdtPr>
        <w:sdtContent>
          <w:r>
            <w:fldChar w:fldCharType="begin"/>
          </w:r>
          <w:r>
            <w:instrText xml:space="preserve"> CITATION SinghM24 \l 1033 </w:instrText>
          </w:r>
          <w:r>
            <w:fldChar w:fldCharType="separate"/>
          </w:r>
          <w:r>
            <w:rPr>
              <w:noProof/>
            </w:rPr>
            <w:t xml:space="preserve">(Singh et al., 2024)</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3"/>
      </w:pPr>
      <w:r>
        <w:rPr>
          <w:b w:val="false"/>
          <w:bCs w:val="false"/>
          <w:i w:val="false"/>
          <w:iCs w:val="false"/>
          <w:color w:val="000000"/>
        </w:rPr>
        <w:t xml:space="preserve">Final Blueprint Summary</w:t>
      </w:r>
    </w:p>
    <w:p>
      <w:r>
        <w:rPr>
          <w:b w:val="false"/>
          <w:bCs w:val="false"/>
          <w:i w:val="false"/>
          <w:iCs w:val="false"/>
          <w:color w:val="000000"/>
        </w:rPr>
        <w:t xml:space="preserve">Daris Dzakwan, with this final batch, you now have the complete mathematical foundation:</w:t>
      </w:r>
    </w:p>
    <w:p>
      <w:pPr>
        <w:pStyle w:val="ListParagraph"/>
        <w:numPr>
          <w:ilvl w:val="0"/>
          <w:numId w:val="8"/>
        </w:numPr>
      </w:pPr>
      <w:r>
        <w:rPr>
          <w:b/>
          <w:bCs/>
          <w:i w:val="false"/>
          <w:iCs w:val="false"/>
          <w:color w:val="000000"/>
        </w:rPr>
        <w:t xml:space="preserve">Section 3.3 (Eq. 1-5):</w:t>
      </w:r>
      <w:r>
        <w:rPr>
          <w:b w:val="false"/>
          <w:bCs w:val="false"/>
          <w:i w:val="false"/>
          <w:iCs w:val="false"/>
          <w:color w:val="000000"/>
        </w:rPr>
        <w:t xml:space="preserve"> Preprocessing.</w:t>
      </w:r>
    </w:p>
    <w:p>
      <w:pPr>
        <w:pStyle w:val="ListParagraph"/>
        <w:numPr>
          <w:ilvl w:val="0"/>
          <w:numId w:val="8"/>
        </w:numPr>
      </w:pPr>
      <w:r>
        <w:rPr>
          <w:b/>
          <w:bCs/>
          <w:i w:val="false"/>
          <w:iCs w:val="false"/>
          <w:color w:val="000000"/>
        </w:rPr>
        <w:t xml:space="preserve">Section 3.4 (Eq. 6-20):</w:t>
      </w:r>
      <w:r>
        <w:rPr>
          <w:b w:val="false"/>
          <w:bCs w:val="false"/>
          <w:i w:val="false"/>
          <w:iCs w:val="false"/>
          <w:color w:val="000000"/>
        </w:rPr>
        <w:t xml:space="preserve"> Feature Extraction.</w:t>
      </w:r>
    </w:p>
    <w:p>
      <w:pPr>
        <w:pStyle w:val="ListParagraph"/>
        <w:numPr>
          <w:ilvl w:val="0"/>
          <w:numId w:val="8"/>
        </w:numPr>
      </w:pPr>
      <w:r>
        <w:rPr>
          <w:b/>
          <w:bCs/>
          <w:i w:val="false"/>
          <w:iCs w:val="false"/>
          <w:color w:val="000000"/>
        </w:rPr>
        <w:t xml:space="preserve">Section 3.5 (Eq. 21-30):</w:t>
      </w:r>
      <w:r>
        <w:rPr>
          <w:b w:val="false"/>
          <w:bCs w:val="false"/>
          <w:i w:val="false"/>
          <w:iCs w:val="false"/>
          <w:color w:val="000000"/>
        </w:rPr>
        <w:t xml:space="preserve"> Greenwashing Logic.</w:t>
      </w:r>
    </w:p>
    <w:p>
      <w:pPr>
        <w:pStyle w:val="ListParagraph"/>
        <w:numPr>
          <w:ilvl w:val="0"/>
          <w:numId w:val="8"/>
        </w:numPr>
      </w:pPr>
      <w:r>
        <w:rPr>
          <w:b/>
          <w:bCs/>
          <w:i w:val="false"/>
          <w:iCs w:val="false"/>
          <w:color w:val="000000"/>
        </w:rPr>
        <w:t xml:space="preserve">Section 4.2 (Eq. 31-35):</w:t>
      </w:r>
      <w:r>
        <w:rPr>
          <w:b w:val="false"/>
          <w:bCs w:val="false"/>
          <w:i w:val="false"/>
          <w:iCs w:val="false"/>
          <w:color w:val="000000"/>
        </w:rPr>
        <w:t xml:space="preserve"> Evaluation (Accuracy, F1, &amp; Agreement).</w:t>
      </w:r>
    </w:p>
    <w:p>
      <w:r>
        <w:rPr>
          <w:b w:val="false"/>
          <w:bCs w:val="false"/>
          <w:i w:val="false"/>
          <w:iCs w:val="false"/>
          <w:color w:val="000000"/>
        </w:rPr>
        <w:t xml:space="preserve">By elaborating on the </w:t>
      </w:r>
      <w:r>
        <w:rPr>
          <w:b/>
          <w:bCs/>
          <w:i w:val="false"/>
          <w:iCs w:val="false"/>
          <w:color w:val="000000"/>
        </w:rPr>
        <w:t xml:space="preserve">"Why"</w:t>
      </w:r>
      <w:r>
        <w:rPr>
          <w:b w:val="false"/>
          <w:bCs w:val="false"/>
          <w:i w:val="false"/>
          <w:iCs w:val="false"/>
          <w:color w:val="000000"/>
        </w:rPr>
        <w:t xml:space="preserve"> behind these 35 equations, you will satisfy the page-length requirements while maintaining the high-impact argumentative style of your reference thesis.</w:t>
      </w:r>
    </w:p>
    <w:p>
      <w:pPr>
        <w:pBdr>
          <w:bottom w:val="single" w:color="auto" w:sz="6" w:space="1"/>
        </w:pBdr>
        <w:spacing w:before="2160"/>
      </w:pPr>
      <w:r>
        <w:t xml:space="preserve">
</w:t>
      </w:r>
    </w:p>
    <w:p>
      <w:pPr>
        <w:pStyle w:val="JenniRefHeader"/>
      </w:pPr>
      <w:r>
        <w:rPr>
          <w:color w:val="000000"/>
        </w:rPr>
        <w:t xml:space="preserve">References</w:t>
      </w:r>
    </w:p>
    <w:p>
      <w:pPr>
        <w:pStyle w:val="JenniRefBody"/>
        <w:ind w:start="720" w:hanging="720"/>
      </w:pPr>
      <w:bookmarkStart w:name="a58903332a0a7a9bd3273e5f97b61504" w:id="1"/>
      <w:r>
        <w:rPr>
          <w:b w:val="false"/>
          <w:bCs w:val="false"/>
          <w:i w:val="false"/>
          <w:iCs w:val="false"/>
          <w:color w:val="000000"/>
        </w:rPr>
        <w:t xml:space="preserve">  </w:t>
      </w:r>
      <w:r>
        <w:rPr>
          <w:b w:val="false"/>
          <w:bCs w:val="false"/>
          <w:i w:val="false"/>
          <w:iCs w:val="false"/>
          <w:color w:val="000000"/>
        </w:rPr>
        <w:t xml:space="preserve">Brauwers, G., &amp; Frăsincar, F. (2021). A Survey on Aspect-Based Sentiment Classification. </w:t>
      </w:r>
      <w:r>
        <w:rPr>
          <w:b w:val="false"/>
          <w:bCs w:val="false"/>
          <w:i/>
          <w:iCs/>
          <w:color w:val="000000"/>
        </w:rPr>
        <w:t xml:space="preserve">arXiv (Cornell University)</w:t>
      </w:r>
      <w:r>
        <w:rPr>
          <w:b w:val="false"/>
          <w:bCs w:val="false"/>
          <w:i w:val="false"/>
          <w:iCs w:val="false"/>
          <w:color w:val="000000"/>
        </w:rPr>
        <w:t xml:space="preserve">, </w:t>
      </w:r>
      <w:r>
        <w:rPr>
          <w:b w:val="false"/>
          <w:bCs w:val="false"/>
          <w:i/>
          <w:iCs/>
          <w:color w:val="000000"/>
        </w:rPr>
        <w:t xml:space="preserve">55</w:t>
      </w:r>
      <w:r>
        <w:rPr>
          <w:b w:val="false"/>
          <w:bCs w:val="false"/>
          <w:i w:val="false"/>
          <w:iCs w:val="false"/>
          <w:color w:val="000000"/>
        </w:rPr>
        <w:t xml:space="preserve">(4), 1–37. </w:t>
      </w:r>
      <w:r>
        <w:rPr>
          <w:b w:val="false"/>
          <w:bCs w:val="false"/>
          <w:i w:val="false"/>
          <w:iCs w:val="false"/>
          <w:color w:val="000000"/>
        </w:rPr>
        <w:t xml:space="preserve">https://doi.org/10.1145/3503044</w:t>
      </w:r>
      <w:r>
        <w:rPr>
          <w:b w:val="false"/>
          <w:bCs w:val="false"/>
          <w:i w:val="false"/>
          <w:iCs w:val="false"/>
          <w:color w:val="000000"/>
        </w:rPr>
        <w:t xml:space="preserve">
</w:t>
      </w:r>
      <w:bookmarkEnd w:id="1"/>
    </w:p>
    <w:p>
      <w:pPr>
        <w:pStyle w:val="JenniRefBody"/>
        <w:ind w:start="720" w:hanging="720"/>
      </w:pPr>
      <w:bookmarkStart w:name="e16a4c180e2d64ce34e5058391e5c4d8" w:id="1"/>
      <w:r>
        <w:rPr>
          <w:b w:val="false"/>
          <w:bCs w:val="false"/>
          <w:i w:val="false"/>
          <w:iCs w:val="false"/>
          <w:color w:val="000000"/>
        </w:rPr>
        <w:t xml:space="preserve">  </w:t>
      </w:r>
      <w:r>
        <w:rPr>
          <w:b w:val="false"/>
          <w:bCs w:val="false"/>
          <w:i w:val="false"/>
          <w:iCs w:val="false"/>
          <w:color w:val="000000"/>
        </w:rPr>
        <w:t xml:space="preserve">Chung, T., &amp; Latifi, M. (2024). Evaluating the performance of state-of-the-art esg domain-specific   pre-trained large language models in text classification against existing   models and traditional machine learning techniques.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https://doi.org/10.48550/arxiv.2410.00207</w:t>
      </w:r>
      <w:r>
        <w:rPr>
          <w:b w:val="false"/>
          <w:bCs w:val="false"/>
          <w:i w:val="false"/>
          <w:iCs w:val="false"/>
          <w:color w:val="000000"/>
        </w:rPr>
        <w:t xml:space="preserve">
</w:t>
      </w:r>
      <w:bookmarkEnd w:id="1"/>
    </w:p>
    <w:p>
      <w:pPr>
        <w:pStyle w:val="JenniRefBody"/>
        <w:ind w:start="720" w:hanging="720"/>
      </w:pPr>
      <w:bookmarkStart w:name="3e498454adb41bf6b5168923d8b915e8" w:id="1"/>
      <w:r>
        <w:rPr>
          <w:b w:val="false"/>
          <w:bCs w:val="false"/>
          <w:i w:val="false"/>
          <w:iCs w:val="false"/>
          <w:color w:val="000000"/>
        </w:rPr>
        <w:t xml:space="preserve">  </w:t>
      </w:r>
      <w:r>
        <w:rPr>
          <w:b w:val="false"/>
          <w:bCs w:val="false"/>
          <w:i w:val="false"/>
          <w:iCs w:val="false"/>
          <w:color w:val="000000"/>
        </w:rPr>
        <w:t xml:space="preserve">Confetto, M. G., &amp; Covucci, C. (2021). “Sustainability-contents SEO”: a semantic algorithm to improve the quality rating of sustainability web contents. </w:t>
      </w:r>
      <w:r>
        <w:rPr>
          <w:b w:val="false"/>
          <w:bCs w:val="false"/>
          <w:i/>
          <w:iCs/>
          <w:color w:val="000000"/>
        </w:rPr>
        <w:t xml:space="preserve">The TQM Journal</w:t>
      </w:r>
      <w:r>
        <w:rPr>
          <w:b w:val="false"/>
          <w:bCs w:val="false"/>
          <w:i w:val="false"/>
          <w:iCs w:val="false"/>
          <w:color w:val="000000"/>
        </w:rPr>
        <w:t xml:space="preserve">, </w:t>
      </w:r>
      <w:r>
        <w:rPr>
          <w:b w:val="false"/>
          <w:bCs w:val="false"/>
          <w:i/>
          <w:iCs/>
          <w:color w:val="000000"/>
        </w:rPr>
        <w:t xml:space="preserve">33</w:t>
      </w:r>
      <w:r>
        <w:rPr>
          <w:b w:val="false"/>
          <w:bCs w:val="false"/>
          <w:i w:val="false"/>
          <w:iCs w:val="false"/>
          <w:color w:val="000000"/>
        </w:rPr>
        <w:t xml:space="preserve">(7), 295–317. </w:t>
      </w:r>
      <w:r>
        <w:rPr>
          <w:b w:val="false"/>
          <w:bCs w:val="false"/>
          <w:i w:val="false"/>
          <w:iCs w:val="false"/>
          <w:color w:val="000000"/>
        </w:rPr>
        <w:t xml:space="preserve">https://doi.org/10.1108/tqm-05-2021-0125</w:t>
      </w:r>
      <w:r>
        <w:rPr>
          <w:b w:val="false"/>
          <w:bCs w:val="false"/>
          <w:i w:val="false"/>
          <w:iCs w:val="false"/>
          <w:color w:val="000000"/>
        </w:rPr>
        <w:t xml:space="preserve">
</w:t>
      </w:r>
      <w:bookmarkEnd w:id="1"/>
    </w:p>
    <w:p>
      <w:pPr>
        <w:pStyle w:val="JenniRefBody"/>
        <w:ind w:start="720" w:hanging="720"/>
      </w:pPr>
      <w:bookmarkStart w:name="18ea225fa2397b4e0455e1d520a4065f" w:id="1"/>
      <w:r>
        <w:rPr>
          <w:b w:val="false"/>
          <w:bCs w:val="false"/>
          <w:i w:val="false"/>
          <w:iCs w:val="false"/>
          <w:color w:val="000000"/>
        </w:rPr>
        <w:t xml:space="preserve">  </w:t>
      </w:r>
      <w:r>
        <w:rPr>
          <w:b w:val="false"/>
          <w:bCs w:val="false"/>
          <w:i w:val="false"/>
          <w:iCs w:val="false"/>
          <w:color w:val="000000"/>
        </w:rPr>
        <w:t xml:space="preserve">Consoli, S., Barbaglia, L., &amp; Manzan, S. (2022). Fine-grained, aspect-based sentiment analysis on economic and financial lexicon. </w:t>
      </w:r>
      <w:r>
        <w:rPr>
          <w:b w:val="false"/>
          <w:bCs w:val="false"/>
          <w:i/>
          <w:iCs/>
          <w:color w:val="000000"/>
        </w:rPr>
        <w:t xml:space="preserve">Knowledge-Based Systems</w:t>
      </w:r>
      <w:r>
        <w:rPr>
          <w:b w:val="false"/>
          <w:bCs w:val="false"/>
          <w:i w:val="false"/>
          <w:iCs w:val="false"/>
          <w:color w:val="000000"/>
        </w:rPr>
        <w:t xml:space="preserve">, </w:t>
      </w:r>
      <w:r>
        <w:rPr>
          <w:b w:val="false"/>
          <w:bCs w:val="false"/>
          <w:i/>
          <w:iCs/>
          <w:color w:val="000000"/>
        </w:rPr>
        <w:t xml:space="preserve">247</w:t>
      </w:r>
      <w:r>
        <w:rPr>
          <w:b w:val="false"/>
          <w:bCs w:val="false"/>
          <w:i w:val="false"/>
          <w:iCs w:val="false"/>
          <w:color w:val="000000"/>
        </w:rPr>
        <w:t xml:space="preserve">, 108781–108781. </w:t>
      </w:r>
      <w:r>
        <w:rPr>
          <w:b w:val="false"/>
          <w:bCs w:val="false"/>
          <w:i w:val="false"/>
          <w:iCs w:val="false"/>
          <w:color w:val="000000"/>
        </w:rPr>
        <w:t xml:space="preserve">https://doi.org/10.1016/j.knosys.2022.108781</w:t>
      </w:r>
      <w:r>
        <w:rPr>
          <w:b w:val="false"/>
          <w:bCs w:val="false"/>
          <w:i w:val="false"/>
          <w:iCs w:val="false"/>
          <w:color w:val="000000"/>
        </w:rPr>
        <w:t xml:space="preserve">
</w:t>
      </w:r>
      <w:bookmarkEnd w:id="1"/>
    </w:p>
    <w:p>
      <w:pPr>
        <w:pStyle w:val="JenniRefBody"/>
        <w:ind w:start="720" w:hanging="720"/>
      </w:pPr>
      <w:bookmarkStart w:name="094061c0d9127989ad9da16b4506a22d" w:id="1"/>
      <w:r>
        <w:rPr>
          <w:b w:val="false"/>
          <w:bCs w:val="false"/>
          <w:i w:val="false"/>
          <w:iCs w:val="false"/>
          <w:color w:val="000000"/>
        </w:rPr>
        <w:t xml:space="preserve">  </w:t>
      </w:r>
      <w:r>
        <w:rPr>
          <w:b w:val="false"/>
          <w:bCs w:val="false"/>
          <w:i w:val="false"/>
          <w:iCs w:val="false"/>
          <w:color w:val="000000"/>
        </w:rPr>
        <w:t xml:space="preserve">Dorfleitner, G., &amp; Utz, S. (2023). Green, green, it’s green they say: a conceptual framework for measuring greenwashing on firm level. </w:t>
      </w:r>
      <w:r>
        <w:rPr>
          <w:b w:val="false"/>
          <w:bCs w:val="false"/>
          <w:i/>
          <w:iCs/>
          <w:color w:val="000000"/>
        </w:rPr>
        <w:t xml:space="preserve">Review of Managerial Science</w:t>
      </w:r>
      <w:r>
        <w:rPr>
          <w:b w:val="false"/>
          <w:bCs w:val="false"/>
          <w:i w:val="false"/>
          <w:iCs w:val="false"/>
          <w:color w:val="000000"/>
        </w:rPr>
        <w:t xml:space="preserve">, </w:t>
      </w:r>
      <w:r>
        <w:rPr>
          <w:b w:val="false"/>
          <w:bCs w:val="false"/>
          <w:i/>
          <w:iCs/>
          <w:color w:val="000000"/>
        </w:rPr>
        <w:t xml:space="preserve">18</w:t>
      </w:r>
      <w:r>
        <w:rPr>
          <w:b w:val="false"/>
          <w:bCs w:val="false"/>
          <w:i w:val="false"/>
          <w:iCs w:val="false"/>
          <w:color w:val="000000"/>
        </w:rPr>
        <w:t xml:space="preserve">(12), 3463–3486. </w:t>
      </w:r>
      <w:r>
        <w:rPr>
          <w:b w:val="false"/>
          <w:bCs w:val="false"/>
          <w:i w:val="false"/>
          <w:iCs w:val="false"/>
          <w:color w:val="000000"/>
        </w:rPr>
        <w:t xml:space="preserve">https://doi.org/10.1007/s11846-023-00718-w</w:t>
      </w:r>
      <w:r>
        <w:rPr>
          <w:b w:val="false"/>
          <w:bCs w:val="false"/>
          <w:i w:val="false"/>
          <w:iCs w:val="false"/>
          <w:color w:val="000000"/>
        </w:rPr>
        <w:t xml:space="preserve">
</w:t>
      </w:r>
      <w:bookmarkEnd w:id="1"/>
    </w:p>
    <w:p>
      <w:pPr>
        <w:pStyle w:val="JenniRefBody"/>
        <w:ind w:start="720" w:hanging="720"/>
      </w:pPr>
      <w:bookmarkStart w:name="64e32f8016727bef00b3236383ff4d6f" w:id="1"/>
      <w:r>
        <w:rPr>
          <w:b w:val="false"/>
          <w:bCs w:val="false"/>
          <w:i w:val="false"/>
          <w:iCs w:val="false"/>
          <w:color w:val="000000"/>
        </w:rPr>
        <w:t xml:space="preserve">  </w:t>
      </w:r>
      <w:r>
        <w:rPr>
          <w:b w:val="false"/>
          <w:bCs w:val="false"/>
          <w:i w:val="false"/>
          <w:iCs w:val="false"/>
          <w:color w:val="000000"/>
        </w:rPr>
        <w:t xml:space="preserve">Kılınç, Y., İnce, M. R., &amp; BADEM, A. C. (2026). A multi-dimensional textual framework for detecting greenwashing in sustainability reporting. </w:t>
      </w:r>
      <w:r>
        <w:rPr>
          <w:b w:val="false"/>
          <w:bCs w:val="false"/>
          <w:i/>
          <w:iCs/>
          <w:color w:val="000000"/>
        </w:rPr>
        <w:t xml:space="preserve">Discover Sustainability</w:t>
      </w:r>
      <w:r>
        <w:rPr>
          <w:b w:val="false"/>
          <w:bCs w:val="false"/>
          <w:i w:val="false"/>
          <w:iCs w:val="false"/>
          <w:color w:val="000000"/>
        </w:rPr>
        <w:t xml:space="preserve">. </w:t>
      </w:r>
      <w:r>
        <w:rPr>
          <w:b w:val="false"/>
          <w:bCs w:val="false"/>
          <w:i w:val="false"/>
          <w:iCs w:val="false"/>
          <w:color w:val="000000"/>
        </w:rPr>
        <w:t xml:space="preserve">https://doi.org/10.1007/s43621-026-02890-x</w:t>
      </w:r>
      <w:r>
        <w:rPr>
          <w:b w:val="false"/>
          <w:bCs w:val="false"/>
          <w:i w:val="false"/>
          <w:iCs w:val="false"/>
          <w:color w:val="000000"/>
        </w:rPr>
        <w:t xml:space="preserve">
</w:t>
      </w:r>
      <w:bookmarkEnd w:id="1"/>
    </w:p>
    <w:p>
      <w:pPr>
        <w:pStyle w:val="JenniRefBody"/>
        <w:ind w:start="720" w:hanging="720"/>
      </w:pPr>
      <w:bookmarkStart w:name="62fec3866953d83f34212b6f7d5207cd" w:id="1"/>
      <w:r>
        <w:rPr>
          <w:b w:val="false"/>
          <w:bCs w:val="false"/>
          <w:i w:val="false"/>
          <w:iCs w:val="false"/>
          <w:color w:val="000000"/>
        </w:rPr>
        <w:t xml:space="preserve">  </w:t>
      </w:r>
      <w:r>
        <w:rPr>
          <w:b w:val="false"/>
          <w:bCs w:val="false"/>
          <w:i w:val="false"/>
          <w:iCs w:val="false"/>
          <w:color w:val="000000"/>
        </w:rPr>
        <w:t xml:space="preserve">Lagasio, V. (2024). ESG-washing detection in corporate sustainability reports. </w:t>
      </w:r>
      <w:r>
        <w:rPr>
          <w:b w:val="false"/>
          <w:bCs w:val="false"/>
          <w:i/>
          <w:iCs/>
          <w:color w:val="000000"/>
        </w:rPr>
        <w:t xml:space="preserve">International Review of Financial Analysis</w:t>
      </w:r>
      <w:r>
        <w:rPr>
          <w:b w:val="false"/>
          <w:bCs w:val="false"/>
          <w:i w:val="false"/>
          <w:iCs w:val="false"/>
          <w:color w:val="000000"/>
        </w:rPr>
        <w:t xml:space="preserve">, </w:t>
      </w:r>
      <w:r>
        <w:rPr>
          <w:b w:val="false"/>
          <w:bCs w:val="false"/>
          <w:i/>
          <w:iCs/>
          <w:color w:val="000000"/>
        </w:rPr>
        <w:t xml:space="preserve">96</w:t>
      </w:r>
      <w:r>
        <w:rPr>
          <w:b w:val="false"/>
          <w:bCs w:val="false"/>
          <w:i w:val="false"/>
          <w:iCs w:val="false"/>
          <w:color w:val="000000"/>
        </w:rPr>
        <w:t xml:space="preserve">, 103742–103742. </w:t>
      </w:r>
      <w:r>
        <w:rPr>
          <w:b w:val="false"/>
          <w:bCs w:val="false"/>
          <w:i w:val="false"/>
          <w:iCs w:val="false"/>
          <w:color w:val="000000"/>
        </w:rPr>
        <w:t xml:space="preserve">https://doi.org/10.1016/j.irfa.2024.103742</w:t>
      </w:r>
      <w:r>
        <w:rPr>
          <w:b w:val="false"/>
          <w:bCs w:val="false"/>
          <w:i w:val="false"/>
          <w:iCs w:val="false"/>
          <w:color w:val="000000"/>
        </w:rPr>
        <w:t xml:space="preserve">
</w:t>
      </w:r>
      <w:bookmarkEnd w:id="1"/>
    </w:p>
    <w:p>
      <w:pPr>
        <w:pStyle w:val="JenniRefBody"/>
        <w:ind w:start="720" w:hanging="720"/>
      </w:pPr>
      <w:bookmarkStart w:name="be5dc237c4939e9559d25f51618daac9" w:id="1"/>
      <w:r>
        <w:rPr>
          <w:b w:val="false"/>
          <w:bCs w:val="false"/>
          <w:i w:val="false"/>
          <w:iCs w:val="false"/>
          <w:color w:val="000000"/>
        </w:rPr>
        <w:t xml:space="preserve">  </w:t>
      </w:r>
      <w:r>
        <w:rPr>
          <w:b w:val="false"/>
          <w:bCs w:val="false"/>
          <w:i w:val="false"/>
          <w:iCs w:val="false"/>
          <w:color w:val="000000"/>
        </w:rPr>
        <w:t xml:space="preserve">Li, C., Keeley, A. R., Takeda, S., Seki, D., &amp; Managi, S. (2024). ESG Tendencies From News Investigated by AI Trained by Human Intelligence. </w:t>
      </w:r>
      <w:r>
        <w:rPr>
          <w:b w:val="false"/>
          <w:bCs w:val="false"/>
          <w:i/>
          <w:iCs/>
          <w:color w:val="000000"/>
        </w:rPr>
        <w:t xml:space="preserve">Business Strategy and the Environment</w:t>
      </w:r>
      <w:r>
        <w:rPr>
          <w:b w:val="false"/>
          <w:bCs w:val="false"/>
          <w:i w:val="false"/>
          <w:iCs w:val="false"/>
          <w:color w:val="000000"/>
        </w:rPr>
        <w:t xml:space="preserve">. </w:t>
      </w:r>
      <w:r>
        <w:rPr>
          <w:b w:val="false"/>
          <w:bCs w:val="false"/>
          <w:i w:val="false"/>
          <w:iCs w:val="false"/>
          <w:color w:val="000000"/>
        </w:rPr>
        <w:t xml:space="preserve">https://doi.org/10.1002/bse.4089</w:t>
      </w:r>
      <w:r>
        <w:rPr>
          <w:b w:val="false"/>
          <w:bCs w:val="false"/>
          <w:i w:val="false"/>
          <w:iCs w:val="false"/>
          <w:color w:val="000000"/>
        </w:rPr>
        <w:t xml:space="preserve">
</w:t>
      </w:r>
      <w:bookmarkEnd w:id="1"/>
    </w:p>
    <w:p>
      <w:pPr>
        <w:pStyle w:val="JenniRefBody"/>
        <w:ind w:start="720" w:hanging="720"/>
      </w:pPr>
      <w:bookmarkStart w:name="a9e1f1177cf8b43ffa8e913926916029" w:id="1"/>
      <w:r>
        <w:rPr>
          <w:b w:val="false"/>
          <w:bCs w:val="false"/>
          <w:i w:val="false"/>
          <w:iCs w:val="false"/>
          <w:color w:val="000000"/>
        </w:rPr>
        <w:t xml:space="preserve">  </w:t>
      </w:r>
      <w:r>
        <w:rPr>
          <w:b w:val="false"/>
          <w:bCs w:val="false"/>
          <w:i w:val="false"/>
          <w:iCs w:val="false"/>
          <w:color w:val="000000"/>
        </w:rPr>
        <w:t xml:space="preserve">Ma, Y., Liu, Z., Ma, D., Zhai, P., Guo, K., Zhang, D., &amp; Ji, Q. (2023). A news-based climate policy uncertainty index for China. </w:t>
      </w:r>
      <w:r>
        <w:rPr>
          <w:b w:val="false"/>
          <w:bCs w:val="false"/>
          <w:i/>
          <w:iCs/>
          <w:color w:val="000000"/>
        </w:rPr>
        <w:t xml:space="preserve">Scientific Data</w:t>
      </w:r>
      <w:r>
        <w:rPr>
          <w:b w:val="false"/>
          <w:bCs w:val="false"/>
          <w:i w:val="false"/>
          <w:iCs w:val="false"/>
          <w:color w:val="000000"/>
        </w:rPr>
        <w:t xml:space="preserve">, </w:t>
      </w:r>
      <w:r>
        <w:rPr>
          <w:b w:val="false"/>
          <w:bCs w:val="false"/>
          <w:i/>
          <w:iCs/>
          <w:color w:val="000000"/>
        </w:rPr>
        <w:t xml:space="preserve">10</w:t>
      </w:r>
      <w:r>
        <w:rPr>
          <w:b w:val="false"/>
          <w:bCs w:val="false"/>
          <w:i w:val="false"/>
          <w:iCs w:val="false"/>
          <w:color w:val="000000"/>
        </w:rPr>
        <w:t xml:space="preserve">(1), 881–881. </w:t>
      </w:r>
      <w:r>
        <w:rPr>
          <w:b w:val="false"/>
          <w:bCs w:val="false"/>
          <w:i w:val="false"/>
          <w:iCs w:val="false"/>
          <w:color w:val="000000"/>
        </w:rPr>
        <w:t xml:space="preserve">https://doi.org/10.1038/s41597-023-02817-5</w:t>
      </w:r>
      <w:r>
        <w:rPr>
          <w:b w:val="false"/>
          <w:bCs w:val="false"/>
          <w:i w:val="false"/>
          <w:iCs w:val="false"/>
          <w:color w:val="000000"/>
        </w:rPr>
        <w:t xml:space="preserve">
</w:t>
      </w:r>
      <w:bookmarkEnd w:id="1"/>
    </w:p>
    <w:p>
      <w:pPr>
        <w:pStyle w:val="JenniRefBody"/>
        <w:ind w:start="720" w:hanging="720"/>
      </w:pPr>
      <w:bookmarkStart w:name="70515249ce37e4c541331fa58b7080ee" w:id="1"/>
      <w:r>
        <w:rPr>
          <w:b w:val="false"/>
          <w:bCs w:val="false"/>
          <w:i w:val="false"/>
          <w:iCs w:val="false"/>
          <w:color w:val="000000"/>
        </w:rPr>
        <w:t xml:space="preserve">  </w:t>
      </w:r>
      <w:r>
        <w:rPr>
          <w:b w:val="false"/>
          <w:bCs w:val="false"/>
          <w:i w:val="false"/>
          <w:iCs w:val="false"/>
          <w:color w:val="000000"/>
        </w:rPr>
        <w:t xml:space="preserve">Ma, Y., Peng, H., &amp; Cambria, E. (2018). Targeted Aspect-Based Sentiment Analysis via Embedding Commonsense Knowledge into an Attentive LSTM. </w:t>
      </w:r>
      <w:r>
        <w:rPr>
          <w:b w:val="false"/>
          <w:bCs w:val="false"/>
          <w:i/>
          <w:iCs/>
          <w:color w:val="000000"/>
        </w:rPr>
        <w:t xml:space="preserve">Proceedings of the AAAI Conference on Artificial Intelligence</w:t>
      </w:r>
      <w:r>
        <w:rPr>
          <w:b w:val="false"/>
          <w:bCs w:val="false"/>
          <w:i w:val="false"/>
          <w:iCs w:val="false"/>
          <w:color w:val="000000"/>
        </w:rPr>
        <w:t xml:space="preserve">, </w:t>
      </w:r>
      <w:r>
        <w:rPr>
          <w:b w:val="false"/>
          <w:bCs w:val="false"/>
          <w:i/>
          <w:iCs/>
          <w:color w:val="000000"/>
        </w:rPr>
        <w:t xml:space="preserve">32</w:t>
      </w:r>
      <w:r>
        <w:rPr>
          <w:b w:val="false"/>
          <w:bCs w:val="false"/>
          <w:i w:val="false"/>
          <w:iCs w:val="false"/>
          <w:color w:val="000000"/>
        </w:rPr>
        <w:t xml:space="preserve">(1). </w:t>
      </w:r>
      <w:r>
        <w:rPr>
          <w:b w:val="false"/>
          <w:bCs w:val="false"/>
          <w:i w:val="false"/>
          <w:iCs w:val="false"/>
          <w:color w:val="000000"/>
        </w:rPr>
        <w:t xml:space="preserve">https://doi.org/10.1609/aaai.v32i1.12048</w:t>
      </w:r>
      <w:r>
        <w:rPr>
          <w:b w:val="false"/>
          <w:bCs w:val="false"/>
          <w:i w:val="false"/>
          <w:iCs w:val="false"/>
          <w:color w:val="000000"/>
        </w:rPr>
        <w:t xml:space="preserve">
</w:t>
      </w:r>
      <w:bookmarkEnd w:id="1"/>
    </w:p>
    <w:p>
      <w:pPr>
        <w:pStyle w:val="JenniRefBody"/>
        <w:ind w:start="720" w:hanging="720"/>
      </w:pPr>
      <w:bookmarkStart w:name="0a5de439d9380d942fe2af426399f52f" w:id="1"/>
      <w:r>
        <w:rPr>
          <w:b w:val="false"/>
          <w:bCs w:val="false"/>
          <w:i w:val="false"/>
          <w:iCs w:val="false"/>
          <w:color w:val="000000"/>
        </w:rPr>
        <w:t xml:space="preserve">  </w:t>
      </w:r>
      <w:r>
        <w:rPr>
          <w:b w:val="false"/>
          <w:bCs w:val="false"/>
          <w:i w:val="false"/>
          <w:iCs w:val="false"/>
          <w:color w:val="000000"/>
        </w:rPr>
        <w:t xml:space="preserve">Ong, K., Mao, R., Varshney, D., Cambria, E., &amp; Mengaldo, G. (2025a). </w:t>
      </w:r>
      <w:r>
        <w:rPr>
          <w:b w:val="false"/>
          <w:bCs w:val="false"/>
          <w:i/>
          <w:iCs/>
          <w:color w:val="000000"/>
        </w:rPr>
        <w:t xml:space="preserve">Towards Robust ESG Analysis Against Greenwashing Risks: Aspect-Action Analysis with Cross-Category Generalization</w:t>
      </w:r>
      <w:r>
        <w:rPr>
          <w:b w:val="false"/>
          <w:bCs w:val="false"/>
          <w:i w:val="false"/>
          <w:iCs w:val="false"/>
          <w:color w:val="000000"/>
        </w:rPr>
        <w:t xml:space="preserve">. 14854–14879. </w:t>
      </w:r>
      <w:r>
        <w:rPr>
          <w:b w:val="false"/>
          <w:bCs w:val="false"/>
          <w:i w:val="false"/>
          <w:iCs w:val="false"/>
          <w:color w:val="000000"/>
        </w:rPr>
        <w:t xml:space="preserve">https://doi.org/10.18653/v1/2025.acl-long.723</w:t>
      </w:r>
      <w:r>
        <w:rPr>
          <w:b w:val="false"/>
          <w:bCs w:val="false"/>
          <w:i w:val="false"/>
          <w:iCs w:val="false"/>
          <w:color w:val="000000"/>
        </w:rPr>
        <w:t xml:space="preserve">
</w:t>
      </w:r>
      <w:bookmarkEnd w:id="1"/>
    </w:p>
    <w:p>
      <w:pPr>
        <w:pStyle w:val="JenniRefBody"/>
        <w:ind w:start="720" w:hanging="720"/>
      </w:pPr>
      <w:bookmarkStart w:name="369a0b6318f888c954108f10ed06563f" w:id="1"/>
      <w:r>
        <w:rPr>
          <w:b w:val="false"/>
          <w:bCs w:val="false"/>
          <w:i w:val="false"/>
          <w:iCs w:val="false"/>
          <w:color w:val="000000"/>
        </w:rPr>
        <w:t xml:space="preserve">  </w:t>
      </w:r>
      <w:r>
        <w:rPr>
          <w:b w:val="false"/>
          <w:bCs w:val="false"/>
          <w:i w:val="false"/>
          <w:iCs w:val="false"/>
          <w:color w:val="000000"/>
        </w:rPr>
        <w:t xml:space="preserve">Ong, K., Mao, R., Varshney, D., Cambria, E., &amp; Mengaldo, G. (2025b). Towards Robust ESG Analysis Against Greenwashing Risks: Aspect-Action Analysis with Cross-Category Generalization. In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https://doi.org/10.48550/arxiv.2502.15821</w:t>
      </w:r>
      <w:r>
        <w:rPr>
          <w:b w:val="false"/>
          <w:bCs w:val="false"/>
          <w:i w:val="false"/>
          <w:iCs w:val="false"/>
          <w:color w:val="000000"/>
        </w:rPr>
        <w:t xml:space="preserve">
</w:t>
      </w:r>
      <w:bookmarkEnd w:id="1"/>
    </w:p>
    <w:p>
      <w:pPr>
        <w:pStyle w:val="JenniRefBody"/>
        <w:ind w:start="720" w:hanging="720"/>
      </w:pPr>
      <w:bookmarkStart w:name="e3f387f5bbab17f4e0bb39b91ff939e9" w:id="1"/>
      <w:r>
        <w:rPr>
          <w:b w:val="false"/>
          <w:bCs w:val="false"/>
          <w:i w:val="false"/>
          <w:iCs w:val="false"/>
          <w:color w:val="000000"/>
        </w:rPr>
        <w:t xml:space="preserve">  </w:t>
      </w:r>
      <w:r>
        <w:rPr>
          <w:b w:val="false"/>
          <w:bCs w:val="false"/>
          <w:i w:val="false"/>
          <w:iCs w:val="false"/>
          <w:color w:val="000000"/>
        </w:rPr>
        <w:t xml:space="preserve">Singh, M., Nafis, N., Kumar, A., &amp; Mishra, M. (2024). Measuring Sustainability Intention of ESG Fund Disclosure using Few-Shot   Learning.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https://doi.org/10.48550/arxiv.2407.06893</w:t>
      </w:r>
      <w:r>
        <w:rPr>
          <w:b w:val="false"/>
          <w:bCs w:val="false"/>
          <w:i w:val="false"/>
          <w:iCs w:val="false"/>
          <w:color w:val="000000"/>
        </w:rPr>
        <w:t xml:space="preserve">
</w:t>
      </w:r>
      <w:bookmarkEnd w:id="1"/>
    </w:p>
    <w:p>
      <w:pPr>
        <w:pStyle w:val="JenniRefBody"/>
        <w:ind w:start="720" w:hanging="720"/>
      </w:pPr>
      <w:bookmarkStart w:name="2bac2d88961a7ff6061c1f74cd7a27e7" w:id="1"/>
      <w:r>
        <w:rPr>
          <w:b w:val="false"/>
          <w:bCs w:val="false"/>
          <w:i w:val="false"/>
          <w:iCs w:val="false"/>
          <w:color w:val="000000"/>
        </w:rPr>
        <w:t xml:space="preserve">  </w:t>
      </w:r>
      <w:r>
        <w:rPr>
          <w:b w:val="false"/>
          <w:bCs w:val="false"/>
          <w:i w:val="false"/>
          <w:iCs w:val="false"/>
          <w:color w:val="000000"/>
        </w:rPr>
        <w:t xml:space="preserve">Vinella, A., Capetz, M., Pattichis, R., Chance, C., Ghosh, R., &amp; Kai-Wei, C. (2023). Leveraging Language Models to Detect Greenwashing. In </w:t>
      </w:r>
      <w:r>
        <w:rPr>
          <w:b w:val="false"/>
          <w:bCs w:val="false"/>
          <w:i/>
          <w:iCs/>
          <w:color w:val="000000"/>
        </w:rPr>
        <w:t xml:space="preserve">arXiv (Cornell University)</w:t>
      </w:r>
      <w:r>
        <w:rPr>
          <w:b w:val="false"/>
          <w:bCs w:val="false"/>
          <w:i w:val="false"/>
          <w:iCs w:val="false"/>
          <w:color w:val="000000"/>
        </w:rPr>
        <w:t xml:space="preserve">. Cornell University. </w:t>
      </w:r>
      <w:r>
        <w:rPr>
          <w:b w:val="false"/>
          <w:bCs w:val="false"/>
          <w:i w:val="false"/>
          <w:iCs w:val="false"/>
          <w:color w:val="000000"/>
        </w:rPr>
        <w:t xml:space="preserve">https://doi.org/10.48550/arxiv.2311.01469</w:t>
      </w:r>
      <w:r>
        <w:rPr>
          <w:b w:val="false"/>
          <w:bCs w:val="false"/>
          <w:i w:val="false"/>
          <w:iCs w:val="false"/>
          <w:color w:val="000000"/>
        </w:rPr>
        <w:t xml:space="preserve">
</w:t>
      </w:r>
      <w:bookmarkEnd w:id="1"/>
    </w:p>
    <w:p>
      <w:pPr>
        <w:pStyle w:val="JenniRefBody"/>
        <w:ind w:start="720" w:hanging="720"/>
      </w:pPr>
      <w:bookmarkStart w:name="02351a60559bb7ea3c54eaddf7cfd431" w:id="1"/>
      <w:r>
        <w:rPr>
          <w:b w:val="false"/>
          <w:bCs w:val="false"/>
          <w:i w:val="false"/>
          <w:iCs w:val="false"/>
          <w:color w:val="000000"/>
        </w:rPr>
        <w:t xml:space="preserve">  </w:t>
      </w:r>
      <w:r>
        <w:rPr>
          <w:b w:val="false"/>
          <w:bCs w:val="false"/>
          <w:i w:val="false"/>
          <w:iCs w:val="false"/>
          <w:color w:val="000000"/>
        </w:rPr>
        <w:t xml:space="preserve">Wang, X., Ya, C., &amp; Yao, H. (2025). Revealing the Veil of Greenwashing in ESG Reports: Predicting the Degree of Corporate Greenwashing Based on Thematic and Sentiment Features of Text. </w:t>
      </w:r>
      <w:r>
        <w:rPr>
          <w:b w:val="false"/>
          <w:bCs w:val="false"/>
          <w:i/>
          <w:iCs/>
          <w:color w:val="000000"/>
        </w:rPr>
        <w:t xml:space="preserve">IEEE Transactions on Sustainable Computing</w:t>
      </w:r>
      <w:r>
        <w:rPr>
          <w:b w:val="false"/>
          <w:bCs w:val="false"/>
          <w:i w:val="false"/>
          <w:iCs w:val="false"/>
          <w:color w:val="000000"/>
        </w:rPr>
        <w:t xml:space="preserve">, </w:t>
      </w:r>
      <w:r>
        <w:rPr>
          <w:b w:val="false"/>
          <w:bCs w:val="false"/>
          <w:i/>
          <w:iCs/>
          <w:color w:val="000000"/>
        </w:rPr>
        <w:t xml:space="preserve">10</w:t>
      </w:r>
      <w:r>
        <w:rPr>
          <w:b w:val="false"/>
          <w:bCs w:val="false"/>
          <w:i w:val="false"/>
          <w:iCs w:val="false"/>
          <w:color w:val="000000"/>
        </w:rPr>
        <w:t xml:space="preserve">(6), 1173–1188. </w:t>
      </w:r>
      <w:r>
        <w:rPr>
          <w:b w:val="false"/>
          <w:bCs w:val="false"/>
          <w:i w:val="false"/>
          <w:iCs w:val="false"/>
          <w:color w:val="000000"/>
        </w:rPr>
        <w:t xml:space="preserve">https://doi.org/10.1109/tsusc.2025.3594401</w:t>
      </w:r>
      <w:r>
        <w:rPr>
          <w:b w:val="false"/>
          <w:bCs w:val="false"/>
          <w:i w:val="false"/>
          <w:iCs w:val="false"/>
          <w:color w:val="000000"/>
        </w:rPr>
        <w:t xml:space="preserve">
</w:t>
      </w:r>
      <w:bookmarkEnd w:id="1"/>
    </w:p>
    <w:p>
      <w:pPr>
        <w:pStyle w:val="JenniRefBody"/>
        <w:ind w:start="720" w:hanging="720"/>
      </w:pPr>
      <w:bookmarkStart w:name="5f63152f61e6bef672b25f01aa30debb" w:id="1"/>
      <w:r>
        <w:rPr>
          <w:b w:val="false"/>
          <w:bCs w:val="false"/>
          <w:i w:val="false"/>
          <w:iCs w:val="false"/>
          <w:color w:val="000000"/>
        </w:rPr>
        <w:t xml:space="preserve">  </w:t>
      </w:r>
      <w:r>
        <w:rPr>
          <w:b w:val="false"/>
          <w:bCs w:val="false"/>
          <w:i w:val="false"/>
          <w:iCs w:val="false"/>
          <w:color w:val="000000"/>
        </w:rPr>
        <w:t xml:space="preserve">Yu, E. P., Luu, B. V., &amp; Chen, C. H. (2020). Greenwashing in environmental, social and governance disclosures. </w:t>
      </w:r>
      <w:r>
        <w:rPr>
          <w:b w:val="false"/>
          <w:bCs w:val="false"/>
          <w:i/>
          <w:iCs/>
          <w:color w:val="000000"/>
        </w:rPr>
        <w:t xml:space="preserve">Research in International Business and Finance</w:t>
      </w:r>
      <w:r>
        <w:rPr>
          <w:b w:val="false"/>
          <w:bCs w:val="false"/>
          <w:i w:val="false"/>
          <w:iCs w:val="false"/>
          <w:color w:val="000000"/>
        </w:rPr>
        <w:t xml:space="preserve">, </w:t>
      </w:r>
      <w:r>
        <w:rPr>
          <w:b w:val="false"/>
          <w:bCs w:val="false"/>
          <w:i/>
          <w:iCs/>
          <w:color w:val="000000"/>
        </w:rPr>
        <w:t xml:space="preserve">52</w:t>
      </w:r>
      <w:r>
        <w:rPr>
          <w:b w:val="false"/>
          <w:bCs w:val="false"/>
          <w:i w:val="false"/>
          <w:iCs w:val="false"/>
          <w:color w:val="000000"/>
        </w:rPr>
        <w:t xml:space="preserve">, 101192–101192. </w:t>
      </w:r>
      <w:r>
        <w:rPr>
          <w:b w:val="false"/>
          <w:bCs w:val="false"/>
          <w:i w:val="false"/>
          <w:iCs w:val="false"/>
          <w:color w:val="000000"/>
        </w:rPr>
        <w:t xml:space="preserve">https://doi.org/10.1016/j.ribaf.2020.101192</w:t>
      </w:r>
      <w:r>
        <w:rPr>
          <w:b w:val="false"/>
          <w:bCs w:val="false"/>
          <w:i w:val="false"/>
          <w:iCs w:val="false"/>
          <w:color w:val="000000"/>
        </w:rPr>
        <w:t xml:space="preserve">
</w:t>
      </w:r>
      <w:bookmarkEnd w:id="1"/>
    </w:p>
    <w:p>
      <w:pPr>
        <w:pStyle w:val="JenniRefBody"/>
        <w:ind w:start="720" w:hanging="720"/>
      </w:pPr>
      <w:bookmarkStart w:name="e0dcc2e8e25670cd47fca1403a1ad6ca" w:id="1"/>
      <w:r>
        <w:rPr>
          <w:b w:val="false"/>
          <w:bCs w:val="false"/>
          <w:i w:val="false"/>
          <w:iCs w:val="false"/>
          <w:color w:val="000000"/>
        </w:rPr>
        <w:t xml:space="preserve">  </w:t>
      </w:r>
      <w:r>
        <w:rPr>
          <w:b w:val="false"/>
          <w:bCs w:val="false"/>
          <w:i w:val="false"/>
          <w:iCs w:val="false"/>
          <w:color w:val="000000"/>
        </w:rPr>
        <w:t xml:space="preserve">Zhang, H., Cheah, Y., Alyasiri, O. M., &amp; An, J. (2024). Exploring aspect-based sentiment quadruple extraction with implicit aspects, opinions, and ChatGPT: a comprehensive survey. </w:t>
      </w:r>
      <w:r>
        <w:rPr>
          <w:b w:val="false"/>
          <w:bCs w:val="false"/>
          <w:i/>
          <w:iCs/>
          <w:color w:val="000000"/>
        </w:rPr>
        <w:t xml:space="preserve">Artificial Intelligence Review</w:t>
      </w:r>
      <w:r>
        <w:rPr>
          <w:b w:val="false"/>
          <w:bCs w:val="false"/>
          <w:i w:val="false"/>
          <w:iCs w:val="false"/>
          <w:color w:val="000000"/>
        </w:rPr>
        <w:t xml:space="preserve">, </w:t>
      </w:r>
      <w:r>
        <w:rPr>
          <w:b w:val="false"/>
          <w:bCs w:val="false"/>
          <w:i/>
          <w:iCs/>
          <w:color w:val="000000"/>
        </w:rPr>
        <w:t xml:space="preserve">57</w:t>
      </w:r>
      <w:r>
        <w:rPr>
          <w:b w:val="false"/>
          <w:bCs w:val="false"/>
          <w:i w:val="false"/>
          <w:iCs w:val="false"/>
          <w:color w:val="000000"/>
        </w:rPr>
        <w:t xml:space="preserve">(2). </w:t>
      </w:r>
      <w:r>
        <w:rPr>
          <w:b w:val="false"/>
          <w:bCs w:val="false"/>
          <w:i w:val="false"/>
          <w:iCs w:val="false"/>
          <w:color w:val="000000"/>
        </w:rPr>
        <w:t xml:space="preserve">https://doi.org/10.1007/s10462-023-10633-x</w:t>
      </w:r>
      <w:r>
        <w:rPr>
          <w:b w:val="false"/>
          <w:bCs w:val="false"/>
          <w:i w:val="false"/>
          <w:iCs w:val="false"/>
          <w:color w:val="000000"/>
        </w:rPr>
        <w:t xml:space="preserve">
</w:t>
      </w:r>
      <w:bookmarkEnd w:id="1"/>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EnclosedFullstop"/>
      <w:lvlText w:val="%1"/>
      <w:lvlJc w:val="start"/>
      <w:pPr>
        <w:ind w:left="720" w:hanging="360"/>
      </w:pPr>
    </w:lvl>
    <w:lvl w:ilvl="1" w15:tentative="1">
      <w:start w:val="1"/>
      <w:numFmt w:val="decimalEnclosedFullstop"/>
      <w:lvlText w:val="%2"/>
      <w:lvlJc w:val="start"/>
      <w:pPr>
        <w:ind w:left="1440" w:hanging="360"/>
      </w:pPr>
    </w:lvl>
    <w:lvl w:ilvl="2" w15:tentative="1">
      <w:start w:val="1"/>
      <w:numFmt w:val="decimalEnclosedFullstop"/>
      <w:lvlText w:val="%3"/>
      <w:lvlJc w:val="start"/>
      <w:pPr>
        <w:ind w:left="2160" w:hanging="360"/>
      </w:pPr>
    </w:lvl>
    <w:lvl w:ilvl="3" w15:tentative="1">
      <w:start w:val="1"/>
      <w:numFmt w:val="decimalEnclosedFullstop"/>
      <w:lvlText w:val="%4"/>
      <w:lvlJc w:val="start"/>
      <w:pPr>
        <w:ind w:left="2880" w:hanging="360"/>
      </w:pPr>
    </w:lvl>
    <w:lvl w:ilvl="4" w15:tentative="1">
      <w:start w:val="1"/>
      <w:numFmt w:val="decimalEnclosedFullstop"/>
      <w:lvlText w:val="%5"/>
      <w:lvlJc w:val="start"/>
      <w:pPr>
        <w:ind w:left="3600" w:hanging="360"/>
      </w:pPr>
    </w:lvl>
    <w:lvl w:ilvl="5" w15:tentative="1">
      <w:start w:val="1"/>
      <w:numFmt w:val="decimalEnclosedFullstop"/>
      <w:lvlText w:val="%6"/>
      <w:lvlJc w:val="start"/>
      <w:pPr>
        <w:ind w:left="4320" w:hanging="360"/>
      </w:pPr>
    </w:lvl>
    <w:lvl w:ilvl="6" w15:tentative="1">
      <w:start w:val="1"/>
      <w:numFmt w:val="decimalEnclosedFullstop"/>
      <w:lvlText w:val="%7"/>
      <w:lvlJc w:val="start"/>
      <w:pPr>
        <w:ind w:left="5040" w:hanging="360"/>
      </w:pPr>
    </w:lvl>
    <w:lvl w:ilvl="7" w15:tentative="1">
      <w:start w:val="1"/>
      <w:numFmt w:val="decimalEnclosedFullstop"/>
      <w:lvlText w:val="%8"/>
      <w:lvlJc w:val="start"/>
      <w:pPr>
        <w:ind w:left="5760" w:hanging="360"/>
      </w:pPr>
    </w:lvl>
    <w:lvl w:ilvl="8" w15:tentative="1">
      <w:start w:val="1"/>
      <w:numFmt w:val="decimalEnclosedFullstop"/>
      <w:lvlText w:val="%9"/>
      <w:lvlJc w:val="start"/>
      <w:pPr>
        <w:ind w:left="6480" w:hanging="360"/>
      </w:pPr>
    </w:lvl>
  </w:abstractNum>
  <w:abstractNum w:abstractNumId="3" w15:restartNumberingAfterBreak="0">
    <w:multiLevelType w:val="hybridMultilevel"/>
    <w:lvl w:ilvl="0" w15:tentative="1">
      <w:start w:val="1"/>
      <w:numFmt w:val="bullet"/>
      <w:lvlJc w:val="start"/>
      <w:pPr>
        <w:ind w:left="720" w:hanging="360"/>
      </w:pPr>
    </w:lvl>
    <w:lvl w:ilvl="1" w15:tentative="1">
      <w:start w:val="1"/>
      <w:numFmt w:val="bullet"/>
      <w:lvlJc w:val="start"/>
      <w:pPr>
        <w:ind w:left="1440" w:hanging="360"/>
      </w:pPr>
    </w:lvl>
    <w:lvl w:ilvl="2" w15:tentative="1">
      <w:start w:val="1"/>
      <w:numFmt w:val="bullet"/>
      <w:lvlJc w:val="start"/>
      <w:pPr>
        <w:ind w:left="2160" w:hanging="360"/>
      </w:pPr>
    </w:lvl>
    <w:lvl w:ilvl="3" w15:tentative="1">
      <w:start w:val="1"/>
      <w:numFmt w:val="bullet"/>
      <w:lvlJc w:val="start"/>
      <w:pPr>
        <w:ind w:left="2880" w:hanging="360"/>
      </w:pPr>
    </w:lvl>
    <w:lvl w:ilvl="4" w15:tentative="1">
      <w:start w:val="1"/>
      <w:numFmt w:val="bullet"/>
      <w:lvlJc w:val="start"/>
      <w:pPr>
        <w:ind w:left="3600" w:hanging="360"/>
      </w:pPr>
    </w:lvl>
    <w:lvl w:ilvl="5" w15:tentative="1">
      <w:start w:val="1"/>
      <w:numFmt w:val="bullet"/>
      <w:lvlJc w:val="start"/>
      <w:pPr>
        <w:ind w:left="4320" w:hanging="360"/>
      </w:pPr>
    </w:lvl>
    <w:lvl w:ilvl="6" w15:tentative="1">
      <w:start w:val="1"/>
      <w:numFmt w:val="bullet"/>
      <w:lvlJc w:val="start"/>
      <w:pPr>
        <w:ind w:left="5040" w:hanging="360"/>
      </w:pPr>
    </w:lvl>
    <w:lvl w:ilvl="7" w15:tentative="1">
      <w:start w:val="1"/>
      <w:numFmt w:val="bullet"/>
      <w:lvlJc w:val="start"/>
      <w:pPr>
        <w:ind w:left="5760" w:hanging="360"/>
      </w:pPr>
    </w:lvl>
    <w:lvl w:ilvl="8" w15:tentative="1">
      <w:start w:val="1"/>
      <w:numFmt w:val="bullet"/>
      <w:lvlJc w:val="start"/>
      <w:pPr>
        <w:ind w:left="64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pPr>
        <w:spacing w:after="72" w:before="14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enniRefHeader">
    <w:name w:val="JenniRefHeader"/>
    <w:basedOn w:val="Heading2"/>
    <w:next w:val="Normal"/>
    <w:qFormat/>
    <w:rPr>
      <w:color w:val="000000"/>
    </w:rPr>
  </w:style>
  <w:style w:type="paragraph" w:styleId="JenniRefBody">
    <w:name w:val="JenniRefBody"/>
    <w:basedOn w:val="Normal"/>
    <w:next w:val="Normal"/>
    <w:qFormat/>
    <w:rPr>
      <w:color w:val="000000"/>
    </w:rPr>
  </w:style>
  <w:style w:type="paragraph" w:styleId="JenniTableCaption">
    <w:name w:val="JenniTableCaption"/>
    <w:basedOn w:val="Normal"/>
    <w:next w:val="Normal"/>
    <w:qFormat/>
    <w:pPr>
      <w:spacing w:after="120"/>
    </w:pPr>
    <w:rPr>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OngK25</b:Tag>
    <b:SourceType>JournalArticle</b:SourceType>
    <b:Guid>{ae3cd7aa-7ccd-4559-9c23-d00c4951ef6d}</b:Guid>
    <b:Title>Towards Robust ESG Analysis Against Greenwashing Risks: Aspect-Action Analysis with Cross-Category Generalization</b:Title>
    <b:Year>2025</b:Year>
    <b:JournalName>ArXiv.org</b:JournalName>
    <b:BookTitle>ArXiv.org</b:BookTitle>
    <b:URL>http://arxiv.org/abs/2502.15821</b:URL>
    <b:DOI>10.48550/arxiv.2502.15821</b:DOI>
    <b:Author>
      <b:Author>
        <b:NameList>
          <b:Person>
            <b:Last>Ong</b:Last>
            <b:First>Keane</b:First>
          </b:Person>
          <b:Person>
            <b:Last>Mao</b:Last>
            <b:First>Rui</b:First>
          </b:Person>
          <b:Person>
            <b:Last>Varshney</b:Last>
            <b:First>Deeksha</b:First>
          </b:Person>
          <b:Person>
            <b:Last>Cambria</b:Last>
            <b:First>Erik</b:First>
          </b:Person>
          <b:Person>
            <b:Last>Mengaldo</b:Last>
            <b:First>Gianmarco</b:First>
          </b:Person>
        </b:NameList>
      </b:Author>
    </b:Author>
    <b:JenniData>z: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</b:JenniData>
  </b:Source>
  <b:Source>
    <b:Tag>VinellaA23</b:Tag>
    <b:SourceType>JournalArticle</b:SourceType>
    <b:Guid>{e7868ac4-6355-4954-8720-11c56625b8d8}</b:Guid>
    <b:Title>Leveraging Language Models to Detect Greenwashing</b:Title>
    <b:Year>2023</b:Year>
    <b:JournalName>arXiv (Cornell University)</b:JournalName>
    <b:BookTitle>arXiv (Cornell University)</b:BookTitle>
    <b:Publisher>Cornell University</b:Publisher>
    <b:URL>http://arxiv.org/abs/2311.01469</b:URL>
    <b:DOI>10.48550/arxiv.2311.01469</b:DOI>
    <b:Author>
      <b:Author>
        <b:NameList>
          <b:Person>
            <b:Last>Vinella</b:Last>
            <b:First>Avalon</b:First>
          </b:Person>
          <b:Person>
            <b:Last>Capetz</b:Last>
            <b:First>Margaret</b:First>
          </b:Person>
          <b:Person>
            <b:Last>Pattichis</b:Last>
            <b:First>Rebecca</b:First>
          </b:Person>
          <b:Person>
            <b:Last>Chance</b:Last>
            <b:First>Christina</b:First>
          </b:Person>
          <b:Person>
            <b:Last>Ghosh</b:Last>
            <b:First>Reshmi</b:First>
          </b:Person>
          <b:Person>
            <b:Last>Kai-Wei</b:Last>
            <b:First>Chang,</b:First>
          </b:Person>
        </b:NameList>
      </b:Author>
    </b:Author>
    <b:JenniData>z: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</b:JenniData>
  </b:Source>
  <b:Source>
    <b:Tag>ZhangH24</b:Tag>
    <b:SourceType>JournalArticle</b:SourceType>
    <b:Guid>{2d0aaa8c-013d-46c9-8614-ed5aca1b0733}</b:Guid>
    <b:Title>Exploring aspect-based sentiment quadruple extraction with implicit aspects, opinions, and ChatGPT: a comprehensive survey</b:Title>
    <b:Year>2024</b:Year>
    <b:JournalName>Artificial Intelligence Review</b:JournalName>
    <b:BookTitle>Artificial Intelligence Review</b:BookTitle>
    <b:Volume>57</b:Volume>
    <b:Issue>2</b:Issue>
    <b:Publisher>Springer Science+Business Media</b:Publisher>
    <b:URL>https://doi.org/10.1007/s10462-023-10633-x</b:URL>
    <b:DOI>10.1007/s10462-023-10633-x</b:DOI>
    <b:Author>
      <b:Author>
        <b:NameList>
          <b:Person>
            <b:Last>Zhang</b:Last>
            <b:First>Hao</b:First>
          </b:Person>
          <b:Person>
            <b:Last>Cheah</b:Last>
            <b:First>Yu–N</b:First>
          </b:Person>
          <b:Person>
            <b:Last>Alyasiri</b:Last>
            <b:First>Osamah Mohammed</b:First>
          </b:Person>
          <b:Person>
            <b:Last>An</b:Last>
            <b:First>Jieyu</b:First>
          </b:Person>
        </b:NameList>
      </b:Author>
    </b:Author>
    <b:JenniData>z: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</b:JenniData>
  </b:Source>
  <b:Source>
    <b:Tag>MaY18</b:Tag>
    <b:SourceType>ConferenceProceedings</b:SourceType>
    <b:Guid>{bb1ca1df-516e-4b2d-962b-10aa948e4e94}</b:Guid>
    <b:Title>Targeted Aspect-Based Sentiment Analysis via Embedding Commonsense Knowledge into an Attentive LSTM</b:Title>
    <b:Year>2018</b:Year>
    <b:JournalName>Proceedings of the AAAI Conference on Artificial Intelligence</b:JournalName>
    <b:BookTitle>Proceedings of the AAAI Conference on Artificial Intelligence</b:BookTitle>
    <b:Volume>32</b:Volume>
    <b:Issue>1</b:Issue>
    <b:Publisher>Association for the Advancement of Artificial Intelligence</b:Publisher>
    <b:URL>https://doi.org/10.1609/aaai.v32i1.12048</b:URL>
    <b:DOI>10.1609/aaai.v32i1.12048</b:DOI>
    <b:Author>
      <b:Author>
        <b:NameList>
          <b:Person>
            <b:Last>Ma</b:Last>
            <b:First>Yukun</b:First>
          </b:Person>
          <b:Person>
            <b:Last>Peng</b:Last>
            <b:First>Haiyun</b:First>
          </b:Person>
          <b:Person>
            <b:Last>Cambria</b:Last>
            <b:First>Erik</b:First>
          </b:Person>
        </b:NameList>
      </b:Author>
    </b:Author>
    <b:JenniData>z: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</b:JenniData>
  </b:Source>
  <b:Source>
    <b:Tag>OngK252</b:Tag>
    <b:SourceType>JournalArticle</b:SourceType>
    <b:Guid>{28ec081f-6605-4d74-80bf-3add89be2006}</b:Guid>
    <b:Title>Towards Robust ESG Analysis Against Greenwashing Risks: Aspect-Action Analysis with Cross-Category Generalization</b:Title>
    <b:Year>2025</b:Year>
    <b:Pages>14854-14879</b:Pages>
    <b:URL>https://doi.org/10.18653/v1/2025.acl-long.723</b:URL>
    <b:DOI>10.18653/v1/2025.acl-long.723</b:DOI>
    <b:Author>
      <b:Author>
        <b:NameList>
          <b:Person>
            <b:Last>Ong</b:Last>
            <b:First>Keane</b:First>
          </b:Person>
          <b:Person>
            <b:Last>Mao</b:Last>
            <b:First>Rui</b:First>
          </b:Person>
          <b:Person>
            <b:Last>Varshney</b:Last>
            <b:First>Deeksha</b:First>
          </b:Person>
          <b:Person>
            <b:Last>Cambria</b:Last>
            <b:First>Erik</b:First>
          </b:Person>
          <b:Person>
            <b:Last>Mengaldo</b:Last>
            <b:First>Gianmarco</b:First>
          </b:Person>
        </b:NameList>
      </b:Author>
    </b:Author>
    <b:JenniData>z: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</b:JenniData>
  </b:Source>
  <b:Source>
    <b:Tag>SinghM24</b:Tag>
    <b:SourceType>JournalArticle</b:SourceType>
    <b:Guid>{e82dbe0f-2604-4af5-bfa6-e521417f6eab}</b:Guid>
    <b:Title>Measuring Sustainability Intention of ESG Fund Disclosure using Few-Shot
  Learning</b:Title>
    <b:Year>2024</b:Year>
    <b:JournalName>arXiv (Cornell University)</b:JournalName>
    <b:BookTitle>arXiv (Cornell University)</b:BookTitle>
    <b:Publisher>Cornell University</b:Publisher>
    <b:URL>https://arxiv.org/abs/2407.06893</b:URL>
    <b:DOI>10.48550/arxiv.2407.06893</b:DOI>
    <b:Author>
      <b:Author>
        <b:NameList>
          <b:Person>
            <b:Last>Singh</b:Last>
            <b:First>Mayank</b:First>
          </b:Person>
          <b:Person>
            <b:Last>Nafis</b:Last>
            <b:First>Nazia</b:First>
          </b:Person>
          <b:Person>
            <b:Last>Kumar</b:Last>
            <b:First>Abhijeet</b:First>
          </b:Person>
          <b:Person>
            <b:Last>Mishra</b:Last>
            <b:First>Mridul</b:First>
          </b:Person>
        </b:NameList>
      </b:Author>
    </b:Author>
    <b:JenniData>z: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</b:JenniData>
  </b:Source>
  <b:Source>
    <b:Tag>ConsoliS22</b:Tag>
    <b:SourceType>JournalArticle</b:SourceType>
    <b:Guid>{b2672393-2efe-4c09-a69b-f31f9fd1b7ef}</b:Guid>
    <b:Title>Fine-grained, aspect-based sentiment analysis on economic and financial lexicon</b:Title>
    <b:Year>2022</b:Year>
    <b:JournalName>Knowledge-Based Systems</b:JournalName>
    <b:BookTitle>Knowledge-Based Systems</b:BookTitle>
    <b:Volume>247</b:Volume>
    <b:Pages>108781-108781</b:Pages>
    <b:Publisher>Elsevier BV</b:Publisher>
    <b:URL>https://doi.org/10.1016/j.knosys.2022.108781</b:URL>
    <b:DOI>10.1016/j.knosys.2022.108781</b:DOI>
    <b:Author>
      <b:Author>
        <b:NameList>
          <b:Person>
            <b:Last>Consoli</b:Last>
            <b:First>Sergio</b:First>
          </b:Person>
          <b:Person>
            <b:Last>Barbaglia</b:Last>
            <b:First>Luca</b:First>
          </b:Person>
          <b:Person>
            <b:Last>Manzan</b:Last>
            <b:First>Sebastiano</b:First>
          </b:Person>
        </b:NameList>
      </b:Author>
    </b:Author>
    <b:JenniData>z: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</b:JenniData>
  </b:Source>
  <b:Source>
    <b:Tag>LagasioV24</b:Tag>
    <b:SourceType>JournalArticle</b:SourceType>
    <b:Guid>{398b64cd-7e59-406a-9b0c-042f425b3653}</b:Guid>
    <b:Title>ESG-washing detection in corporate sustainability reports</b:Title>
    <b:Year>2024</b:Year>
    <b:JournalName>International Review of Financial Analysis</b:JournalName>
    <b:BookTitle>International Review of Financial Analysis</b:BookTitle>
    <b:Volume>96</b:Volume>
    <b:Pages>103742-103742</b:Pages>
    <b:Publisher>Elsevier BV</b:Publisher>
    <b:URL>https://doi.org/10.1016/j.irfa.2024.103742</b:URL>
    <b:DOI>10.1016/j.irfa.2024.103742</b:DOI>
    <b:Author>
      <b:Author>
        <b:NameList>
          <b:Person>
            <b:Last>Lagasio</b:Last>
            <b:First>Valentina</b:First>
          </b:Person>
        </b:NameList>
      </b:Author>
    </b:Author>
    <b:JenniData>z: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</b:JenniData>
  </b:Source>
  <b:Source>
    <b:Tag>WangX25</b:Tag>
    <b:SourceType>JournalArticle</b:SourceType>
    <b:Guid>{8429c5c4-22f3-4f8f-95cf-efec27e86704}</b:Guid>
    <b:Title>Revealing the Veil of Greenwashing in ESG Reports: Predicting the Degree of Corporate Greenwashing Based on Thematic and Sentiment Features of Text</b:Title>
    <b:Year>2025</b:Year>
    <b:JournalName>IEEE Transactions on Sustainable Computing</b:JournalName>
    <b:BookTitle>IEEE Transactions on Sustainable Computing</b:BookTitle>
    <b:Volume>10</b:Volume>
    <b:Issue>6</b:Issue>
    <b:Pages>1173-1188</b:Pages>
    <b:Publisher>Institute of Electrical and Electronics Engineers</b:Publisher>
    <b:URL>https://doi.org/10.1109/tsusc.2025.3594401</b:URL>
    <b:DOI>10.1109/tsusc.2025.3594401</b:DOI>
    <b:Author>
      <b:Author>
        <b:NameList>
          <b:Person>
            <b:Last>Wang</b:Last>
            <b:First>Xiaojia</b:First>
          </b:Person>
          <b:Person>
            <b:Last>Ya</b:Last>
            <b:First>Chen</b:First>
          </b:Person>
          <b:Person>
            <b:Last>Yao</b:Last>
            <b:First>Haipeng</b:First>
          </b:Person>
        </b:NameList>
      </b:Author>
    </b:Author>
    <b:JenniData>z: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</b:JenniData>
  </b:Source>
  <b:Source>
    <b:Tag>ConfettoM21</b:Tag>
    <b:SourceType>JournalArticle</b:SourceType>
    <b:Guid>{d2099799-f4fa-4c0c-b78e-7a7185d1ab39}</b:Guid>
    <b:Title>“Sustainability-contents SEO”: a semantic algorithm to improve the quality rating of sustainability web contents</b:Title>
    <b:Year>2021</b:Year>
    <b:JournalName>The TQM Journal</b:JournalName>
    <b:BookTitle>The TQM Journal</b:BookTitle>
    <b:Volume>33</b:Volume>
    <b:Issue>7</b:Issue>
    <b:Pages>295-317</b:Pages>
    <b:Publisher>Emerald Publishing Limited</b:Publisher>
    <b:URL>https://doi.org/10.1108/tqm-05-2021-0125</b:URL>
    <b:DOI>10.1108/tqm-05-2021-0125</b:DOI>
    <b:Author>
      <b:Author>
        <b:NameList>
          <b:Person>
            <b:Last>Confetto</b:Last>
            <b:First>Maria Giovanna</b:First>
          </b:Person>
          <b:Person>
            <b:Last>Covucci</b:Last>
            <b:First>Claudia</b:First>
          </b:Person>
        </b:NameList>
      </b:Author>
    </b:Author>
    <b:JenniData>z: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</b:JenniData>
  </b:Source>
  <b:Source>
    <b:Tag>YuE20</b:Tag>
    <b:SourceType>JournalArticle</b:SourceType>
    <b:Guid>{d8743dc7-9ebb-42e9-bc33-1ec153e73491}</b:Guid>
    <b:Title>Greenwashing in environmental, social and governance disclosures</b:Title>
    <b:Year>2020</b:Year>
    <b:JournalName>Research in International Business and Finance</b:JournalName>
    <b:BookTitle>Research in International Business and Finance</b:BookTitle>
    <b:Volume>52</b:Volume>
    <b:Pages>101192-101192</b:Pages>
    <b:Publisher>Elsevier BV</b:Publisher>
    <b:URL>https://doi.org/10.1016/j.ribaf.2020.101192</b:URL>
    <b:DOI>10.1016/j.ribaf.2020.101192</b:DOI>
    <b:Author>
      <b:Author>
        <b:NameList>
          <b:Person>
            <b:Last>Yu</b:Last>
            <b:First>Ellen Pei‐yi</b:First>
          </b:Person>
          <b:Person>
            <b:Last>Luu</b:Last>
            <b:First>Bac Van</b:First>
          </b:Person>
          <b:Person>
            <b:Last>Chen</b:Last>
            <b:First>Catherine Huirong</b:First>
          </b:Person>
        </b:NameList>
      </b:Author>
    </b:Author>
    <b:JenniData>z: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</b:JenniData>
  </b:Source>
  <b:Source>
    <b:Tag>LiC24</b:Tag>
    <b:SourceType>JournalArticle</b:SourceType>
    <b:Guid>{4a177fb6-52f1-4935-a97e-7abc0b4448aa}</b:Guid>
    <b:Title>ESG Tendencies From News Investigated by AI Trained by Human Intelligence</b:Title>
    <b:Year>2024</b:Year>
    <b:JournalName>Business Strategy and the Environment</b:JournalName>
    <b:BookTitle>Business Strategy and the Environment</b:BookTitle>
    <b:Publisher>Wiley</b:Publisher>
    <b:URL>https://doi.org/10.1002/bse.4089</b:URL>
    <b:DOI>10.1002/bse.4089</b:DOI>
    <b:Author>
      <b:Author>
        <b:NameList>
          <b:Person>
            <b:Last>Li</b:Last>
            <b:First>Chao</b:First>
          </b:Person>
          <b:Person>
            <b:Last>Keeley</b:Last>
            <b:First>Alexander Ryota</b:First>
          </b:Person>
          <b:Person>
            <b:Last>Takeda</b:Last>
            <b:First>Shutaro</b:First>
          </b:Person>
          <b:Person>
            <b:Last>Seki</b:Last>
            <b:First>Daikichi</b:First>
          </b:Person>
          <b:Person>
            <b:Last>Managi</b:Last>
            <b:First>Shunsuke</b:First>
          </b:Person>
        </b:NameList>
      </b:Author>
    </b:Author>
    <b:JenniData>z: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</b:JenniData>
  </b:Source>
  <b:Source>
    <b:Tag>BrauwersG21</b:Tag>
    <b:SourceType>JournalArticle</b:SourceType>
    <b:Guid>{6e356cdb-b36e-4b9b-a9aa-ce407c2e69c4}</b:Guid>
    <b:Title>A Survey on Aspect-Based Sentiment Classification</b:Title>
    <b:Year>2021</b:Year>
    <b:JournalName>arXiv (Cornell University)</b:JournalName>
    <b:BookTitle>arXiv (Cornell University)</b:BookTitle>
    <b:Volume>55</b:Volume>
    <b:Issue>4</b:Issue>
    <b:Pages>1-37</b:Pages>
    <b:Publisher>Cornell University</b:Publisher>
    <b:URL>http://arxiv.org/abs/2203.14266</b:URL>
    <b:DOI>10.1145/3503044</b:DOI>
    <b:Author>
      <b:Author>
        <b:NameList>
          <b:Person>
            <b:Last>Brauwers</b:Last>
            <b:First>Gianni</b:First>
          </b:Person>
          <b:Person>
            <b:Last>Frăsincar</b:Last>
            <b:First>Flavius</b:First>
          </b:Person>
        </b:NameList>
      </b:Author>
    </b:Author>
    <b:JenniData>z: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</b:JenniData>
  </b:Source>
  <b:Source>
    <b:Tag>KlnY26</b:Tag>
    <b:SourceType>JournalArticle</b:SourceType>
    <b:Guid>{84a928aa-81c6-4588-b391-d6cdd5aa9f97}</b:Guid>
    <b:Title>A multi-dimensional textual framework for detecting greenwashing in sustainability reporting</b:Title>
    <b:Year>2026</b:Year>
    <b:JournalName>Discover Sustainability</b:JournalName>
    <b:BookTitle>Discover Sustainability</b:BookTitle>
    <b:Publisher>Springer Nature</b:Publisher>
    <b:URL>https://doi.org/10.1007/s43621-026-02890-x</b:URL>
    <b:DOI>10.1007/s43621-026-02890-x</b:DOI>
    <b:Author>
      <b:Author>
        <b:NameList>
          <b:Person>
            <b:Last>Kılınç</b:Last>
            <b:First>Yavuz</b:First>
          </b:Person>
          <b:Person>
            <b:Last>İnce</b:Last>
            <b:First>Muhammet Rıdvan</b:First>
          </b:Person>
          <b:Person>
            <b:Last>BADEM</b:Last>
            <b:First>Ahmet Cemkut</b:First>
          </b:Person>
        </b:NameList>
      </b:Author>
    </b:Author>
    <b:JenniData>z: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</b:JenniData>
  </b:Source>
  <b:Source>
    <b:Tag>DorfleitnerG23</b:Tag>
    <b:SourceType>JournalArticle</b:SourceType>
    <b:Guid>{da07aaef-42bc-4f4e-b87e-0d3ec6ee60ce}</b:Guid>
    <b:Title>Green, green, it’s green they say: a conceptual framework for measuring greenwashing on firm level</b:Title>
    <b:Year>2023</b:Year>
    <b:JournalName>Review of Managerial Science</b:JournalName>
    <b:BookTitle>Review of Managerial Science</b:BookTitle>
    <b:Volume>18</b:Volume>
    <b:Issue>12</b:Issue>
    <b:Pages>3463-3486</b:Pages>
    <b:Publisher>Springer Science+Business Media</b:Publisher>
    <b:URL>https://doi.org/10.1007/s11846-023-00718-w</b:URL>
    <b:DOI>10.1007/s11846-023-00718-w</b:DOI>
    <b:Author>
      <b:Author>
        <b:NameList>
          <b:Person>
            <b:Last>Dorfleitner</b:Last>
            <b:First>Gregor</b:First>
          </b:Person>
          <b:Person>
            <b:Last>Utz</b:Last>
            <b:First>Sebastian</b:First>
          </b:Person>
        </b:NameList>
      </b:Author>
    </b:Author>
    <b:JenniData>z: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</b:JenniData>
  </b:Source>
  <b:Source>
    <b:Tag>MaY23</b:Tag>
    <b:SourceType>JournalArticle</b:SourceType>
    <b:Guid>{b22d45c8-0138-45f2-8e54-e426e48db981}</b:Guid>
    <b:Title>A news-based climate policy uncertainty index for China</b:Title>
    <b:Year>2023</b:Year>
    <b:JournalName>Scientific Data</b:JournalName>
    <b:BookTitle>Scientific Data</b:BookTitle>
    <b:Volume>10</b:Volume>
    <b:Issue>1</b:Issue>
    <b:Pages>881-881</b:Pages>
    <b:Publisher>Nature Portfolio</b:Publisher>
    <b:URL>https://doi.org/10.1038/s41597-023-02817-5</b:URL>
    <b:DOI>10.1038/s41597-023-02817-5</b:DOI>
    <b:Author>
      <b:Author>
        <b:NameList>
          <b:Person>
            <b:Last>Ma</b:Last>
            <b:First>Yanran</b:First>
          </b:Person>
          <b:Person>
            <b:Last>Liu</b:Last>
            <b:First>Zhenhua</b:First>
          </b:Person>
          <b:Person>
            <b:Last>Ma</b:Last>
            <b:First>Dandan</b:First>
          </b:Person>
          <b:Person>
            <b:Last>Zhai</b:Last>
            <b:First>Pengxiang</b:First>
          </b:Person>
          <b:Person>
            <b:Last>Guo</b:Last>
            <b:First>Kun</b:First>
          </b:Person>
          <b:Person>
            <b:Last>Zhang</b:Last>
            <b:First>Dayong</b:First>
          </b:Person>
          <b:Person>
            <b:Last>Ji</b:Last>
            <b:First>Qiang</b:First>
          </b:Person>
        </b:NameList>
      </b:Author>
    </b:Author>
    <b:JenniData>z: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</b:JenniData>
  </b:Source>
  <b:Source>
    <b:Tag>ChungT24</b:Tag>
    <b:SourceType>JournalArticle</b:SourceType>
    <b:Guid>{99f223e4-726a-43f8-9a93-13c632cce48d}</b:Guid>
    <b:Title>Evaluating the performance of state-of-the-art esg domain-specific
  pre-trained large language models in text classification against existing
  models and traditional machine learning techniques</b:Title>
    <b:Year>2024</b:Year>
    <b:JournalName>arXiv (Cornell University)</b:JournalName>
    <b:BookTitle>arXiv (Cornell University)</b:BookTitle>
    <b:Publisher>Cornell University</b:Publisher>
    <b:URL>http://arxiv.org/abs/2410.00207</b:URL>
    <b:DOI>10.48550/arxiv.2410.00207</b:DOI>
    <b:Author>
      <b:Author>
        <b:NameList>
          <b:Person>
            <b:Last>Chung</b:Last>
            <b:First>Tae‐Sun</b:First>
          </b:Person>
          <b:Person>
            <b:Last>Latifi</b:Last>
            <b:First>Majid</b:First>
          </b:Person>
        </b:NameList>
      </b:Author>
    </b:Author>
    <b:JenniData>z: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</b:JenniData>
  </b:Source>
</b:Sources>
</file>

<file path=customXml/itemProps1.xml><?xml version="1.0" encoding="utf-8"?>
<ds:datastoreItem xmlns:ds="http://schemas.openxmlformats.org/officeDocument/2006/customXml" ds:itemID="{4e9fb270-acab-472b-a89c-d1a617c38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Structure Table</dc:title>
  <dc:creator>Daris Dzakwan Hoesien</dc:creator>
  <cp:lastModifiedBy>Un-named</cp:lastModifiedBy>
  <cp:revision>1</cp:revision>
  <dcterms:created xsi:type="dcterms:W3CDTF">2026-06-06T06:36:43.924Z</dcterms:created>
  <dcterms:modified xsi:type="dcterms:W3CDTF">2026-06-06T06:36:43.924Z</dcterms:modified>
</cp:coreProperties>
</file>

<file path=docProps/custom.xml><?xml version="1.0" encoding="utf-8"?>
<Properties xmlns="http://schemas.openxmlformats.org/officeDocument/2006/custom-properties" xmlns:vt="http://schemas.openxmlformats.org/officeDocument/2006/docPropsVTypes"/>
</file>