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System Process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 this document we will describe the graduate attributes process and how each step is taken from collecting data to evaluating it.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Collecting Data: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Starting from the university engineering office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is collecting of all courses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is given to professors depending on their courses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Processing Data: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Professor start processing the data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are given a document(questionnaire) to answer for graduate attributes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Submitting the data to engineering office for evaluation.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Evaluation: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documents are submitted the engineering office start to evaluate 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documents are accepted or returned depending on dean's office decision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document is accepted it is then sent to the engineering committee for further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Returning Evaluation Results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160" w:hanging="360"/>
        <w:jc w:val="left"/>
        <w:rPr/>
      </w:pPr>
      <w:r w:rsidDel="00000000" w:rsidR="00000000" w:rsidRPr="00000000">
        <w:rPr>
          <w:rtl w:val="0"/>
        </w:rPr>
        <w:t xml:space="preserve">After the evaluation from the engineering committee the results are then returned to the university to be processed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results then are shared in a private meeting with the engineering offices and all their associates </w:t>
      </w:r>
    </w:p>
    <w:p w:rsidR="00000000" w:rsidDel="00000000" w:rsidP="00000000" w:rsidRDefault="00000000" w:rsidRPr="00000000" w14:paraId="00000014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Todo List: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8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 guide for the application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Installing WIKI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Provide further information to the KB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