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July 2025</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hyperlink r:id="rId6">
        <w:r w:rsidDel="00000000" w:rsidR="00000000" w:rsidRPr="00000000">
          <w:rPr>
            <w:color w:val="1155cc"/>
            <w:u w:val="single"/>
            <w:rtl w:val="0"/>
          </w:rPr>
          <w:t xml:space="preserve">Scenario Description </w:t>
        </w:r>
      </w:hyperlink>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djnwdke98s2" w:id="4"/>
      <w:bookmarkEnd w:id="4"/>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7">
      <w:pPr>
        <w:pStyle w:val="Heading1"/>
        <w:rPr/>
      </w:pPr>
      <w:bookmarkStart w:colFirst="0" w:colLast="0" w:name="_e64wndl8jmz1" w:id="5"/>
      <w:bookmarkEnd w:id="5"/>
      <w:r w:rsidDel="00000000" w:rsidR="00000000" w:rsidRPr="00000000">
        <w:rPr>
          <w:rtl w:val="0"/>
        </w:rPr>
        <w:t xml:space="preserve">Scope</w:t>
      </w:r>
    </w:p>
    <w:p w:rsidR="00000000" w:rsidDel="00000000" w:rsidP="00000000" w:rsidRDefault="00000000" w:rsidRPr="00000000" w14:paraId="00000008">
      <w:pPr>
        <w:rPr/>
      </w:pPr>
      <w:r w:rsidDel="00000000" w:rsidR="00000000" w:rsidRPr="00000000">
        <w:rPr>
          <w:rtl w:val="0"/>
        </w:rPr>
        <w:t xml:space="preserve">The scope of this vulnerability assessment relates to the current access controls of the system. The assessment will cover a period of three months, from June 2025 to August 2025. </w:t>
      </w:r>
      <w:hyperlink r:id="rId7">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oymnw3nlvwib" w:id="6"/>
      <w:bookmarkEnd w:id="6"/>
      <w:r w:rsidDel="00000000" w:rsidR="00000000" w:rsidRPr="00000000">
        <w:rPr>
          <w:rtl w:val="0"/>
        </w:rPr>
        <w:t xml:space="preserve">Purpose</w:t>
      </w:r>
    </w:p>
    <w:p w:rsidR="00000000" w:rsidDel="00000000" w:rsidP="00000000" w:rsidRDefault="00000000" w:rsidRPr="00000000" w14:paraId="0000000A">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B">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C">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D">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w:t>
      </w:r>
    </w:p>
    <w:p w:rsidR="00000000" w:rsidDel="00000000" w:rsidP="00000000" w:rsidRDefault="00000000" w:rsidRPr="00000000" w14:paraId="0000000E">
      <w:pPr>
        <w:spacing w:before="0" w:line="276" w:lineRule="auto"/>
        <w:rPr>
          <w:i w:val="1"/>
        </w:rPr>
      </w:pPr>
      <w:r w:rsidDel="00000000" w:rsidR="00000000" w:rsidRPr="00000000">
        <w:rPr>
          <w:rtl w:val="0"/>
        </w:rPr>
      </w:r>
    </w:p>
    <w:p w:rsidR="00000000" w:rsidDel="00000000" w:rsidP="00000000" w:rsidRDefault="00000000" w:rsidRPr="00000000" w14:paraId="0000000F">
      <w:pPr>
        <w:spacing w:before="0" w:line="276" w:lineRule="auto"/>
        <w:rPr/>
      </w:pPr>
      <w:r w:rsidDel="00000000" w:rsidR="00000000" w:rsidRPr="00000000">
        <w:rPr>
          <w:rtl w:val="0"/>
        </w:rPr>
        <w:t xml:space="preserve">The objective of this vulnerability assessment is to analyze the vulnerabilities the company has. In specific, the database available to the public may pose certain risks. It is important for the business to secure the data on the server to minimize malicious attackers from accessing confidential company information. If this server were to be disabled by attackers, business operations may be stalled resulting in financial loss, data corruption, and more. </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7"/>
      <w:bookmarkEnd w:id="7"/>
      <w:r w:rsidDel="00000000" w:rsidR="00000000" w:rsidRPr="00000000">
        <w:rPr>
          <w:rtl w:val="0"/>
        </w:rPr>
        <w:t xml:space="preserve">Risk Assessment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Conduct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b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Style w:val="Heading1"/>
        <w:rPr/>
      </w:pPr>
      <w:bookmarkStart w:colFirst="0" w:colLast="0" w:name="_a9ivkvfuz16w" w:id="8"/>
      <w:bookmarkEnd w:id="8"/>
      <w:r w:rsidDel="00000000" w:rsidR="00000000" w:rsidRPr="00000000">
        <w:rPr>
          <w:rtl w:val="0"/>
        </w:rPr>
        <w:t xml:space="preserve">Approach</w:t>
      </w:r>
    </w:p>
    <w:p w:rsidR="00000000" w:rsidDel="00000000" w:rsidP="00000000" w:rsidRDefault="00000000" w:rsidRPr="00000000" w14:paraId="0000002D">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 Using personal judgement based on the information and scope of the business, the top three threat sources were established to be malicious software, hackers, competitors, and customers. This analysis was focused on general threat sources and listed one potential threat event associated with the source. While only one threat was listed, multiple events may overlap or may occur within a given threat event. For example, a hacker may conduct DoS attacks, disrupt mission-critical operations, and more. The risk of the threat was calculated by multiplying the likelihood of the threat by the severity of the threat.</w:t>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9"/>
      <w:bookmarkEnd w:id="9"/>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 Defense in depth will allow for layers of protection on the data server to minimize danger of these threats and malicious actors.  </w:t>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google.com/document/d/1iia-fBIWvA5p3hEs-Yppa1g_aN8QEHxm1I0iTRDDJZ0/edit?usp=sharing" TargetMode="External"/><Relationship Id="rId7" Type="http://schemas.openxmlformats.org/officeDocument/2006/relationships/hyperlink" Target="https://docs.google.com/document/d/1pRpdpQMEWskxSkwqEMv8W7A7x8GXQlcn0hEcDzWet3Y/template/preview?usp=sharing&amp;resourcekey=0-3GRRWAd8HryVgof-Jc33y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