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00" w:lineRule="auto"/>
        <w:jc w:val="right"/>
        <w:bidi/>
      </w:pPr>
      <w:r>
        <w:rPr>
          <w:rFonts w:ascii="Tahoma" w:hAnsi="Tahoma" w:eastAsia="Tahoma" w:cs="Tahoma"/>
          <w:b/>
          <w:sz w:val="36"/>
          <w:rtl/>
        </w:rPr>
        <w:t>پاسخ نهایی به ابهامات داوران</w:t>
      </w:r>
    </w:p>
    <w:p>
      <w:pPr>
        <w:spacing w:before="280" w:after="160" w:line="300" w:lineRule="auto"/>
        <w:jc w:val="right"/>
        <w:bidi/>
        <w:keepNext/>
      </w:pPr>
      <w:r>
        <w:rPr>
          <w:rFonts w:ascii="Tahoma" w:hAnsi="Tahoma" w:eastAsia="Tahoma" w:cs="Tahoma"/>
          <w:b/>
          <w:sz w:val="28"/>
          <w:rtl/>
        </w:rPr>
        <w:t>نظر شماره ۱۵ — خط مبنای سه‌کلاسه</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روش مرجع باید برای طبقه‌بندی سه‌کلاسه بازتولید و با روش پیشنهادی مقایسه شود.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بررسی کامل فایل‌های مرجع نشان داد فایل معرفی‌شده با نام مقاله ۲۰۲۶، در واقع مقاله PLOS ONE سال ۲۰۲۳ درباره سه سطح «بدون استرس، استرس کم و استرس زیاد» است. داده‌های آن پژوهش از ۴۰ آزمودنی و تکلیف محاسبات ذهنی اختصاصی به دست آمده و در مجموعه DREAMER موجود نیست. مقاله جداگانه سال ۲۰۲۶ نیز ترکیب WESAD و CASE را با مشخصات EEG توصیف می‌کند، در حالی که مستندات اصلی این دو مجموعه وجود EEG را تأیید نمی‌کنند. بنابراین ادعای بازتولید وفادار با داده‌های در دسترس از نظر علمی موجه نیست.</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یک خط مبنای سه‌کلاسه اقتباسی از روش stacking مقاله ۲۰۲۳ شامل رتبه‌بندی ANOVA، هفت طبقه‌بند پایه، پیش‌بینی خارج از fold با جداسازی آزمودنی و رگرسیون لجستیک در سطح دوم اجرا شد. این روش در آزمون مستقل به دقت ۰٫۴۷۰، balanced accuracy برابر ۰٫۳۹۳ و macro-F1 برابر ۰٫۳۷۶ رسید. همچنین مدل attention اقتباسی از مفاهیم مقاله ۲۰۲۶ روی DREAMER اجرا شد و دقت ۰٫۴۰۳، balanced accuracy برابر ۰٫۳۷۳ و macro-F1 برابر ۰٫۳۵۵ به دست آورد. هر دو روش به‌صراحت «اقتباسی» معرفی شده‌اند، نه بازتولید وفادار.</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بخش «روش‌های پیاده‌سازی‌شده» و جدول «نتایج نهایی سطح پنجره»؛ گزارش مقایسه با مقاله مرجع، بخش‌های «روش مقاله ۲۰۲۳»، «ناسازگاری‌های مقاله ۲۰۲۶» و «نتیجه تجربی اقتباس».</w:t>
      </w:r>
    </w:p>
    <w:p>
      <w:pPr>
        <w:spacing w:before="280" w:after="160" w:line="300" w:lineRule="auto"/>
        <w:jc w:val="right"/>
        <w:bidi/>
        <w:keepNext/>
      </w:pPr>
      <w:r>
        <w:rPr>
          <w:rFonts w:ascii="Tahoma" w:hAnsi="Tahoma" w:eastAsia="Tahoma" w:cs="Tahoma"/>
          <w:b/>
          <w:sz w:val="28"/>
          <w:rtl/>
        </w:rPr>
        <w:t>نظر شماره ۱۶ — حذف هم‌پوشانی</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هم‌پوشانی پنجره‌ها و احتمال ورود نمونه‌های بسیار مشابه به آموزش و آزمون حذف شود.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در نسخه اولیه، پنجره‌های ۱۰ ثانیه‌ای با ۵۰ درصد هم‌پوشانی ساخته و سپس به‌صورت تصادفی تقسیم می‌شدند. در نتیجه، پنجره‌های مجاور و نمونه‌های متعلق به یک آزمودنی یا یک آزمایش می‌توانستند هم‌زمان در آموزش و آزمون قرار گیرند و برآورد عملکرد را خوش‌بینانه کنند.</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گام حرکت برابر طول پنجره قرار گرفت و ۸٬۳۷۲ پنجره ۱۰ ثانیه‌ای بدون هم‌پوشانی ایجاد شد. برای هر نمونه، شناسه آزمودنی، آزمایش، پنجره و بازه دقیق EEG و ECG ثبت و نبود تداخل زمانی به‌صورت خودکار کنترل شد. تقسیم داده نیز پیش از آموزش و در سطح آزمودنی انجام گرفت.</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بخش «پیشگیری از نشت و پیش‌پردازش»؛ گزارش فنی داده، جدول توزیع نمونه‌ها و شرح کنترل هم‌پوشانی.</w:t>
      </w:r>
    </w:p>
    <w:p>
      <w:pPr>
        <w:spacing w:before="280" w:after="160" w:line="300" w:lineRule="auto"/>
        <w:jc w:val="right"/>
        <w:bidi/>
        <w:keepNext/>
      </w:pPr>
      <w:r>
        <w:rPr>
          <w:rFonts w:ascii="Tahoma" w:hAnsi="Tahoma" w:eastAsia="Tahoma" w:cs="Tahoma"/>
          <w:b/>
          <w:sz w:val="28"/>
          <w:rtl/>
        </w:rPr>
        <w:t>نظر شماره ۱۷ — هدف و تقسیم داده یکسان</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مدل‌ها باید از هدف، تعریف کلاس، جمعیت نمونه و تقسیم آموزش، اعتبارسنجی و آزمون یکسان استفاده کنند.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در نسخه اولیه، برخی شبکه‌های عمیق روی valence و مدل‌های کلاسیک روی arousal ارزیابی شده بودند. از آنجا که DREAMER برچسب واقعی stress ندارد، هدف مشترک و قابل دفاع، arousal خوداظهاری است و نباید به‌عنوان تشخیص استرس گزارش شود.</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برای همه هفت روش، امتیازهای ۱ و ۲ به کلاس کم، امتیاز ۳ به کلاس متوسط و امتیازهای ۴ و ۵ به کلاس زیاد نگاشت شدند. تقسیم ثابت شامل ۱۷ آزمودنی آموزش، ۳ آزمودنی اعتبارسنجی و ۳ آزمودنی آزمون است. همه روش‌ها از همان ۸٬۳۷۲ شناسه نمونه و همان ۱٬۰۹۲ نمونه آزمون استفاده می‌کنند.</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بخش «مجموعه‌داده، هدف و تقسیم‌بندی» و جدول توزیع سه کلاس؛ گزارش فنی داده، بخش تعریف هدف و شناسه آزمودنی‌های هر بخش.</w:t>
      </w:r>
    </w:p>
    <w:p>
      <w:pPr>
        <w:spacing w:before="280" w:after="160" w:line="300" w:lineRule="auto"/>
        <w:jc w:val="right"/>
        <w:bidi/>
        <w:keepNext/>
      </w:pPr>
      <w:r>
        <w:rPr>
          <w:rFonts w:ascii="Tahoma" w:hAnsi="Tahoma" w:eastAsia="Tahoma" w:cs="Tahoma"/>
          <w:b/>
          <w:sz w:val="28"/>
          <w:rtl/>
        </w:rPr>
        <w:t>نظر شماره ۱۸ — مقایسه یادگیری ماشین و یادگیری انتهابه‌انتها</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مقایسه مدل‌های کلاسیک و شبکه‌های عمیق باید تحت شرایط ارزیابی معادل تکرار شود.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مقایسه جدید برای همه روش‌ها با هدف، شناسه نمونه، آزمودنی‌های آموزش، اعتبارسنجی و آزمون، و معیارهای ارزیابی مشترک انجام شد. بهترین macro-F1 مدل کلاسیک منفرد متعلق به kNN و برابر ۰٫۳۰۲ است. روش stacking اقتباسی به ۰٫۳۷۶، Base CNN به ۰٫۲۳۹ و مدل attention به ۰٫۳۵۵ رسید. بنابراین attention از Base CNN و بهترین مدل کلاسیک منفرد بهتر است، اما ۰٫۰۲۰ واحد پایین‌تر از stacking اقتباسی قرار می‌گیرد.</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هر دو شبکه روی GPU نوع Tesla T4 با seed و قاعده انتخاب checkpoint یکسان آموزش داده شدند. انتخاب مدل فقط با داده اعتبارسنجی انجام و آزمون پس از انتخاب بهترین epoch اجرا شد. جدول یکپارچه هفت روش، نمودار مقایسه کلی، نمودار F1 کلاسی و تحلیل جداگانه سه آزمودنی آزمون تهیه شد. هیچ نتیجه قدیمی دارای نشت در مقایسه نهایی وارد نشده است.</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جدول «نتایج نهایی سطح پنجره»، شکل «مقایسه یکپارچه مدل‌ها»، شکل «F1 هر کلاس» و بخش «ارزیابی سطح آزمودنی و trial».</w:t>
      </w:r>
    </w:p>
    <w:p>
      <w:pPr>
        <w:spacing w:before="280" w:after="160" w:line="300" w:lineRule="auto"/>
        <w:jc w:val="right"/>
        <w:bidi/>
        <w:keepNext/>
      </w:pPr>
      <w:r>
        <w:rPr>
          <w:rFonts w:ascii="Tahoma" w:hAnsi="Tahoma" w:eastAsia="Tahoma" w:cs="Tahoma"/>
          <w:b/>
          <w:sz w:val="28"/>
          <w:rtl/>
        </w:rPr>
        <w:t>نظر شماره ۲۱ — مستندسازی کامل مدل‌ها</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معماری، تعداد لایه‌ها و فیلترها، سازوکار attention، تعداد پارامترهای قابل‌آموزش، تنظیمات آموزش، ابرپارامترهای روش‌های کلاسیک، منحنی‌ها، ماتریس‌های اغتشاش و معیارها باید کامل ارائه شوند.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معماری و تنظیمات همه روش‌ها ثبت شده است. Base CNN دارای ۲۱۵٬۸۴۳ پارامتر و مدل attention دارای ۱٬۸۴۶٬۰۸۵ پارامتر قابل‌آموزش است. دقت، balanced accuracy، macro-F1 و macro-AUROC برای Base به‌ترتیب ۰٫۳۳۰، ۰٫۳۵۸، ۰٫۲۳۹ و ۰٫۴۸۴ و برای attention برابر ۰٫۴۰۳، ۰٫۳۷۳، ۰٫۳۵۵ و ۰٫۵۱۲ است.</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برای هر مدل عمیق، مشخصات معماری، تنظیمات نهایی، تعداد پارامتر، محیط اجرا، نوع GPU، تاریخچه هر epoch، بهترین و آخرین checkpoint، منحنی آموزش و اعتبارسنجی، predictionها، معیارهای کلی و کلاسی و ماتریس‌های اغتشاش ذخیره شد. Base در epoch ۲۵ انتخاب و پس از ۳۷ epoch متوقف شد؛ attention در epoch ۱۲ انتخاب و پس از ۲۴ epoch متوقف شد. زمان درون‌برنامه‌ای آن‌ها به‌ترتیب ۱۱۳٫۳۹ و ۱۳۶٫۵۸ ثانیه بود. تنظیمات منتخب مدل‌های کلاسیک نیز در جدول روش‌ها گزارش شده است.</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بخش‌های «روش‌های پیاده‌سازی‌شده»، «تنظیمات آزمایش»، «نتایج سطح پنجره»، «رفتار آموزش و ماتریس‌های اغتشاش»؛ شکل‌های منحنی آموزش و ماتریس اغتشاش Base و attention.</w:t>
      </w:r>
    </w:p>
    <w:p>
      <w:pPr>
        <w:spacing w:before="280" w:after="160" w:line="300" w:lineRule="auto"/>
        <w:jc w:val="right"/>
        <w:bidi/>
        <w:keepNext/>
      </w:pPr>
      <w:r>
        <w:rPr>
          <w:rFonts w:ascii="Tahoma" w:hAnsi="Tahoma" w:eastAsia="Tahoma" w:cs="Tahoma"/>
          <w:b/>
          <w:sz w:val="28"/>
          <w:rtl/>
        </w:rPr>
        <w:t>نظر شماره ۲۲ — تفاوت با مقاله ۲۰۲۶</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تفاوت‌های معماری، روش، داده و پروتکل آزمایش با مقاله مرجع باید روشن و مستند شود.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مقاله ۲۰۲۶ استفاده از WESAD و CASE، تبدیل CWT، سه backbone تصویری VGG16، EfficientNetB0 و ResNeXt50، حدود ۴۲٫۷ میلیون پارامتر و دقت ۹۵٫۷ درصد را گزارش می‌کند. پروژه حاضر از DREAMER با ۲۳ آزمودنی، EEG چهارده‌کاناله، ECG و برچسب arousal استفاده می‌کند. مدل اقتباسی حاضر ۱٫۸۴۶ میلیون پارامتر دارد و سیگنال‌های زمانی را با Conv1D پردازش می‌کند. علاوه بر این، مشخصات EEG و تعداد آزمودنی‌های WESAD و CASE در مقاله با مستندات اصلی آن مجموعه‌ها سازگار نیست.</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مفاهیم پردازش چندمقیاسی، ترکیب ECG خام با HRV و attention بین مدالی اقتباس شدند؛ اما CWT و سه backbone تصویری پیاده‌سازی نشدند. نتیجه ۰٫۴۰۳ پروژه با دقت ۹۵٫۷ درصد مقاله به‌عنوان دو آزمایش هم‌ارز مقایسه نشده است، زیرا داده، هدف، حسگر، معماری و جامعه ارزیابی متفاوت‌اند.</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مقایسه با مقاله مرجع، جدول «تفاوت‌های اصلی» و بخش «نتیجه تجربی اقتباس»؛ گزارش نهایی آزمایش‌ها، بخش «ارتباط با مقاله ۲۰۲۶».</w:t>
      </w:r>
    </w:p>
    <w:p>
      <w:pPr>
        <w:spacing w:before="280" w:after="160" w:line="300" w:lineRule="auto"/>
        <w:jc w:val="right"/>
        <w:bidi/>
        <w:keepNext/>
      </w:pPr>
      <w:r>
        <w:rPr>
          <w:rFonts w:ascii="Tahoma" w:hAnsi="Tahoma" w:eastAsia="Tahoma" w:cs="Tahoma"/>
          <w:b/>
          <w:sz w:val="28"/>
          <w:rtl/>
        </w:rPr>
        <w:t>نظر شماره ۲۳ — استرس در برابر arousal</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رابطه علمی stress و arousal و سازگاری برچسب‌ها و ادعاهای پژوهش باید مشخص شود.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arousal شدت فعال‌شدن هیجانی یا فیزیولوژیک را بیان می‌کند و می‌تواند در استرس، ترس، هیجان مثبت یا amusement بالا باشد. stress علاوه بر arousal به وجود عامل تنش‌زا، ارزیابی شناختی و زمینه وابسته است. بنابراین تبدیل مستقیم نمره arousal به برچسب stress از نظر مفهومی و بالینی قابل دفاع نیست.</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تمام نتایج DREAMER با عنوان «طبقه‌بندی سه‌کلاسه arousal خوداظهاری» گزارش شدند. کاربرد واژه stress صرفاً به زمینه پژوهش، رابطه فیزیولوژیک یا محدودیت تعمیم مربوط است و هیچ ادعای تشخیص بالینی استرس مطرح نشده است.</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عنوان، بخش «مجموعه‌داده، هدف و تقسیم‌بندی» و بخش «محدودیت‌ها و نتیجه‌گیری»؛ گزارش فنی داده، بخش «رابطه arousal و stress».</w:t>
      </w:r>
    </w:p>
    <w:p>
      <w:pPr>
        <w:spacing w:before="280" w:after="160" w:line="300" w:lineRule="auto"/>
        <w:jc w:val="right"/>
        <w:bidi/>
        <w:keepNext/>
      </w:pPr>
      <w:r>
        <w:rPr>
          <w:rFonts w:ascii="Tahoma" w:hAnsi="Tahoma" w:eastAsia="Tahoma" w:cs="Tahoma"/>
          <w:b/>
          <w:sz w:val="28"/>
          <w:rtl/>
        </w:rPr>
        <w:t>نظر شماره ۲۴ — نشت داده و هم‌بستگی ECG/HRV</w:t>
      </w:r>
    </w:p>
    <w:p>
      <w:pPr>
        <w:spacing w:before="0" w:after="140" w:line="300" w:lineRule="auto"/>
        <w:jc w:val="right"/>
        <w:bidi/>
      </w:pPr>
      <w:r>
        <w:rPr>
          <w:rFonts w:ascii="Tahoma" w:hAnsi="Tahoma" w:eastAsia="Tahoma" w:cs="Tahoma"/>
          <w:b/>
          <w:sz w:val="22"/>
          <w:rtl/>
        </w:rPr>
        <w:t>ابهام:</w:t>
      </w:r>
      <w:r>
        <w:rPr>
          <w:rFonts w:ascii="Tahoma" w:hAnsi="Tahoma" w:eastAsia="Tahoma" w:cs="Tahoma"/>
          <w:b w:val="0"/>
          <w:sz w:val="22"/>
          <w:rtl/>
        </w:rPr>
        <w:t xml:space="preserve"> زنجیره تقسیم، نرمال‌سازی، استخراج و انتخاب ویژگی، انتخاب مدل و ارزیابی باید از نظر نشت بررسی شود و هم‌بستگی طبیعی ECG و HRV به‌اشتباه نشت تلقی نشود.</w:t>
      </w:r>
    </w:p>
    <w:p>
      <w:pPr>
        <w:spacing w:before="0" w:after="140" w:line="300" w:lineRule="auto"/>
        <w:jc w:val="right"/>
        <w:bidi/>
      </w:pPr>
      <w:r>
        <w:rPr>
          <w:rFonts w:ascii="Tahoma" w:hAnsi="Tahoma" w:eastAsia="Tahoma" w:cs="Tahoma"/>
          <w:b/>
          <w:sz w:val="22"/>
          <w:rtl/>
        </w:rPr>
        <w:t>پاسخ:</w:t>
      </w:r>
      <w:r>
        <w:rPr>
          <w:rFonts w:ascii="Tahoma" w:hAnsi="Tahoma" w:eastAsia="Tahoma" w:cs="Tahoma"/>
          <w:b w:val="0"/>
          <w:sz w:val="22"/>
          <w:rtl/>
        </w:rPr>
        <w:t xml:space="preserve"> نشت اصلی نسخه اولیه از تقسیم تصادفی پنجره‌های هم‌پوشان و حضور یک آزمودنی در چند بخش ناشی می‌شد. HRV مستقیماً از ECG استخراج می‌شود؛ بنابراین وابستگی میان آن‌ها از نظر فیزیولوژیک و ریاضی طبیعی است و به‌تنهایی نشت داده را اثبات نمی‌کند. نشت زمانی رخ می‌دهد که داده یا برچسب آزمون در برازش تبدیل‌ها، انتخاب ویژگی یا انتخاب مدل استفاده شود.</w:t>
      </w:r>
    </w:p>
    <w:p>
      <w:pPr>
        <w:spacing w:before="0" w:after="140" w:line="300" w:lineRule="auto"/>
        <w:jc w:val="right"/>
        <w:bidi/>
      </w:pPr>
      <w:r>
        <w:rPr>
          <w:rFonts w:ascii="Tahoma" w:hAnsi="Tahoma" w:eastAsia="Tahoma" w:cs="Tahoma"/>
          <w:b/>
          <w:sz w:val="22"/>
          <w:rtl/>
        </w:rPr>
        <w:t>اصلاح انجام شده:</w:t>
      </w:r>
      <w:r>
        <w:rPr>
          <w:rFonts w:ascii="Tahoma" w:hAnsi="Tahoma" w:eastAsia="Tahoma" w:cs="Tahoma"/>
          <w:b w:val="0"/>
          <w:sz w:val="22"/>
          <w:rtl/>
        </w:rPr>
        <w:t xml:space="preserve"> تقسیم آزمودنی‌محور پیش از برازش، نرمال‌سازی پنجره‌ای، scaler متکی بر آموزش، انتخاب ویژگی داخل fold، اعتبارسنجی مستقل و آزمون دست‌نخورده اعمال شد. بیشترین قدر مطلق هم‌بستگی Spearman میان بلوک ECG خام و HRV در آموزش ۰٫۴۳۹ بود و تحلیل ablation جداگانه انجام شد. در کنترل نهایی، ترتیب ۱٬۰۹۲ شناسه آزمون، برچسب‌ها، predictionها، ماتریس‌ها و معیارهای هر هفت روش مستقیماً از خروجی‌های ذخیره‌شده بازتولید و تطبیق داده شد.</w:t>
      </w:r>
    </w:p>
    <w:p>
      <w:pPr>
        <w:spacing w:before="0" w:after="140" w:line="300" w:lineRule="auto"/>
        <w:jc w:val="right"/>
        <w:bidi/>
      </w:pPr>
      <w:r>
        <w:rPr>
          <w:rFonts w:ascii="Tahoma" w:hAnsi="Tahoma" w:eastAsia="Tahoma" w:cs="Tahoma"/>
          <w:b/>
          <w:sz w:val="22"/>
          <w:rtl/>
        </w:rPr>
        <w:t>محل اصلاح:</w:t>
      </w:r>
      <w:r>
        <w:rPr>
          <w:rFonts w:ascii="Tahoma" w:hAnsi="Tahoma" w:eastAsia="Tahoma" w:cs="Tahoma"/>
          <w:b w:val="0"/>
          <w:sz w:val="22"/>
          <w:rtl/>
        </w:rPr>
        <w:t xml:space="preserve"> گزارش نهایی آزمایش‌ها، بخش «پیشگیری از نشت و پیش‌پردازش»، بخش «اعتبارسنجی و شواهد بازتولیدپذیری» و جدول تحلیل modality؛ گزارش فنی داده، بخش ممیزی نشت و تحلیل وابستگی ECG/HRV.</w:t>
      </w:r>
    </w:p>
    <w:p>
      <w:pPr>
        <w:spacing w:before="280" w:after="160" w:line="300" w:lineRule="auto"/>
        <w:jc w:val="right"/>
        <w:bidi/>
        <w:keepNext/>
      </w:pPr>
      <w:r>
        <w:rPr>
          <w:rFonts w:ascii="Tahoma" w:hAnsi="Tahoma" w:eastAsia="Tahoma" w:cs="Tahoma"/>
          <w:b/>
          <w:sz w:val="28"/>
          <w:rtl/>
        </w:rPr>
        <w:t>جمع‌بندی وضعیت</w:t>
      </w:r>
    </w:p>
    <w:p>
      <w:pPr>
        <w:spacing w:before="0" w:after="140" w:line="300" w:lineRule="auto"/>
        <w:jc w:val="right"/>
        <w:bidi/>
      </w:pPr>
      <w:r>
        <w:rPr>
          <w:rFonts w:ascii="Tahoma" w:hAnsi="Tahoma" w:eastAsia="Tahoma" w:cs="Tahoma"/>
          <w:b w:val="0"/>
          <w:sz w:val="22"/>
          <w:rtl/>
        </w:rPr>
        <w:t>هر دو آزمایش عمیق و همه خطوط مبنای کلاسیک تکمیل، بازیابی و اعتبارسنجی شده‌اند. هیچ نتیجه قدیمی دارای نشت در جدول نهایی استفاده نشده و هیچ بازآموزی بر مبنای مشاهده آزمون انجام نشده است. محدودیت اصلی، اندازه مجموعه DREAMER و وجود تنها سه آزمودنی در بخش آزمون است؛ ازاین‌رو اختلاف‌های کوچک نباید به‌عنوان برتری قطعی یا قابلیت تعمیم به تشخیص بالینی استرس تفسیر شوند. در این پروژه هیچ تغییری در متن رساله یا پروپوزال انجام نشده است.</w:t>
      </w:r>
    </w:p>
    <w:sectPr w:rsidR="00FC693F" w:rsidRPr="0006063C" w:rsidSect="00034616">
      <w:footerReference w:type="default" r:id="rId9"/>
      <w:pgSz w:w="12240" w:h="15840"/>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right"/>
      <w:bidi/>
    </w:pPr>
    <w:r>
      <w:rPr>
        <w:rFonts w:ascii="Tahoma" w:hAnsi="Tahoma" w:eastAsia="Tahoma" w:cs="Tahoma"/>
        <w:b w:val="0"/>
        <w:sz w:val="18"/>
        <w:rtl/>
      </w:rPr>
      <w:t xml:space="preserve">صفحه </w:t>
    </w:r>
    <w:r>
      <w:rPr>
        <w:rFonts w:ascii="Tahoma" w:hAnsi="Tahoma" w:eastAsia="Tahoma" w:cs="Tahoma"/>
        <w:b w:val="0"/>
        <w:sz w:val="18"/>
        <w:rtl/>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پاسخ نهایی به ابهامات داوران</dc:title>
  <dc:subject>پاسخ مستند به نظرات داوران پروژه طبقه‌بندی برانگیختگی DREAMER</dc:subject>
  <dc:creator>StressClassification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