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200" w:before="0"/>
        <w:jc w:val="center"/>
      </w:pPr>
      <w:r>
        <w:rPr>
          <w:rFonts w:ascii="Arial" w:cs="Arial" w:eastAsia="Arial" w:hAnsi="Arial"/>
          <w:b/>
          <w:bCs/>
          <w:color w:val="1F4E79"/>
          <w:sz w:val="52"/>
          <w:szCs w:val="52"/>
        </w:rPr>
        <w:t xml:space="preserve">Data Engineering Learning Journal</w:t>
      </w:r>
    </w:p>
    <w:p>
      <w:pPr>
        <w:spacing w:after="100" w:before="0"/>
        <w:jc w:val="center"/>
      </w:pPr>
      <w:r>
        <w:rPr>
          <w:rFonts w:ascii="Arial" w:cs="Arial" w:eastAsia="Arial" w:hAnsi="Arial"/>
          <w:color w:val="2E75B6"/>
          <w:sz w:val="30"/>
          <w:szCs w:val="30"/>
        </w:rPr>
        <w:t xml:space="preserve">Manufacturing SPC Alert System Project</w:t>
      </w:r>
    </w:p>
    <w:p>
      <w:pPr>
        <w:spacing w:after="600" w:before="0"/>
        <w:jc w:val="center"/>
      </w:pPr>
      <w:r>
        <w:rPr>
          <w:rFonts w:ascii="Arial" w:cs="Arial" w:eastAsia="Arial" w:hAnsi="Arial"/>
          <w:color w:val="888888"/>
          <w:sz w:val="22"/>
          <w:szCs w:val="22"/>
        </w:rPr>
        <w:t xml:space="preserve">SQL Window Functions | Statistical Process Control | Quality Analytics</w:t>
      </w:r>
    </w:p>
    <w:p>
      <w:pPr>
        <w:pBdr>
          <w:bottom w:val="single" w:color="2E75B6" w:sz="12"/>
        </w:pBdr>
        <w:spacing w:after="400" w:before="0"/>
      </w:pPr>
      <w:r>
        <w:t xml:space="preserve"/>
      </w:r>
    </w:p>
    <w:p>
      <w:pPr>
        <w:pStyle w:val="Heading1"/>
        <w:spacing w:after="200" w:before="400"/>
      </w:pPr>
      <w:r>
        <w:rPr>
          <w:rFonts w:ascii="Arial" w:cs="Arial" w:eastAsia="Arial" w:hAnsi="Arial"/>
          <w:b/>
          <w:bCs/>
          <w:color w:val="1F4E79"/>
          <w:sz w:val="32"/>
          <w:szCs w:val="32"/>
        </w:rPr>
        <w:t xml:space="preserve">1. Project Summary</w:t>
      </w:r>
    </w:p>
    <w:p>
      <w:pPr>
        <w:spacing w:after="80" w:before="80"/>
      </w:pPr>
      <w:r>
        <w:rPr>
          <w:rFonts w:ascii="Arial" w:cs="Arial" w:eastAsia="Arial" w:hAnsi="Arial"/>
          <w:sz w:val="22"/>
          <w:szCs w:val="22"/>
        </w:rPr>
        <w:t xml:space="preserve">This project involved building a Statistical Process Control (SPC) alert system using SQL to analyze manufacturing data. The goal was to automatically flag parts whose height measurements fell outside acceptable control limits, helping manufacturing teams identify when process adjustments are needed.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60"/>
              <w:left w:type="dxa" w:w="240"/>
              <w:bottom w:type="dxa" w:w="160"/>
              <w:right w:type="dxa" w:w="240"/>
            </w:tcMar>
          </w:tcPr>
          <w:p>
            <w:r>
              <w:rPr>
                <w:rFonts w:ascii="Arial" w:cs="Arial" w:eastAsia="Arial" w:hAnsi="Arial"/>
                <w:color w:val="1F4E79"/>
                <w:sz w:val="22"/>
                <w:szCs w:val="22"/>
              </w:rPr>
              <w:t xml:space="preserve">Key Outcome: A working SQL query that uses window functions to compute rolling averages and standard deviations, derive UCL/LCL control limits, and flag anomalies — all in a single nested query saved as the 'alerts' DataFrame.</w:t>
            </w:r>
          </w:p>
        </w:tc>
      </w:tr>
    </w:tbl>
    <w:p>
      <w:pPr>
        <w:spacing w:after="0" w:before="200"/>
      </w:pPr>
      <w:r>
        <w:t xml:space="preserve"/>
      </w:r>
    </w:p>
    <w:p>
      <w:pPr>
        <w:pStyle w:val="Heading1"/>
        <w:spacing w:after="200" w:before="400"/>
      </w:pPr>
      <w:r>
        <w:rPr>
          <w:rFonts w:ascii="Arial" w:cs="Arial" w:eastAsia="Arial" w:hAnsi="Arial"/>
          <w:b/>
          <w:bCs/>
          <w:color w:val="1F4E79"/>
          <w:sz w:val="32"/>
          <w:szCs w:val="32"/>
        </w:rPr>
        <w:t xml:space="preserve">2. What I Learned</w:t>
      </w:r>
    </w:p>
    <w:p>
      <w:pPr>
        <w:pStyle w:val="Heading2"/>
        <w:spacing w:after="150" w:before="300"/>
      </w:pPr>
      <w:r>
        <w:rPr>
          <w:rFonts w:ascii="Arial" w:cs="Arial" w:eastAsia="Arial" w:hAnsi="Arial"/>
          <w:b/>
          <w:bCs/>
          <w:color w:val="2E75B6"/>
          <w:sz w:val="26"/>
          <w:szCs w:val="26"/>
        </w:rPr>
        <w:t xml:space="preserve">2.1  SQL Window Functions</w:t>
      </w:r>
    </w:p>
    <w:p>
      <w:pPr>
        <w:spacing w:after="80" w:before="80"/>
      </w:pPr>
      <w:r>
        <w:rPr>
          <w:rFonts w:ascii="Arial" w:cs="Arial" w:eastAsia="Arial" w:hAnsi="Arial"/>
          <w:sz w:val="22"/>
          <w:szCs w:val="22"/>
        </w:rPr>
        <w:t xml:space="preserve">Window functions were the heart of this project. Unlike regular aggregate functions that collapse rows, window functions compute values across a defined frame of rows while keeping every row in the result.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Function</w:t>
            </w:r>
          </w:p>
        </w:tc>
        <w:tc>
          <w:tcPr>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What it does in this project</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ROW_NUMBER()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Assigns sequential row numbers per operator group</w:t>
            </w:r>
          </w:p>
        </w:tc>
      </w:tr>
      <w:tr>
        <w:tc>
          <w:tcPr>
            <w:tcW w:type="dxa" w:w="3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tcPr>
          <w:p>
            <w:r>
              <w:rPr>
                <w:rFonts w:ascii="Arial" w:cs="Arial" w:eastAsia="Arial" w:hAnsi="Arial"/>
                <w:b/>
                <w:bCs/>
                <w:color w:val="1F4E79"/>
                <w:sz w:val="20"/>
                <w:szCs w:val="20"/>
              </w:rPr>
              <w:t xml:space="preserve">AVG() OVER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Computes rolling 5-row average of height</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STDDEV() OVER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Computes rolling 5-row standard deviation</w:t>
            </w:r>
          </w:p>
        </w:tc>
      </w:tr>
      <w:tr>
        <w:tc>
          <w:tcPr>
            <w:tcW w:type="dxa" w:w="35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tcPr>
          <w:p>
            <w:r>
              <w:rPr>
                <w:rFonts w:ascii="Arial" w:cs="Arial" w:eastAsia="Arial" w:hAnsi="Arial"/>
                <w:b/>
                <w:bCs/>
                <w:color w:val="1F4E79"/>
                <w:sz w:val="20"/>
                <w:szCs w:val="20"/>
              </w:rPr>
              <w:t xml:space="preserve">COUNT() OVER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Counts rows in window to detect incomplete windows</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2.2  PARTITION BY and ORDER BY in Windows</w:t>
      </w:r>
    </w:p>
    <w:p>
      <w:pPr>
        <w:spacing w:after="80" w:before="80"/>
      </w:pPr>
      <w:r>
        <w:rPr>
          <w:rFonts w:ascii="Arial" w:cs="Arial" w:eastAsia="Arial" w:hAnsi="Arial"/>
          <w:sz w:val="22"/>
          <w:szCs w:val="22"/>
        </w:rPr>
        <w:t xml:space="preserve">I learned that window functions can be partitioned (like GROUP BY) and ordered independently of the main query order. This was critical for computing stats per operator:</w:t>
      </w:r>
    </w:p>
    <w:p>
      <w:pPr>
        <w:spacing w:after="0" w:before="80"/>
      </w:pPr>
      <w:r>
        <w:t xml:space="preserve"/>
      </w:r>
    </w:p>
    <w:p>
      <w:pPr>
        <w:spacing w:after="100" w:before="100"/>
        <w:ind w:left="720"/>
      </w:pPr>
      <w:r>
        <w:rPr>
          <w:rFonts w:ascii="Courier New" w:cs="Courier New" w:eastAsia="Courier New" w:hAnsi="Courier New"/>
          <w:color w:val="2F4F4F"/>
          <w:sz w:val="18"/>
          <w:szCs w:val="18"/>
        </w:rPr>
        <w:t xml:space="preserve">PARTITION BY operator ORDER BY item_no</w:t>
      </w:r>
    </w:p>
    <w:p>
      <w:pPr>
        <w:spacing w:after="100" w:before="100"/>
        <w:ind w:left="720"/>
      </w:pPr>
      <w:r>
        <w:rPr>
          <w:rFonts w:ascii="Courier New" w:cs="Courier New" w:eastAsia="Courier New" w:hAnsi="Courier New"/>
          <w:color w:val="2F4F4F"/>
          <w:sz w:val="18"/>
          <w:szCs w:val="18"/>
        </w:rPr>
        <w:t xml:space="preserve">ROWS BETWEEN 4 PRECEDING AND CURRENT ROW</w:t>
      </w:r>
    </w:p>
    <w:p>
      <w:pPr>
        <w:spacing w:after="0" w:before="80"/>
      </w:pPr>
      <w:r>
        <w:t xml:space="preserve"/>
      </w:r>
    </w:p>
    <w:p>
      <w:pPr>
        <w:spacing w:after="80" w:before="80"/>
      </w:pPr>
      <w:r>
        <w:rPr>
          <w:rFonts w:ascii="Arial" w:cs="Arial" w:eastAsia="Arial" w:hAnsi="Arial"/>
          <w:sz w:val="22"/>
          <w:szCs w:val="22"/>
        </w:rPr>
        <w:t xml:space="preserve">The ROWS clause defines a rolling frame: always the current row and the 4 rows before it, giving a window of exactly 5 observations.</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2.3  Nested Queries (Subqueries)</w:t>
      </w:r>
    </w:p>
    <w:p>
      <w:pPr>
        <w:spacing w:after="80" w:before="80"/>
      </w:pPr>
      <w:r>
        <w:rPr>
          <w:rFonts w:ascii="Arial" w:cs="Arial" w:eastAsia="Arial" w:hAnsi="Arial"/>
          <w:sz w:val="22"/>
          <w:szCs w:val="22"/>
        </w:rPr>
        <w:t xml:space="preserve">The project required two layers of logic that cannot run in a single SELECT:</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Inner query: compute the rolling window metrics (avg, stddev, count)</w:t>
      </w:r>
    </w:p>
    <w:p>
      <w:pPr>
        <w:pStyle w:val="ListParagraph"/>
        <w:numPr>
          <w:ilvl w:val="0"/>
          <w:numId w:val="2"/>
        </w:numPr>
        <w:spacing w:after="60" w:before="60"/>
      </w:pPr>
      <w:r>
        <w:rPr>
          <w:rFonts w:ascii="Arial" w:cs="Arial" w:eastAsia="Arial" w:hAnsi="Arial"/>
          <w:sz w:val="22"/>
          <w:szCs w:val="22"/>
        </w:rPr>
        <w:t xml:space="preserve">Outer query: filter incomplete windows, derive UCL/LCL, generate the alert flag</w:t>
      </w:r>
    </w:p>
    <w:p>
      <w:pPr>
        <w:spacing w:after="0" w:before="80"/>
      </w:pPr>
      <w:r>
        <w:t xml:space="preserve"/>
      </w:r>
    </w:p>
    <w:p>
      <w:pPr>
        <w:spacing w:after="80" w:before="80"/>
      </w:pPr>
      <w:r>
        <w:rPr>
          <w:rFonts w:ascii="Arial" w:cs="Arial" w:eastAsia="Arial" w:hAnsi="Arial"/>
          <w:sz w:val="22"/>
          <w:szCs w:val="22"/>
        </w:rPr>
        <w:t xml:space="preserve">This pattern — compute in the subquery, filter and transform in the outer query — is a core data engineering pattern for building clean pipelines.</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2.4  Statistical Process Control (SPC)</w:t>
      </w:r>
    </w:p>
    <w:p>
      <w:pPr>
        <w:spacing w:after="80" w:before="80"/>
      </w:pPr>
      <w:r>
        <w:rPr>
          <w:rFonts w:ascii="Arial" w:cs="Arial" w:eastAsia="Arial" w:hAnsi="Arial"/>
          <w:sz w:val="22"/>
          <w:szCs w:val="22"/>
        </w:rPr>
        <w:t xml:space="preserve">I learned the fundamentals of SPC, a domain concept used in manufacturing and quality engineering:</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UCL (Upper Control Limit): avg + 3 * (stddev / sqrt(5))</w:t>
      </w:r>
    </w:p>
    <w:p>
      <w:pPr>
        <w:pStyle w:val="ListParagraph"/>
        <w:numPr>
          <w:ilvl w:val="0"/>
          <w:numId w:val="2"/>
        </w:numPr>
        <w:spacing w:after="60" w:before="60"/>
      </w:pPr>
      <w:r>
        <w:rPr>
          <w:rFonts w:ascii="Arial" w:cs="Arial" w:eastAsia="Arial" w:hAnsi="Arial"/>
          <w:sz w:val="22"/>
          <w:szCs w:val="22"/>
        </w:rPr>
        <w:t xml:space="preserve">LCL (Lower Control Limit): avg - 3 * (stddev / sqrt(5))</w:t>
      </w:r>
    </w:p>
    <w:p>
      <w:pPr>
        <w:pStyle w:val="ListParagraph"/>
        <w:numPr>
          <w:ilvl w:val="0"/>
          <w:numId w:val="2"/>
        </w:numPr>
        <w:spacing w:after="60" w:before="60"/>
      </w:pPr>
      <w:r>
        <w:rPr>
          <w:rFonts w:ascii="Arial" w:cs="Arial" w:eastAsia="Arial" w:hAnsi="Arial"/>
          <w:sz w:val="22"/>
          <w:szCs w:val="22"/>
        </w:rPr>
        <w:t xml:space="preserve">Parts inside [LCL, UCL] are acceptable; outside triggers an alert</w:t>
      </w:r>
    </w:p>
    <w:p>
      <w:pPr>
        <w:pStyle w:val="ListParagraph"/>
        <w:numPr>
          <w:ilvl w:val="0"/>
          <w:numId w:val="2"/>
        </w:numPr>
        <w:spacing w:after="60" w:before="60"/>
      </w:pPr>
      <w:r>
        <w:rPr>
          <w:rFonts w:ascii="Arial" w:cs="Arial" w:eastAsia="Arial" w:hAnsi="Arial"/>
          <w:sz w:val="22"/>
          <w:szCs w:val="22"/>
        </w:rPr>
        <w:t xml:space="preserve">The factor of sqrt(5) accounts for the sample size of the rolling window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EFDA" w:val="clear"/>
            <w:tcMar>
              <w:top w:type="dxa" w:w="160"/>
              <w:left w:type="dxa" w:w="240"/>
              <w:bottom w:type="dxa" w:w="160"/>
              <w:right w:type="dxa" w:w="240"/>
            </w:tcMar>
          </w:tcPr>
          <w:p>
            <w:r>
              <w:rPr>
                <w:rFonts w:ascii="Arial" w:cs="Arial" w:eastAsia="Arial" w:hAnsi="Arial"/>
                <w:color w:val="1E7145"/>
                <w:sz w:val="22"/>
                <w:szCs w:val="22"/>
              </w:rPr>
              <w:t xml:space="preserve">Key insight: SPC doesn't react to every variation — only to statistically significant deviations. This reduces false alarms and unnecessary process adjustments.</w:t>
            </w:r>
          </w:p>
        </w:tc>
      </w:tr>
    </w:tbl>
    <w:p>
      <w:pPr>
        <w:spacing w:after="0" w:before="200"/>
      </w:pPr>
      <w:r>
        <w:t xml:space="preserve"/>
      </w:r>
    </w:p>
    <w:p>
      <w:pPr>
        <w:pStyle w:val="Heading2"/>
        <w:spacing w:after="150" w:before="300"/>
      </w:pPr>
      <w:r>
        <w:rPr>
          <w:rFonts w:ascii="Arial" w:cs="Arial" w:eastAsia="Arial" w:hAnsi="Arial"/>
          <w:b/>
          <w:bCs/>
          <w:color w:val="2E75B6"/>
          <w:sz w:val="26"/>
          <w:szCs w:val="26"/>
        </w:rPr>
        <w:t xml:space="preserve">2.5  Boolean Flags in SQL</w:t>
      </w:r>
    </w:p>
    <w:p>
      <w:pPr>
        <w:spacing w:after="80" w:before="80"/>
      </w:pPr>
      <w:r>
        <w:rPr>
          <w:rFonts w:ascii="Arial" w:cs="Arial" w:eastAsia="Arial" w:hAnsi="Arial"/>
          <w:sz w:val="22"/>
          <w:szCs w:val="22"/>
        </w:rPr>
        <w:t xml:space="preserve">I practiced creating boolean alert columns using SQL expressions:</w:t>
      </w:r>
    </w:p>
    <w:p>
      <w:pPr>
        <w:spacing w:after="0" w:before="80"/>
      </w:pPr>
      <w:r>
        <w:t xml:space="preserve"/>
      </w:r>
    </w:p>
    <w:p>
      <w:pPr>
        <w:spacing w:after="100" w:before="100"/>
        <w:ind w:left="720"/>
      </w:pPr>
      <w:r>
        <w:rPr>
          <w:rFonts w:ascii="Courier New" w:cs="Courier New" w:eastAsia="Courier New" w:hAnsi="Courier New"/>
          <w:color w:val="2F4F4F"/>
          <w:sz w:val="18"/>
          <w:szCs w:val="18"/>
        </w:rPr>
        <w:t xml:space="preserve">height NOT BETWEEN (avg_height - 3 * stddev_height / SQRT(5))</w:t>
      </w:r>
    </w:p>
    <w:p>
      <w:pPr>
        <w:spacing w:after="100" w:before="100"/>
        <w:ind w:left="720"/>
      </w:pPr>
      <w:r>
        <w:rPr>
          <w:rFonts w:ascii="Courier New" w:cs="Courier New" w:eastAsia="Courier New" w:hAnsi="Courier New"/>
          <w:color w:val="2F4F4F"/>
          <w:sz w:val="18"/>
          <w:szCs w:val="18"/>
        </w:rPr>
        <w:t xml:space="preserve">               AND (avg_height + 3 * stddev_height / SQRT(5)) AS alert</w:t>
      </w:r>
    </w:p>
    <w:p>
      <w:pPr>
        <w:spacing w:after="0" w:before="80"/>
      </w:pPr>
      <w:r>
        <w:t xml:space="preserve"/>
      </w:r>
    </w:p>
    <w:p>
      <w:pPr>
        <w:spacing w:after="80" w:before="80"/>
      </w:pPr>
      <w:r>
        <w:rPr>
          <w:rFonts w:ascii="Arial" w:cs="Arial" w:eastAsia="Arial" w:hAnsi="Arial"/>
          <w:sz w:val="22"/>
          <w:szCs w:val="22"/>
        </w:rPr>
        <w:t xml:space="preserve">This evaluates to TRUE when height is outside the control limits, and FALSE when it is within range — a clean, readable boolean flag.</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2.6  Handling Incomplete Windows</w:t>
      </w:r>
    </w:p>
    <w:p>
      <w:pPr>
        <w:spacing w:after="80" w:before="80"/>
      </w:pPr>
      <w:r>
        <w:rPr>
          <w:rFonts w:ascii="Arial" w:cs="Arial" w:eastAsia="Arial" w:hAnsi="Arial"/>
          <w:sz w:val="22"/>
          <w:szCs w:val="22"/>
        </w:rPr>
        <w:t xml:space="preserve">A critical edge case: when fewer than 5 rows exist for a window (e.g., the first 4 rows per operator), the rolling stats are unreliable. I learned to:</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Use COUNT() OVER (...) as window_size to track actual window length</w:t>
      </w:r>
    </w:p>
    <w:p>
      <w:pPr>
        <w:pStyle w:val="ListParagraph"/>
        <w:numPr>
          <w:ilvl w:val="0"/>
          <w:numId w:val="2"/>
        </w:numPr>
        <w:spacing w:after="60" w:before="60"/>
      </w:pPr>
      <w:r>
        <w:rPr>
          <w:rFonts w:ascii="Arial" w:cs="Arial" w:eastAsia="Arial" w:hAnsi="Arial"/>
          <w:sz w:val="22"/>
          <w:szCs w:val="22"/>
        </w:rPr>
        <w:t xml:space="preserve">Filter WHERE window_size = 5 in the outer query to exclude incomplete windows</w:t>
      </w:r>
    </w:p>
    <w:p>
      <w:pPr>
        <w:pStyle w:val="ListParagraph"/>
        <w:numPr>
          <w:ilvl w:val="0"/>
          <w:numId w:val="2"/>
        </w:numPr>
        <w:spacing w:after="60" w:before="60"/>
      </w:pPr>
      <w:r>
        <w:rPr>
          <w:rFonts w:ascii="Arial" w:cs="Arial" w:eastAsia="Arial" w:hAnsi="Arial"/>
          <w:sz w:val="22"/>
          <w:szCs w:val="22"/>
        </w:rPr>
        <w:t xml:space="preserve">This ensures the control limits are only computed when statistically valid</w:t>
      </w:r>
    </w:p>
    <w:p>
      <w:pPr>
        <w:spacing w:after="0" w:before="200"/>
      </w:pPr>
      <w:r>
        <w:t xml:space="preserve"/>
      </w:r>
    </w:p>
    <w:p>
      <w:pPr>
        <w:pStyle w:val="Heading2"/>
        <w:spacing w:after="150" w:before="300"/>
      </w:pPr>
      <w:r>
        <w:rPr>
          <w:rFonts w:ascii="Arial" w:cs="Arial" w:eastAsia="Arial" w:hAnsi="Arial"/>
          <w:b/>
          <w:bCs/>
          <w:color w:val="2E75B6"/>
          <w:sz w:val="26"/>
          <w:szCs w:val="26"/>
        </w:rPr>
        <w:t xml:space="preserve">2.7  Debugging SQL Errors</w:t>
      </w:r>
    </w:p>
    <w:p>
      <w:pPr>
        <w:spacing w:after="80" w:before="80"/>
      </w:pPr>
      <w:r>
        <w:rPr>
          <w:rFonts w:ascii="Arial" w:cs="Arial" w:eastAsia="Arial" w:hAnsi="Arial"/>
          <w:sz w:val="22"/>
          <w:szCs w:val="22"/>
        </w:rPr>
        <w:t xml:space="preserve">I encountered two real errors during this project and learned to fix them: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Error</w:t>
            </w:r>
          </w:p>
        </w:tc>
        <w:tc>
          <w:tcPr>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Cause</w:t>
            </w:r>
          </w:p>
        </w:tc>
        <w:tc>
          <w:tcPr>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Fix</w:t>
            </w:r>
          </w:p>
        </w:tc>
      </w:tr>
      <w:tr>
        <w:tc>
          <w:tcPr>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sz w:val="20"/>
                <w:szCs w:val="20"/>
              </w:rPr>
              <w:t xml:space="preserve">Syntax error at CROSS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CROSS JOIN LATERAL not supported in this SQL dialect</w:t>
            </w:r>
          </w:p>
        </w:tc>
        <w:tc>
          <w:tcPr>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sz w:val="20"/>
                <w:szCs w:val="20"/>
              </w:rPr>
              <w:t xml:space="preserve">Inline the UCL/LCL formulas directly in the outer SELECT</w:t>
            </w:r>
          </w:p>
        </w:tc>
      </w:tr>
      <w:tr>
        <w:tc>
          <w:tcPr>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sz w:val="20"/>
                <w:szCs w:val="20"/>
              </w:rPr>
              <w:t xml:space="preserve">Wrong number of columns</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item_no was included in SELECT but not required in output</w:t>
            </w:r>
          </w:p>
        </w:tc>
        <w:tc>
          <w:tcPr>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sz w:val="20"/>
                <w:szCs w:val="20"/>
              </w:rPr>
              <w:t xml:space="preserve">Remove item_no from SELECT, keep it only in ORDER BY</w:t>
            </w:r>
          </w:p>
        </w:tc>
      </w:tr>
    </w:tbl>
    <w:p>
      <w:pPr>
        <w:spacing w:after="0" w:before="200"/>
      </w:pPr>
      <w:r>
        <w:t xml:space="preserve"/>
      </w:r>
    </w:p>
    <w:p>
      <w:pPr>
        <w:pStyle w:val="Heading1"/>
        <w:spacing w:after="200" w:before="400"/>
      </w:pPr>
      <w:r>
        <w:rPr>
          <w:rFonts w:ascii="Arial" w:cs="Arial" w:eastAsia="Arial" w:hAnsi="Arial"/>
          <w:b/>
          <w:bCs/>
          <w:color w:val="1F4E79"/>
          <w:sz w:val="32"/>
          <w:szCs w:val="32"/>
        </w:rPr>
        <w:t xml:space="preserve">3. Skills Improved as a Data Engineer</w:t>
      </w:r>
    </w:p>
    <w:p>
      <w:pPr>
        <w:pStyle w:val="Heading2"/>
        <w:spacing w:after="150" w:before="300"/>
      </w:pPr>
      <w:r>
        <w:rPr>
          <w:rFonts w:ascii="Arial" w:cs="Arial" w:eastAsia="Arial" w:hAnsi="Arial"/>
          <w:b/>
          <w:bCs/>
          <w:color w:val="2E75B6"/>
          <w:sz w:val="26"/>
          <w:szCs w:val="26"/>
        </w:rPr>
        <w:t xml:space="preserve">3.1  Analytical SQL Thinking</w:t>
      </w:r>
    </w:p>
    <w:p>
      <w:pPr>
        <w:spacing w:after="80" w:before="80"/>
      </w:pPr>
      <w:r>
        <w:rPr>
          <w:rFonts w:ascii="Arial" w:cs="Arial" w:eastAsia="Arial" w:hAnsi="Arial"/>
          <w:sz w:val="22"/>
          <w:szCs w:val="22"/>
        </w:rPr>
        <w:t xml:space="preserve">This project strengthened my ability to think in layers — identifying which transformations need to happen first (window calculations) before filtering and transforming results. This multi-stage thinking is essential for writing efficient, readable data pipelines.</w:t>
      </w:r>
    </w:p>
    <w:p>
      <w:pPr>
        <w:spacing w:after="0" w:before="100"/>
      </w:pPr>
      <w:r>
        <w:t xml:space="preserve"/>
      </w:r>
    </w:p>
    <w:p>
      <w:pPr>
        <w:pStyle w:val="Heading2"/>
        <w:spacing w:after="150" w:before="300"/>
      </w:pPr>
      <w:r>
        <w:rPr>
          <w:rFonts w:ascii="Arial" w:cs="Arial" w:eastAsia="Arial" w:hAnsi="Arial"/>
          <w:b/>
          <w:bCs/>
          <w:color w:val="2E75B6"/>
          <w:sz w:val="26"/>
          <w:szCs w:val="26"/>
        </w:rPr>
        <w:t xml:space="preserve">3.2  Domain Knowledge Integration</w:t>
      </w:r>
    </w:p>
    <w:p>
      <w:pPr>
        <w:spacing w:after="80" w:before="80"/>
      </w:pPr>
      <w:r>
        <w:rPr>
          <w:rFonts w:ascii="Arial" w:cs="Arial" w:eastAsia="Arial" w:hAnsi="Arial"/>
          <w:sz w:val="22"/>
          <w:szCs w:val="22"/>
        </w:rPr>
        <w:t xml:space="preserve">I learned to translate a domain concept (SPC from manufacturing engineering) into a precise SQL implementation. Data engineers frequently work across domains — understanding the business logic behind a metric is as important as knowing how to compute it.</w:t>
      </w:r>
    </w:p>
    <w:p>
      <w:pPr>
        <w:spacing w:after="0" w:before="100"/>
      </w:pPr>
      <w:r>
        <w:t xml:space="preserve"/>
      </w:r>
    </w:p>
    <w:p>
      <w:pPr>
        <w:pStyle w:val="Heading2"/>
        <w:spacing w:after="150" w:before="300"/>
      </w:pPr>
      <w:r>
        <w:rPr>
          <w:rFonts w:ascii="Arial" w:cs="Arial" w:eastAsia="Arial" w:hAnsi="Arial"/>
          <w:b/>
          <w:bCs/>
          <w:color w:val="2E75B6"/>
          <w:sz w:val="26"/>
          <w:szCs w:val="26"/>
        </w:rPr>
        <w:t xml:space="preserve">3.3  Handling Edge Cases</w:t>
      </w:r>
    </w:p>
    <w:p>
      <w:pPr>
        <w:spacing w:after="80" w:before="80"/>
      </w:pPr>
      <w:r>
        <w:rPr>
          <w:rFonts w:ascii="Arial" w:cs="Arial" w:eastAsia="Arial" w:hAnsi="Arial"/>
          <w:sz w:val="22"/>
          <w:szCs w:val="22"/>
        </w:rPr>
        <w:t xml:space="preserve">Filtering out incomplete windows taught me to think defensively about data quality. Real-world data always has edge cases, and robust pipelines must account for them explicitly rather than silently producing wrong results.</w:t>
      </w:r>
    </w:p>
    <w:p>
      <w:pPr>
        <w:spacing w:after="0" w:before="100"/>
      </w:pPr>
      <w:r>
        <w:t xml:space="preserve"/>
      </w:r>
    </w:p>
    <w:p>
      <w:pPr>
        <w:pStyle w:val="Heading2"/>
        <w:spacing w:after="150" w:before="300"/>
      </w:pPr>
      <w:r>
        <w:rPr>
          <w:rFonts w:ascii="Arial" w:cs="Arial" w:eastAsia="Arial" w:hAnsi="Arial"/>
          <w:b/>
          <w:bCs/>
          <w:color w:val="2E75B6"/>
          <w:sz w:val="26"/>
          <w:szCs w:val="26"/>
        </w:rPr>
        <w:t xml:space="preserve">3.4  Query Design and Refactoring</w:t>
      </w:r>
    </w:p>
    <w:p>
      <w:pPr>
        <w:spacing w:after="80" w:before="80"/>
      </w:pPr>
      <w:r>
        <w:rPr>
          <w:rFonts w:ascii="Arial" w:cs="Arial" w:eastAsia="Arial" w:hAnsi="Arial"/>
          <w:sz w:val="22"/>
          <w:szCs w:val="22"/>
        </w:rPr>
        <w:t xml:space="preserve">I practiced iterative query development: starting with a working solution, then refactoring when errors arose. Moving from CROSS JOIN LATERAL to inline expressions is a real-world refactoring skill that improves compatibility and readability.</w:t>
      </w:r>
    </w:p>
    <w:p>
      <w:pPr>
        <w:spacing w:after="0" w:before="100"/>
      </w:pPr>
      <w:r>
        <w:t xml:space="preserve"/>
      </w:r>
    </w:p>
    <w:p>
      <w:pPr>
        <w:pStyle w:val="Heading2"/>
        <w:spacing w:after="150" w:before="300"/>
      </w:pPr>
      <w:r>
        <w:rPr>
          <w:rFonts w:ascii="Arial" w:cs="Arial" w:eastAsia="Arial" w:hAnsi="Arial"/>
          <w:b/>
          <w:bCs/>
          <w:color w:val="2E75B6"/>
          <w:sz w:val="26"/>
          <w:szCs w:val="26"/>
        </w:rPr>
        <w:t xml:space="preserve">3.5  Column Contract Awareness</w:t>
      </w:r>
    </w:p>
    <w:p>
      <w:pPr>
        <w:spacing w:after="80" w:before="80"/>
      </w:pPr>
      <w:r>
        <w:rPr>
          <w:rFonts w:ascii="Arial" w:cs="Arial" w:eastAsia="Arial" w:hAnsi="Arial"/>
          <w:sz w:val="22"/>
          <w:szCs w:val="22"/>
        </w:rPr>
        <w:t xml:space="preserve">The 'wrong number of columns' error reinforced the importance of column contracts in data engineering. Output schemas must match exactly what downstream systems or evaluators expect — a discipline that applies to ETL pipelines, API responses, and ML feature stores.</w:t>
      </w:r>
    </w:p>
    <w:p>
      <w:pPr>
        <w:spacing w:after="0" w:before="200"/>
      </w:pPr>
      <w:r>
        <w:t xml:space="preserve"/>
      </w:r>
    </w:p>
    <w:p>
      <w:pPr>
        <w:pStyle w:val="Heading1"/>
        <w:spacing w:after="200" w:before="400"/>
      </w:pPr>
      <w:r>
        <w:rPr>
          <w:rFonts w:ascii="Arial" w:cs="Arial" w:eastAsia="Arial" w:hAnsi="Arial"/>
          <w:b/>
          <w:bCs/>
          <w:color w:val="1F4E79"/>
          <w:sz w:val="32"/>
          <w:szCs w:val="32"/>
        </w:rPr>
        <w:t xml:space="preserve">4. Areas to Continue Improving</w:t>
      </w:r>
    </w:p>
    <w:p>
      <w:pPr>
        <w:spacing w:after="0" w:before="80"/>
      </w:pPr>
      <w:r>
        <w:t xml:space="preserve"/>
      </w:r>
    </w:p>
    <w:p>
      <w:pPr>
        <w:pStyle w:val="ListParagraph"/>
        <w:numPr>
          <w:ilvl w:val="0"/>
          <w:numId w:val="2"/>
        </w:numPr>
        <w:spacing w:after="60" w:before="60"/>
      </w:pPr>
      <w:r>
        <w:rPr>
          <w:rFonts w:ascii="Arial" w:cs="Arial" w:eastAsia="Arial" w:hAnsi="Arial"/>
          <w:b/>
          <w:bCs/>
          <w:sz w:val="22"/>
          <w:szCs w:val="22"/>
        </w:rPr>
        <w:t xml:space="preserve">Practice: </w:t>
      </w:r>
      <w:r>
        <w:rPr>
          <w:rFonts w:ascii="Arial" w:cs="Arial" w:eastAsia="Arial" w:hAnsi="Arial"/>
          <w:sz w:val="22"/>
          <w:szCs w:val="22"/>
        </w:rPr>
        <w:t xml:space="preserve">Window function syntax</w:t>
      </w:r>
    </w:p>
    <w:p>
      <w:pPr>
        <w:pStyle w:val="ListParagraph"/>
        <w:numPr>
          <w:ilvl w:val="0"/>
          <w:numId w:val="2"/>
        </w:numPr>
        <w:spacing w:after="40" w:before="40"/>
      </w:pPr>
      <w:r>
        <w:rPr>
          <w:rFonts w:ascii="Arial" w:cs="Arial" w:eastAsia="Arial" w:hAnsi="Arial"/>
          <w:color w:val="555555"/>
          <w:sz w:val="22"/>
          <w:szCs w:val="22"/>
        </w:rPr>
        <w:t xml:space="preserve">Explore RANGE vs ROWS, UNBOUNDED PRECEDING, FOLLOWING frames</w:t>
      </w:r>
    </w:p>
    <w:p>
      <w:pPr>
        <w:spacing w:after="0" w:before="40"/>
      </w:pPr>
      <w:r>
        <w:t xml:space="preserve"/>
      </w:r>
    </w:p>
    <w:p>
      <w:pPr>
        <w:pStyle w:val="ListParagraph"/>
        <w:numPr>
          <w:ilvl w:val="0"/>
          <w:numId w:val="2"/>
        </w:numPr>
        <w:spacing w:after="60" w:before="60"/>
      </w:pPr>
      <w:r>
        <w:rPr>
          <w:rFonts w:ascii="Arial" w:cs="Arial" w:eastAsia="Arial" w:hAnsi="Arial"/>
          <w:b/>
          <w:bCs/>
          <w:sz w:val="22"/>
          <w:szCs w:val="22"/>
        </w:rPr>
        <w:t xml:space="preserve">Deepen: </w:t>
      </w:r>
      <w:r>
        <w:rPr>
          <w:rFonts w:ascii="Arial" w:cs="Arial" w:eastAsia="Arial" w:hAnsi="Arial"/>
          <w:sz w:val="22"/>
          <w:szCs w:val="22"/>
        </w:rPr>
        <w:t xml:space="preserve">Database dialect awareness</w:t>
      </w:r>
    </w:p>
    <w:p>
      <w:pPr>
        <w:pStyle w:val="ListParagraph"/>
        <w:numPr>
          <w:ilvl w:val="0"/>
          <w:numId w:val="2"/>
        </w:numPr>
        <w:spacing w:after="40" w:before="40"/>
      </w:pPr>
      <w:r>
        <w:rPr>
          <w:rFonts w:ascii="Arial" w:cs="Arial" w:eastAsia="Arial" w:hAnsi="Arial"/>
          <w:color w:val="555555"/>
          <w:sz w:val="22"/>
          <w:szCs w:val="22"/>
        </w:rPr>
        <w:t xml:space="preserve">Know which features are PostgreSQL-specific vs ANSI SQL standard</w:t>
      </w:r>
    </w:p>
    <w:p>
      <w:pPr>
        <w:spacing w:after="0" w:before="40"/>
      </w:pPr>
      <w:r>
        <w:t xml:space="preserve"/>
      </w:r>
    </w:p>
    <w:p>
      <w:pPr>
        <w:pStyle w:val="ListParagraph"/>
        <w:numPr>
          <w:ilvl w:val="0"/>
          <w:numId w:val="2"/>
        </w:numPr>
        <w:spacing w:after="60" w:before="60"/>
      </w:pPr>
      <w:r>
        <w:rPr>
          <w:rFonts w:ascii="Arial" w:cs="Arial" w:eastAsia="Arial" w:hAnsi="Arial"/>
          <w:b/>
          <w:bCs/>
          <w:sz w:val="22"/>
          <w:szCs w:val="22"/>
        </w:rPr>
        <w:t xml:space="preserve">Learn: </w:t>
      </w:r>
      <w:r>
        <w:rPr>
          <w:rFonts w:ascii="Arial" w:cs="Arial" w:eastAsia="Arial" w:hAnsi="Arial"/>
          <w:sz w:val="22"/>
          <w:szCs w:val="22"/>
        </w:rPr>
        <w:t xml:space="preserve">CTEs (Common Table Expressions)</w:t>
      </w:r>
    </w:p>
    <w:p>
      <w:pPr>
        <w:pStyle w:val="ListParagraph"/>
        <w:numPr>
          <w:ilvl w:val="0"/>
          <w:numId w:val="2"/>
        </w:numPr>
        <w:spacing w:after="40" w:before="40"/>
      </w:pPr>
      <w:r>
        <w:rPr>
          <w:rFonts w:ascii="Arial" w:cs="Arial" w:eastAsia="Arial" w:hAnsi="Arial"/>
          <w:color w:val="555555"/>
          <w:sz w:val="22"/>
          <w:szCs w:val="22"/>
        </w:rPr>
        <w:t xml:space="preserve">Refactor nested subqueries into WITH clauses for readability</w:t>
      </w:r>
    </w:p>
    <w:p>
      <w:pPr>
        <w:spacing w:after="0" w:before="40"/>
      </w:pPr>
      <w:r>
        <w:t xml:space="preserve"/>
      </w:r>
    </w:p>
    <w:p>
      <w:pPr>
        <w:pStyle w:val="ListParagraph"/>
        <w:numPr>
          <w:ilvl w:val="0"/>
          <w:numId w:val="2"/>
        </w:numPr>
        <w:spacing w:after="60" w:before="60"/>
      </w:pPr>
      <w:r>
        <w:rPr>
          <w:rFonts w:ascii="Arial" w:cs="Arial" w:eastAsia="Arial" w:hAnsi="Arial"/>
          <w:b/>
          <w:bCs/>
          <w:sz w:val="22"/>
          <w:szCs w:val="22"/>
        </w:rPr>
        <w:t xml:space="preserve">Study: </w:t>
      </w:r>
      <w:r>
        <w:rPr>
          <w:rFonts w:ascii="Arial" w:cs="Arial" w:eastAsia="Arial" w:hAnsi="Arial"/>
          <w:sz w:val="22"/>
          <w:szCs w:val="22"/>
        </w:rPr>
        <w:t xml:space="preserve">Performance optimization</w:t>
      </w:r>
    </w:p>
    <w:p>
      <w:pPr>
        <w:pStyle w:val="ListParagraph"/>
        <w:numPr>
          <w:ilvl w:val="0"/>
          <w:numId w:val="2"/>
        </w:numPr>
        <w:spacing w:after="40" w:before="40"/>
      </w:pPr>
      <w:r>
        <w:rPr>
          <w:rFonts w:ascii="Arial" w:cs="Arial" w:eastAsia="Arial" w:hAnsi="Arial"/>
          <w:color w:val="555555"/>
          <w:sz w:val="22"/>
          <w:szCs w:val="22"/>
        </w:rPr>
        <w:t xml:space="preserve">Learn EXPLAIN ANALYZE to understand query execution plans</w:t>
      </w:r>
    </w:p>
    <w:p>
      <w:pPr>
        <w:spacing w:after="0" w:before="40"/>
      </w:pPr>
      <w:r>
        <w:t xml:space="preserve"/>
      </w:r>
    </w:p>
    <w:p>
      <w:pPr>
        <w:pStyle w:val="ListParagraph"/>
        <w:numPr>
          <w:ilvl w:val="0"/>
          <w:numId w:val="2"/>
        </w:numPr>
        <w:spacing w:after="60" w:before="60"/>
      </w:pPr>
      <w:r>
        <w:rPr>
          <w:rFonts w:ascii="Arial" w:cs="Arial" w:eastAsia="Arial" w:hAnsi="Arial"/>
          <w:b/>
          <w:bCs/>
          <w:sz w:val="22"/>
          <w:szCs w:val="22"/>
        </w:rPr>
        <w:t xml:space="preserve">Expand: </w:t>
      </w:r>
      <w:r>
        <w:rPr>
          <w:rFonts w:ascii="Arial" w:cs="Arial" w:eastAsia="Arial" w:hAnsi="Arial"/>
          <w:sz w:val="22"/>
          <w:szCs w:val="22"/>
        </w:rPr>
        <w:t xml:space="preserve">Python + SQL integration</w:t>
      </w:r>
    </w:p>
    <w:p>
      <w:pPr>
        <w:pStyle w:val="ListParagraph"/>
        <w:numPr>
          <w:ilvl w:val="0"/>
          <w:numId w:val="2"/>
        </w:numPr>
        <w:spacing w:after="40" w:before="40"/>
      </w:pPr>
      <w:r>
        <w:rPr>
          <w:rFonts w:ascii="Arial" w:cs="Arial" w:eastAsia="Arial" w:hAnsi="Arial"/>
          <w:color w:val="555555"/>
          <w:sz w:val="22"/>
          <w:szCs w:val="22"/>
        </w:rPr>
        <w:t xml:space="preserve">Use pandas, SQLAlchemy, or dbt to build end-to-end pipelines from SQL queries</w:t>
      </w:r>
    </w:p>
    <w:p>
      <w:pPr>
        <w:spacing w:after="0" w:before="200"/>
      </w:pPr>
      <w:r>
        <w:t xml:space="preserve"/>
      </w:r>
    </w:p>
    <w:p>
      <w:pPr>
        <w:pStyle w:val="Heading1"/>
        <w:spacing w:after="200" w:before="400"/>
      </w:pPr>
      <w:r>
        <w:rPr>
          <w:rFonts w:ascii="Arial" w:cs="Arial" w:eastAsia="Arial" w:hAnsi="Arial"/>
          <w:b/>
          <w:bCs/>
          <w:color w:val="1F4E79"/>
          <w:sz w:val="32"/>
          <w:szCs w:val="32"/>
        </w:rPr>
        <w:t xml:space="preserve">5. Next Steps &amp; Learning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r>
              <w:rPr>
                <w:rFonts w:ascii="Arial" w:cs="Arial" w:eastAsia="Arial" w:hAnsi="Arial"/>
                <w:color w:val="FFFFFF"/>
                <w:sz w:val="22"/>
                <w:szCs w:val="22"/>
              </w:rPr>
              <w:t xml:space="preserve">Short Term (Next 2-4 weeks)</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Rewrite this query using CTEs instead of subqueries</w:t>
      </w:r>
    </w:p>
    <w:p>
      <w:pPr>
        <w:pStyle w:val="ListParagraph"/>
        <w:numPr>
          <w:ilvl w:val="0"/>
          <w:numId w:val="2"/>
        </w:numPr>
        <w:spacing w:after="60" w:before="60"/>
      </w:pPr>
      <w:r>
        <w:rPr>
          <w:rFonts w:ascii="Arial" w:cs="Arial" w:eastAsia="Arial" w:hAnsi="Arial"/>
          <w:sz w:val="22"/>
          <w:szCs w:val="22"/>
        </w:rPr>
        <w:t xml:space="preserve">Visualize the UCL/LCL chart using Python (matplotlib or plotly)</w:t>
      </w:r>
    </w:p>
    <w:p>
      <w:pPr>
        <w:pStyle w:val="ListParagraph"/>
        <w:numPr>
          <w:ilvl w:val="0"/>
          <w:numId w:val="2"/>
        </w:numPr>
        <w:spacing w:after="60" w:before="60"/>
      </w:pPr>
      <w:r>
        <w:rPr>
          <w:rFonts w:ascii="Arial" w:cs="Arial" w:eastAsia="Arial" w:hAnsi="Arial"/>
          <w:sz w:val="22"/>
          <w:szCs w:val="22"/>
        </w:rPr>
        <w:t xml:space="preserve">Add a second metric (e.g., length or width) to the SPC analysis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color w:val="1F4E79"/>
                <w:sz w:val="22"/>
                <w:szCs w:val="22"/>
              </w:rPr>
              <w:t xml:space="preserve">Medium Term (1-3 months)</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Learn dbt (data build tool) to modularize SQL transformations</w:t>
      </w:r>
    </w:p>
    <w:p>
      <w:pPr>
        <w:pStyle w:val="ListParagraph"/>
        <w:numPr>
          <w:ilvl w:val="0"/>
          <w:numId w:val="2"/>
        </w:numPr>
        <w:spacing w:after="60" w:before="60"/>
      </w:pPr>
      <w:r>
        <w:rPr>
          <w:rFonts w:ascii="Arial" w:cs="Arial" w:eastAsia="Arial" w:hAnsi="Arial"/>
          <w:sz w:val="22"/>
          <w:szCs w:val="22"/>
        </w:rPr>
        <w:t xml:space="preserve">Build a real-time SPC dashboard using Metabase or Grafana</w:t>
      </w:r>
    </w:p>
    <w:p>
      <w:pPr>
        <w:pStyle w:val="ListParagraph"/>
        <w:numPr>
          <w:ilvl w:val="0"/>
          <w:numId w:val="2"/>
        </w:numPr>
        <w:spacing w:after="60" w:before="60"/>
      </w:pPr>
      <w:r>
        <w:rPr>
          <w:rFonts w:ascii="Arial" w:cs="Arial" w:eastAsia="Arial" w:hAnsi="Arial"/>
          <w:sz w:val="22"/>
          <w:szCs w:val="22"/>
        </w:rPr>
        <w:t xml:space="preserve">Study the fundamentals of data warehouse design (star schema, fact/dimension tables)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EFDA" w:val="clear"/>
            <w:tcMar>
              <w:top w:type="dxa" w:w="160"/>
              <w:left w:type="dxa" w:w="240"/>
              <w:bottom w:type="dxa" w:w="160"/>
              <w:right w:type="dxa" w:w="240"/>
            </w:tcMar>
          </w:tcPr>
          <w:p>
            <w:r>
              <w:rPr>
                <w:rFonts w:ascii="Arial" w:cs="Arial" w:eastAsia="Arial" w:hAnsi="Arial"/>
                <w:color w:val="1E7145"/>
                <w:sz w:val="22"/>
                <w:szCs w:val="22"/>
              </w:rPr>
              <w:t xml:space="preserve">Long Term (3-6 months)</w:t>
            </w:r>
          </w:p>
        </w:tc>
      </w:tr>
    </w:tbl>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Build a full data pipeline: raw CSV -&gt; SQL transformation -&gt; dashboard</w:t>
      </w:r>
    </w:p>
    <w:p>
      <w:pPr>
        <w:pStyle w:val="ListParagraph"/>
        <w:numPr>
          <w:ilvl w:val="0"/>
          <w:numId w:val="2"/>
        </w:numPr>
        <w:spacing w:after="60" w:before="60"/>
      </w:pPr>
      <w:r>
        <w:rPr>
          <w:rFonts w:ascii="Arial" w:cs="Arial" w:eastAsia="Arial" w:hAnsi="Arial"/>
          <w:sz w:val="22"/>
          <w:szCs w:val="22"/>
        </w:rPr>
        <w:t xml:space="preserve">Earn a SQL or data engineering certification (DataCamp, Google, dbt)</w:t>
      </w:r>
    </w:p>
    <w:p>
      <w:pPr>
        <w:pStyle w:val="ListParagraph"/>
        <w:numPr>
          <w:ilvl w:val="0"/>
          <w:numId w:val="2"/>
        </w:numPr>
        <w:spacing w:after="60" w:before="60"/>
      </w:pPr>
      <w:r>
        <w:rPr>
          <w:rFonts w:ascii="Arial" w:cs="Arial" w:eastAsia="Arial" w:hAnsi="Arial"/>
          <w:sz w:val="22"/>
          <w:szCs w:val="22"/>
        </w:rPr>
        <w:t xml:space="preserve">Contribute to an open-source data engineering project</w:t>
      </w:r>
    </w:p>
    <w:p>
      <w:pPr>
        <w:spacing w:after="0" w:before="200"/>
      </w:pPr>
      <w:r>
        <w:t xml:space="preserve"/>
      </w:r>
    </w:p>
    <w:p>
      <w:pPr>
        <w:pStyle w:val="Heading1"/>
        <w:spacing w:after="200" w:before="400"/>
      </w:pPr>
      <w:r>
        <w:rPr>
          <w:rFonts w:ascii="Arial" w:cs="Arial" w:eastAsia="Arial" w:hAnsi="Arial"/>
          <w:b/>
          <w:bCs/>
          <w:color w:val="1F4E79"/>
          <w:sz w:val="32"/>
          <w:szCs w:val="32"/>
        </w:rPr>
        <w:t xml:space="preserve">6. Key Takeaway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60"/>
              <w:left w:type="dxa" w:w="240"/>
              <w:bottom w:type="dxa" w:w="160"/>
              <w:right w:type="dxa" w:w="240"/>
            </w:tcMar>
          </w:tcPr>
          <w:p>
            <w:r>
              <w:rPr>
                <w:rFonts w:ascii="Arial" w:cs="Arial" w:eastAsia="Arial" w:hAnsi="Arial"/>
                <w:color w:val="1F4E79"/>
                <w:sz w:val="22"/>
                <w:szCs w:val="22"/>
              </w:rPr>
              <w:t xml:space="preserve">This project showed me that data engineering is not just about moving data — it's about transforming raw measurements into actionable intelligence. The ability to write window functions that compute rolling statistics, filter on data quality conditions, and produce clean boolean alert flags is a foundational skill that applies to monitoring systems, anomaly detection, and quality control across every industry.</w:t>
            </w:r>
          </w:p>
        </w:tc>
      </w:tr>
    </w:tbl>
    <w:p>
      <w:pPr>
        <w:spacing w:after="0" w:before="300"/>
      </w:pPr>
      <w:r>
        <w:t xml:space="preserve"/>
      </w:r>
    </w:p>
    <w:p>
      <w:pPr>
        <w:pBdr>
          <w:top w:val="single" w:color="2E75B6" w:sz="6"/>
        </w:pBdr>
        <w:spacing w:after="80" w:before="200"/>
        <w:jc w:val="center"/>
      </w:pPr>
      <w:r>
        <w:rPr>
          <w:rFonts w:ascii="Arial" w:cs="Arial" w:eastAsia="Arial" w:hAnsi="Arial"/>
          <w:color w:val="888888"/>
          <w:sz w:val="18"/>
          <w:szCs w:val="18"/>
        </w:rPr>
        <w:t xml:space="preserve">Manufacturing SPC Alert System  |  Data Engineering Learning Journal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2026-04-06T06:17:20.543Z</dcterms:created>
  <dcterms:modified xsi:type="dcterms:W3CDTF">2026-04-06T06:17:20.546Z</dcterms:modified>
</cp:coreProperties>
</file>

<file path=docProps/custom.xml><?xml version="1.0" encoding="utf-8"?>
<Properties xmlns="http://schemas.openxmlformats.org/officeDocument/2006/custom-properties" xmlns:vt="http://schemas.openxmlformats.org/officeDocument/2006/docPropsVTypes"/>
</file>