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C842" w14:textId="77777777" w:rsidR="00E230DF" w:rsidRPr="00081F19" w:rsidRDefault="00E230DF" w:rsidP="00E230DF">
      <w:pPr>
        <w:jc w:val="center"/>
        <w:rPr>
          <w:rFonts w:ascii="Times New Roman" w:hAnsi="Times New Roman" w:cs="Times New Roman"/>
          <w:b/>
          <w:bCs/>
        </w:rPr>
      </w:pPr>
      <w:r w:rsidRPr="00081F19">
        <w:rPr>
          <w:rFonts w:ascii="Times New Roman" w:hAnsi="Times New Roman" w:cs="Times New Roman"/>
          <w:b/>
          <w:bCs/>
        </w:rPr>
        <w:t xml:space="preserve">A Selective Precedent? </w:t>
      </w:r>
      <w:r w:rsidRPr="00081F19">
        <w:rPr>
          <w:rFonts w:ascii="Times New Roman" w:hAnsi="Times New Roman" w:cs="Times New Roman"/>
          <w:b/>
          <w:bCs/>
          <w:i/>
          <w:iCs/>
        </w:rPr>
        <w:t>Youngstown</w:t>
      </w:r>
      <w:r w:rsidRPr="00081F19">
        <w:rPr>
          <w:rFonts w:ascii="Times New Roman" w:hAnsi="Times New Roman" w:cs="Times New Roman"/>
          <w:b/>
          <w:bCs/>
        </w:rPr>
        <w:t xml:space="preserve"> and Presidential Immunity</w:t>
      </w:r>
    </w:p>
    <w:p w14:paraId="2F0076AD" w14:textId="77777777" w:rsidR="00E230DF" w:rsidRPr="00081F19" w:rsidRDefault="00E230DF" w:rsidP="00D571A5">
      <w:pPr>
        <w:spacing w:line="480" w:lineRule="auto"/>
        <w:jc w:val="center"/>
        <w:rPr>
          <w:rFonts w:ascii="Times New Roman" w:hAnsi="Times New Roman" w:cs="Times New Roman"/>
        </w:rPr>
      </w:pPr>
      <w:r w:rsidRPr="00081F19">
        <w:rPr>
          <w:rFonts w:ascii="Times New Roman" w:hAnsi="Times New Roman" w:cs="Times New Roman"/>
        </w:rPr>
        <w:t>Darius Sattari</w:t>
      </w:r>
    </w:p>
    <w:p w14:paraId="3FD59780" w14:textId="41457553"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t>Every data scientist or machine learning engineer’s worst nightmare is a disorganized, noisy dataset. The adage “</w:t>
      </w:r>
      <w:r w:rsidRPr="00081F19">
        <w:rPr>
          <w:rFonts w:ascii="Times New Roman" w:hAnsi="Times New Roman" w:cs="Times New Roman"/>
          <w:i/>
          <w:iCs/>
        </w:rPr>
        <w:t>garbage in… garbage out</w:t>
      </w:r>
      <w:r w:rsidRPr="00081F19">
        <w:rPr>
          <w:rFonts w:ascii="Times New Roman" w:hAnsi="Times New Roman" w:cs="Times New Roman"/>
        </w:rPr>
        <w:t>” captures the frustration of searching for a clean dataset. Supreme Court opinions largely avoid this problem. With records dating back to the nation’s founding, written with unusual care, these cases offer data that is abundant and clean.</w:t>
      </w:r>
    </w:p>
    <w:p w14:paraId="0021DC60" w14:textId="20B2D136"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t xml:space="preserve">Following his loss to Joe Biden in 2020, President Trump was indicted on charges that he attempted to overturn the election result. The prosecution led to </w:t>
      </w:r>
      <w:r w:rsidRPr="00081F19">
        <w:rPr>
          <w:rFonts w:ascii="Times New Roman" w:hAnsi="Times New Roman" w:cs="Times New Roman"/>
          <w:i/>
          <w:iCs/>
        </w:rPr>
        <w:t>Trump v. United States</w:t>
      </w:r>
      <w:r w:rsidR="008907D2" w:rsidRPr="00081F19">
        <w:rPr>
          <w:rFonts w:ascii="Times New Roman" w:hAnsi="Times New Roman" w:cs="Times New Roman"/>
        </w:rPr>
        <w:t xml:space="preserve"> </w:t>
      </w:r>
      <w:r w:rsidRPr="00081F19">
        <w:rPr>
          <w:rFonts w:ascii="Times New Roman" w:hAnsi="Times New Roman" w:cs="Times New Roman"/>
        </w:rPr>
        <w:t xml:space="preserve">(2024), where the majority drew on Justice Jackson’s concurrence in </w:t>
      </w:r>
      <w:r w:rsidRPr="00081F19">
        <w:rPr>
          <w:rFonts w:ascii="Times New Roman" w:hAnsi="Times New Roman" w:cs="Times New Roman"/>
          <w:i/>
          <w:iCs/>
        </w:rPr>
        <w:t>Youngstown Sheet &amp; Tube Co. v. Sawyer</w:t>
      </w:r>
      <w:r w:rsidR="008907D2" w:rsidRPr="00081F19">
        <w:rPr>
          <w:rFonts w:ascii="Times New Roman" w:hAnsi="Times New Roman" w:cs="Times New Roman"/>
        </w:rPr>
        <w:t xml:space="preserve"> </w:t>
      </w:r>
      <w:r w:rsidRPr="00081F19">
        <w:rPr>
          <w:rFonts w:ascii="Times New Roman" w:hAnsi="Times New Roman" w:cs="Times New Roman"/>
        </w:rPr>
        <w:t xml:space="preserve">(1952), in creating protections against criminal prosecution for official presidential acts. Jackson described three zones. When the President acts with Congress’s authorization, his authority is at its maximum. When Congress has neither authorized nor forbidden the action, he operates in a “zone of twilight.” When he acts against the expressed or implied will of Congress, his power is at its “lowest ebb,” and he must rely on a constitutional power that Congress cannot limit. The </w:t>
      </w:r>
      <w:r w:rsidRPr="00081F19">
        <w:rPr>
          <w:rFonts w:ascii="Times New Roman" w:hAnsi="Times New Roman" w:cs="Times New Roman"/>
          <w:i/>
          <w:iCs/>
        </w:rPr>
        <w:t>Trump</w:t>
      </w:r>
      <w:r w:rsidRPr="00081F19">
        <w:rPr>
          <w:rFonts w:ascii="Times New Roman" w:hAnsi="Times New Roman" w:cs="Times New Roman"/>
        </w:rPr>
        <w:t xml:space="preserve"> majority builds its zone of absolute immunity on Jackson’s phrase “conclusive and preclusive.” Jackson, however, wrote those words inside his third category, warning that a presidential claim to power “at once so conclusive and preclusive must be scrutinized with caution”</w:t>
      </w:r>
      <w:r w:rsidR="008907D2" w:rsidRPr="00081F19">
        <w:rPr>
          <w:rFonts w:ascii="Times New Roman" w:hAnsi="Times New Roman" w:cs="Times New Roman"/>
        </w:rPr>
        <w:t xml:space="preserve"> (</w:t>
      </w:r>
      <w:r w:rsidR="008907D2" w:rsidRPr="00081F19">
        <w:rPr>
          <w:rFonts w:ascii="Times New Roman" w:hAnsi="Times New Roman" w:cs="Times New Roman"/>
          <w:i/>
          <w:iCs/>
        </w:rPr>
        <w:t xml:space="preserve">Youngstown, 1952). </w:t>
      </w:r>
      <w:r w:rsidRPr="00081F19">
        <w:rPr>
          <w:rFonts w:ascii="Times New Roman" w:hAnsi="Times New Roman" w:cs="Times New Roman"/>
        </w:rPr>
        <w:t xml:space="preserve"> In </w:t>
      </w:r>
      <w:r w:rsidRPr="00081F19">
        <w:rPr>
          <w:rFonts w:ascii="Times New Roman" w:hAnsi="Times New Roman" w:cs="Times New Roman"/>
          <w:i/>
          <w:iCs/>
        </w:rPr>
        <w:t>Trump</w:t>
      </w:r>
      <w:r w:rsidRPr="00081F19">
        <w:rPr>
          <w:rFonts w:ascii="Times New Roman" w:hAnsi="Times New Roman" w:cs="Times New Roman"/>
        </w:rPr>
        <w:t xml:space="preserve">, the same phrase names the category of presidential power that receives the strongest protection. </w:t>
      </w:r>
      <w:r w:rsidR="008907D2" w:rsidRPr="00081F19">
        <w:rPr>
          <w:rFonts w:ascii="Times New Roman" w:hAnsi="Times New Roman" w:cs="Times New Roman"/>
        </w:rPr>
        <w:t>While t</w:t>
      </w:r>
      <w:r w:rsidRPr="00081F19">
        <w:rPr>
          <w:rFonts w:ascii="Times New Roman" w:hAnsi="Times New Roman" w:cs="Times New Roman"/>
        </w:rPr>
        <w:t>he citation is accurate</w:t>
      </w:r>
      <w:r w:rsidR="008907D2" w:rsidRPr="00081F19">
        <w:rPr>
          <w:rFonts w:ascii="Times New Roman" w:hAnsi="Times New Roman" w:cs="Times New Roman"/>
        </w:rPr>
        <w:t xml:space="preserve">, </w:t>
      </w:r>
      <w:r w:rsidRPr="00081F19">
        <w:rPr>
          <w:rFonts w:ascii="Times New Roman" w:hAnsi="Times New Roman" w:cs="Times New Roman"/>
        </w:rPr>
        <w:t>what changed is the work the phrase is asked to do.</w:t>
      </w:r>
    </w:p>
    <w:p w14:paraId="2E0FFE4E" w14:textId="0710D937"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t xml:space="preserve">This raises </w:t>
      </w:r>
      <w:r w:rsidR="008907D2" w:rsidRPr="00081F19">
        <w:rPr>
          <w:rFonts w:ascii="Times New Roman" w:hAnsi="Times New Roman" w:cs="Times New Roman"/>
        </w:rPr>
        <w:t>my</w:t>
      </w:r>
      <w:r w:rsidRPr="00081F19">
        <w:rPr>
          <w:rFonts w:ascii="Times New Roman" w:hAnsi="Times New Roman" w:cs="Times New Roman"/>
        </w:rPr>
        <w:t xml:space="preserve"> question: did the majority use </w:t>
      </w:r>
      <w:r w:rsidRPr="00081F19">
        <w:rPr>
          <w:rFonts w:ascii="Times New Roman" w:hAnsi="Times New Roman" w:cs="Times New Roman"/>
          <w:i/>
          <w:iCs/>
        </w:rPr>
        <w:t>Youngstown</w:t>
      </w:r>
      <w:r w:rsidRPr="00081F19">
        <w:rPr>
          <w:rFonts w:ascii="Times New Roman" w:hAnsi="Times New Roman" w:cs="Times New Roman"/>
        </w:rPr>
        <w:t xml:space="preserve"> differently from other Supreme Court decisions? More specifically, was it more selective, taking one part of Jackson’s concurrence and leaving the rest? Legal scholars took up the question soon after the ruling (see Gillian E. </w:t>
      </w:r>
      <w:r w:rsidRPr="00081F19">
        <w:rPr>
          <w:rFonts w:ascii="Times New Roman" w:hAnsi="Times New Roman" w:cs="Times New Roman"/>
        </w:rPr>
        <w:lastRenderedPageBreak/>
        <w:t xml:space="preserve">Metzger, </w:t>
      </w:r>
      <w:r w:rsidRPr="00081F19">
        <w:rPr>
          <w:rFonts w:ascii="Times New Roman" w:hAnsi="Times New Roman" w:cs="Times New Roman"/>
          <w:i/>
          <w:iCs/>
        </w:rPr>
        <w:t>Disqualification, Immunity, and the Presidency</w:t>
      </w:r>
      <w:r w:rsidR="008907D2" w:rsidRPr="00081F19">
        <w:rPr>
          <w:rFonts w:ascii="Times New Roman" w:hAnsi="Times New Roman" w:cs="Times New Roman"/>
        </w:rPr>
        <w:t xml:space="preserve"> </w:t>
      </w:r>
      <w:r w:rsidRPr="00081F19">
        <w:rPr>
          <w:rFonts w:ascii="Times New Roman" w:hAnsi="Times New Roman" w:cs="Times New Roman"/>
        </w:rPr>
        <w:t xml:space="preserve">(2025)). Their close reading is admirable, but </w:t>
      </w:r>
      <w:r w:rsidR="008907D2" w:rsidRPr="00081F19">
        <w:rPr>
          <w:rFonts w:ascii="Times New Roman" w:hAnsi="Times New Roman" w:cs="Times New Roman"/>
        </w:rPr>
        <w:t xml:space="preserve">the research is a lengthy process. The </w:t>
      </w:r>
      <w:r w:rsidRPr="00081F19">
        <w:rPr>
          <w:rFonts w:ascii="Times New Roman" w:hAnsi="Times New Roman" w:cs="Times New Roman"/>
        </w:rPr>
        <w:t xml:space="preserve">rapid growth of Large Language Models (LLMs) has taught us that words and arguments are data. A model cannot say what the Constitution means, but it can test whether a reading of </w:t>
      </w:r>
      <w:r w:rsidRPr="00081F19">
        <w:rPr>
          <w:rFonts w:ascii="Times New Roman" w:hAnsi="Times New Roman" w:cs="Times New Roman"/>
          <w:i/>
          <w:iCs/>
        </w:rPr>
        <w:t>Trump</w:t>
      </w:r>
      <w:r w:rsidRPr="00081F19">
        <w:rPr>
          <w:rFonts w:ascii="Times New Roman" w:hAnsi="Times New Roman" w:cs="Times New Roman"/>
        </w:rPr>
        <w:t xml:space="preserve"> is unusual within the case law. My question, then, is this: why not use the data to answer that narrower question?</w:t>
      </w:r>
    </w:p>
    <w:p w14:paraId="369BCF5A" w14:textId="2C69C93B"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t>At its simplest</w:t>
      </w:r>
      <w:r w:rsidR="00A03C3C" w:rsidRPr="00081F19">
        <w:rPr>
          <w:rFonts w:ascii="Times New Roman" w:hAnsi="Times New Roman" w:cs="Times New Roman"/>
        </w:rPr>
        <w:t xml:space="preserve"> form</w:t>
      </w:r>
      <w:r w:rsidRPr="00081F19">
        <w:rPr>
          <w:rFonts w:ascii="Times New Roman" w:hAnsi="Times New Roman" w:cs="Times New Roman"/>
        </w:rPr>
        <w:t xml:space="preserve">, an LLM takes text as input and predicts what comes next. To do that, it first converts words into numbers, as sketched in </w:t>
      </w:r>
      <w:r w:rsidRPr="00081F19">
        <w:rPr>
          <w:rFonts w:ascii="Times New Roman" w:hAnsi="Times New Roman" w:cs="Times New Roman"/>
          <w:i/>
          <w:iCs/>
        </w:rPr>
        <w:t>Figure 1</w:t>
      </w:r>
      <w:r w:rsidRPr="00081F19">
        <w:rPr>
          <w:rFonts w:ascii="Times New Roman" w:hAnsi="Times New Roman" w:cs="Times New Roman"/>
        </w:rPr>
        <w:t>. This project uses a related tool, an embedding model, which converts a whole paragraph into a list of numbers that captures what the paragraph is about. Two paragraphs that discuss the same thing in similar terms end up with similar numbers, so the model can say how alike any two passages are.</w:t>
      </w:r>
    </w:p>
    <w:p w14:paraId="126E8FD5" w14:textId="77777777" w:rsidR="00C537C7" w:rsidRPr="00081F19" w:rsidRDefault="00C537C7" w:rsidP="00D571A5">
      <w:pPr>
        <w:keepNext/>
        <w:spacing w:line="480" w:lineRule="auto"/>
        <w:jc w:val="both"/>
        <w:rPr>
          <w:rFonts w:ascii="Times New Roman" w:hAnsi="Times New Roman" w:cs="Times New Roman"/>
        </w:rPr>
      </w:pPr>
      <w:r w:rsidRPr="00081F19">
        <w:rPr>
          <w:rFonts w:ascii="Times New Roman" w:hAnsi="Times New Roman" w:cs="Times New Roman"/>
          <w:bCs/>
          <w:noProof/>
        </w:rPr>
        <w:drawing>
          <wp:inline distT="0" distB="0" distL="0" distR="0" wp14:anchorId="6D8A4F3B" wp14:editId="170CB3C5">
            <wp:extent cx="5978675" cy="1607736"/>
            <wp:effectExtent l="0" t="0" r="3175" b="5715"/>
            <wp:docPr id="16810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7682" name=""/>
                    <pic:cNvPicPr/>
                  </pic:nvPicPr>
                  <pic:blipFill>
                    <a:blip r:embed="rId6"/>
                    <a:stretch>
                      <a:fillRect/>
                    </a:stretch>
                  </pic:blipFill>
                  <pic:spPr>
                    <a:xfrm>
                      <a:off x="0" y="0"/>
                      <a:ext cx="6060905" cy="1629849"/>
                    </a:xfrm>
                    <a:prstGeom prst="rect">
                      <a:avLst/>
                    </a:prstGeom>
                  </pic:spPr>
                </pic:pic>
              </a:graphicData>
            </a:graphic>
          </wp:inline>
        </w:drawing>
      </w:r>
    </w:p>
    <w:p w14:paraId="36909394" w14:textId="77777777" w:rsidR="00C537C7" w:rsidRPr="00081F19" w:rsidRDefault="00C537C7" w:rsidP="0020305D">
      <w:pPr>
        <w:pStyle w:val="Caption"/>
        <w:spacing w:line="480" w:lineRule="auto"/>
        <w:jc w:val="center"/>
        <w:rPr>
          <w:rFonts w:ascii="Times New Roman" w:hAnsi="Times New Roman" w:cs="Times New Roman"/>
          <w:b/>
          <w:bCs/>
        </w:rPr>
      </w:pPr>
      <w:r w:rsidRPr="00081F19">
        <w:rPr>
          <w:rFonts w:ascii="Times New Roman" w:hAnsi="Times New Roman" w:cs="Times New Roman"/>
          <w:b/>
          <w:bCs/>
        </w:rPr>
        <w:t xml:space="preserve">Figure </w:t>
      </w:r>
      <w:r w:rsidRPr="00081F19">
        <w:rPr>
          <w:rFonts w:ascii="Times New Roman" w:hAnsi="Times New Roman" w:cs="Times New Roman"/>
          <w:b/>
          <w:bCs/>
        </w:rPr>
        <w:fldChar w:fldCharType="begin"/>
      </w:r>
      <w:r w:rsidRPr="00081F19">
        <w:rPr>
          <w:rFonts w:ascii="Times New Roman" w:hAnsi="Times New Roman" w:cs="Times New Roman"/>
          <w:b/>
          <w:bCs/>
        </w:rPr>
        <w:instrText xml:space="preserve"> SEQ Figure \* ARABIC </w:instrText>
      </w:r>
      <w:r w:rsidRPr="00081F19">
        <w:rPr>
          <w:rFonts w:ascii="Times New Roman" w:hAnsi="Times New Roman" w:cs="Times New Roman"/>
          <w:b/>
          <w:bCs/>
        </w:rPr>
        <w:fldChar w:fldCharType="separate"/>
      </w:r>
      <w:r w:rsidRPr="00081F19">
        <w:rPr>
          <w:rFonts w:ascii="Times New Roman" w:hAnsi="Times New Roman" w:cs="Times New Roman"/>
          <w:b/>
          <w:bCs/>
          <w:noProof/>
        </w:rPr>
        <w:t>1</w:t>
      </w:r>
      <w:r w:rsidRPr="00081F19">
        <w:rPr>
          <w:rFonts w:ascii="Times New Roman" w:hAnsi="Times New Roman" w:cs="Times New Roman"/>
          <w:b/>
          <w:bCs/>
          <w:noProof/>
        </w:rPr>
        <w:fldChar w:fldCharType="end"/>
      </w:r>
      <w:r w:rsidRPr="00081F19">
        <w:rPr>
          <w:rFonts w:ascii="Times New Roman" w:hAnsi="Times New Roman" w:cs="Times New Roman"/>
          <w:b/>
          <w:bCs/>
        </w:rPr>
        <w:t>: The embedding model, with the numerical representation of Justice Jackson’s words shown in bold.</w:t>
      </w:r>
    </w:p>
    <w:p w14:paraId="637A6D41" w14:textId="7159A363"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t>I divided the thirty-eight paragraphs of Jackson’s concurrence into eight sections: Preamble, Zone 1, Zone 2, Zone 3, Applying the Zones, Rejecting Article II, Inherent and Emergency, and Structural Warning. The last of these is Jackson’s closing passage on the dangers of concentrated executive power</w:t>
      </w:r>
      <w:r w:rsidR="00A03C3C" w:rsidRPr="00081F19">
        <w:rPr>
          <w:rFonts w:ascii="Times New Roman" w:hAnsi="Times New Roman" w:cs="Times New Roman"/>
        </w:rPr>
        <w:t xml:space="preserve">, </w:t>
      </w:r>
      <w:r w:rsidRPr="00081F19">
        <w:rPr>
          <w:rFonts w:ascii="Times New Roman" w:hAnsi="Times New Roman" w:cs="Times New Roman"/>
        </w:rPr>
        <w:t>which stands apart from the three zones</w:t>
      </w:r>
      <w:r w:rsidR="00A03C3C" w:rsidRPr="00081F19">
        <w:rPr>
          <w:rFonts w:ascii="Times New Roman" w:hAnsi="Times New Roman" w:cs="Times New Roman"/>
        </w:rPr>
        <w:t xml:space="preserve">. </w:t>
      </w:r>
      <w:r w:rsidRPr="00081F19">
        <w:rPr>
          <w:rFonts w:ascii="Times New Roman" w:hAnsi="Times New Roman" w:cs="Times New Roman"/>
        </w:rPr>
        <w:t xml:space="preserve">The comparison set is twenty-six later presidential-power decisions, from </w:t>
      </w:r>
      <w:r w:rsidRPr="00081F19">
        <w:rPr>
          <w:rFonts w:ascii="Times New Roman" w:hAnsi="Times New Roman" w:cs="Times New Roman"/>
          <w:i/>
          <w:iCs/>
        </w:rPr>
        <w:t>United States v. Nixon</w:t>
      </w:r>
      <w:r w:rsidRPr="00081F19">
        <w:rPr>
          <w:rFonts w:ascii="Times New Roman" w:hAnsi="Times New Roman" w:cs="Times New Roman"/>
        </w:rPr>
        <w:t xml:space="preserve"> (1974) to </w:t>
      </w:r>
      <w:r w:rsidRPr="00081F19">
        <w:rPr>
          <w:rFonts w:ascii="Times New Roman" w:hAnsi="Times New Roman" w:cs="Times New Roman"/>
          <w:i/>
          <w:iCs/>
        </w:rPr>
        <w:t>Trump v. United States</w:t>
      </w:r>
      <w:r w:rsidRPr="00081F19">
        <w:rPr>
          <w:rFonts w:ascii="Times New Roman" w:hAnsi="Times New Roman" w:cs="Times New Roman"/>
        </w:rPr>
        <w:t xml:space="preserve"> (2024), taken from the Caselaw Access Project and the Court’s own slip opinions</w:t>
      </w:r>
      <w:r w:rsidR="00A03C3C" w:rsidRPr="00081F19">
        <w:rPr>
          <w:rFonts w:ascii="Times New Roman" w:hAnsi="Times New Roman" w:cs="Times New Roman"/>
        </w:rPr>
        <w:t xml:space="preserve"> </w:t>
      </w:r>
      <w:r w:rsidR="00A03C3C" w:rsidRPr="00081F19">
        <w:rPr>
          <w:rFonts w:ascii="Times New Roman" w:hAnsi="Times New Roman" w:cs="Times New Roman"/>
        </w:rPr>
        <w:lastRenderedPageBreak/>
        <w:t xml:space="preserve">rendering </w:t>
      </w:r>
      <w:r w:rsidRPr="00081F19">
        <w:rPr>
          <w:rFonts w:ascii="Times New Roman" w:hAnsi="Times New Roman" w:cs="Times New Roman"/>
        </w:rPr>
        <w:t>ninety-seven separate opinions and about 5,500 substantive paragraphs. Every paragraph of every opinion was scored for how closely it resembles each paragraph of Jackson’s.</w:t>
      </w:r>
    </w:p>
    <w:p w14:paraId="6ABE444E" w14:textId="16DE0DB2"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t xml:space="preserve">My first approach was simply to ask how far each opinion sat from Jackson’s language, and it taught me that such a distance mostly measures subject matter. Jackson’s zone paragraphs are about the President’s relationship with </w:t>
      </w:r>
      <w:r w:rsidR="00A03C3C" w:rsidRPr="00081F19">
        <w:rPr>
          <w:rFonts w:ascii="Times New Roman" w:hAnsi="Times New Roman" w:cs="Times New Roman"/>
        </w:rPr>
        <w:t xml:space="preserve">Congress, and his </w:t>
      </w:r>
      <w:r w:rsidRPr="00081F19">
        <w:rPr>
          <w:rFonts w:ascii="Times New Roman" w:hAnsi="Times New Roman" w:cs="Times New Roman"/>
        </w:rPr>
        <w:t xml:space="preserve">warning is about concentrated power and free government. A detention case such as </w:t>
      </w:r>
      <w:r w:rsidRPr="00081F19">
        <w:rPr>
          <w:rFonts w:ascii="Times New Roman" w:hAnsi="Times New Roman" w:cs="Times New Roman"/>
          <w:i/>
          <w:iCs/>
        </w:rPr>
        <w:t>Hamdi</w:t>
      </w:r>
      <w:r w:rsidRPr="00081F19">
        <w:rPr>
          <w:rFonts w:ascii="Times New Roman" w:hAnsi="Times New Roman" w:cs="Times New Roman"/>
        </w:rPr>
        <w:t xml:space="preserve"> naturally sounds like </w:t>
      </w:r>
      <w:r w:rsidR="00A03C3C" w:rsidRPr="00081F19">
        <w:rPr>
          <w:rFonts w:ascii="Times New Roman" w:hAnsi="Times New Roman" w:cs="Times New Roman"/>
        </w:rPr>
        <w:t>a candidate for the</w:t>
      </w:r>
      <w:r w:rsidRPr="00081F19">
        <w:rPr>
          <w:rFonts w:ascii="Times New Roman" w:hAnsi="Times New Roman" w:cs="Times New Roman"/>
        </w:rPr>
        <w:t xml:space="preserve"> warning, and a case about who holds a power, such as </w:t>
      </w:r>
      <w:r w:rsidRPr="00081F19">
        <w:rPr>
          <w:rFonts w:ascii="Times New Roman" w:hAnsi="Times New Roman" w:cs="Times New Roman"/>
          <w:i/>
          <w:iCs/>
        </w:rPr>
        <w:t>Medellín</w:t>
      </w:r>
      <w:r w:rsidRPr="00081F19">
        <w:rPr>
          <w:rFonts w:ascii="Times New Roman" w:hAnsi="Times New Roman" w:cs="Times New Roman"/>
        </w:rPr>
        <w:t xml:space="preserve">, naturally sounds like </w:t>
      </w:r>
      <w:r w:rsidR="00A03C3C" w:rsidRPr="00081F19">
        <w:rPr>
          <w:rFonts w:ascii="Times New Roman" w:hAnsi="Times New Roman" w:cs="Times New Roman"/>
        </w:rPr>
        <w:t xml:space="preserve">it fits </w:t>
      </w:r>
      <w:r w:rsidRPr="00081F19">
        <w:rPr>
          <w:rFonts w:ascii="Times New Roman" w:hAnsi="Times New Roman" w:cs="Times New Roman"/>
        </w:rPr>
        <w:t xml:space="preserve">the zones. </w:t>
      </w:r>
      <w:r w:rsidR="00A03C3C" w:rsidRPr="00081F19">
        <w:rPr>
          <w:rFonts w:ascii="Times New Roman" w:hAnsi="Times New Roman" w:cs="Times New Roman"/>
        </w:rPr>
        <w:t>So,</w:t>
      </w:r>
      <w:r w:rsidRPr="00081F19">
        <w:rPr>
          <w:rFonts w:ascii="Times New Roman" w:hAnsi="Times New Roman" w:cs="Times New Roman"/>
        </w:rPr>
        <w:t xml:space="preserve"> the comparison has to be made inside a case. A majority and a dissent in the same case share the facts, the statute, the era, and the vocabulary</w:t>
      </w:r>
      <w:r w:rsidR="00A03C3C" w:rsidRPr="00081F19">
        <w:rPr>
          <w:rFonts w:ascii="Times New Roman" w:hAnsi="Times New Roman" w:cs="Times New Roman"/>
        </w:rPr>
        <w:t xml:space="preserve">. </w:t>
      </w:r>
      <w:r w:rsidRPr="00081F19">
        <w:rPr>
          <w:rFonts w:ascii="Times New Roman" w:hAnsi="Times New Roman" w:cs="Times New Roman"/>
        </w:rPr>
        <w:t>But</w:t>
      </w:r>
      <w:r w:rsidR="00A03C3C" w:rsidRPr="00081F19">
        <w:rPr>
          <w:rFonts w:ascii="Times New Roman" w:hAnsi="Times New Roman" w:cs="Times New Roman"/>
        </w:rPr>
        <w:t xml:space="preserve"> </w:t>
      </w:r>
      <w:r w:rsidRPr="00081F19">
        <w:rPr>
          <w:rFonts w:ascii="Times New Roman" w:hAnsi="Times New Roman" w:cs="Times New Roman"/>
        </w:rPr>
        <w:t xml:space="preserve">what differs is what each side chose to do with </w:t>
      </w:r>
      <w:r w:rsidRPr="00081F19">
        <w:rPr>
          <w:rFonts w:ascii="Times New Roman" w:hAnsi="Times New Roman" w:cs="Times New Roman"/>
          <w:i/>
          <w:iCs/>
        </w:rPr>
        <w:t>Youngstown</w:t>
      </w:r>
      <w:r w:rsidRPr="00081F19">
        <w:rPr>
          <w:rFonts w:ascii="Times New Roman" w:hAnsi="Times New Roman" w:cs="Times New Roman"/>
        </w:rPr>
        <w:t xml:space="preserve">. For each of the twenty cases in which the Court divided, I asked one question: relative to its own dissent, how much more does the majority lean on Jackson’s three zones than on his warning? I call that difference Δ. A positive Δ means the majority kept the categories and left the warning to the dissent; a negative Δ means the reverse. Each opinion’s overall resemblance to </w:t>
      </w:r>
      <w:r w:rsidRPr="00081F19">
        <w:rPr>
          <w:rFonts w:ascii="Times New Roman" w:hAnsi="Times New Roman" w:cs="Times New Roman"/>
          <w:i/>
          <w:iCs/>
        </w:rPr>
        <w:t>Youngstown</w:t>
      </w:r>
      <w:r w:rsidRPr="00081F19">
        <w:rPr>
          <w:rFonts w:ascii="Times New Roman" w:hAnsi="Times New Roman" w:cs="Times New Roman"/>
        </w:rPr>
        <w:t xml:space="preserve"> is subtracted out first, so citing it more often does not raise the score. The six cases in which the Court did not divide, including the unanimous </w:t>
      </w:r>
      <w:r w:rsidRPr="00081F19">
        <w:rPr>
          <w:rFonts w:ascii="Times New Roman" w:hAnsi="Times New Roman" w:cs="Times New Roman"/>
          <w:i/>
          <w:iCs/>
        </w:rPr>
        <w:t>United States v. Nixon</w:t>
      </w:r>
      <w:r w:rsidRPr="00081F19">
        <w:rPr>
          <w:rFonts w:ascii="Times New Roman" w:hAnsi="Times New Roman" w:cs="Times New Roman"/>
        </w:rPr>
        <w:t>, are set aside.</w:t>
      </w:r>
    </w:p>
    <w:p w14:paraId="205DD8FB" w14:textId="5FE0B1FE"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i/>
          <w:iCs/>
        </w:rPr>
        <w:tab/>
        <w:t>Figure 2</w:t>
      </w:r>
      <w:r w:rsidRPr="00081F19">
        <w:rPr>
          <w:rFonts w:ascii="Times New Roman" w:hAnsi="Times New Roman" w:cs="Times New Roman"/>
        </w:rPr>
        <w:t xml:space="preserve"> shows the result. The left panel ranks the twenty cases. Red bars are cases in which the majority took the zones and left the warning to the dissent; blue bars are the reverse. Sixteen of the twenty are red, and the dashed line marks the average of +6.3. A split that lopsided would arise by chance less than one time in a hundred. </w:t>
      </w:r>
      <w:r w:rsidRPr="00081F19">
        <w:rPr>
          <w:rFonts w:ascii="Times New Roman" w:hAnsi="Times New Roman" w:cs="Times New Roman"/>
          <w:i/>
          <w:iCs/>
        </w:rPr>
        <w:t>Trump v. United States</w:t>
      </w:r>
      <w:r w:rsidRPr="00081F19">
        <w:rPr>
          <w:rFonts w:ascii="Times New Roman" w:hAnsi="Times New Roman" w:cs="Times New Roman"/>
        </w:rPr>
        <w:t xml:space="preserve"> sits at the top at +24.4, nearly four times the average and ahead of </w:t>
      </w:r>
      <w:r w:rsidRPr="00081F19">
        <w:rPr>
          <w:rFonts w:ascii="Times New Roman" w:hAnsi="Times New Roman" w:cs="Times New Roman"/>
          <w:i/>
          <w:iCs/>
        </w:rPr>
        <w:t>Morrison v. Olson</w:t>
      </w:r>
      <w:r w:rsidRPr="00081F19">
        <w:rPr>
          <w:rFonts w:ascii="Times New Roman" w:hAnsi="Times New Roman" w:cs="Times New Roman"/>
        </w:rPr>
        <w:t xml:space="preserve"> and </w:t>
      </w:r>
      <w:r w:rsidRPr="00081F19">
        <w:rPr>
          <w:rFonts w:ascii="Times New Roman" w:hAnsi="Times New Roman" w:cs="Times New Roman"/>
          <w:i/>
          <w:iCs/>
        </w:rPr>
        <w:t>Trump v. Hawaii</w:t>
      </w:r>
      <w:r w:rsidRPr="00081F19">
        <w:rPr>
          <w:rFonts w:ascii="Times New Roman" w:hAnsi="Times New Roman" w:cs="Times New Roman"/>
        </w:rPr>
        <w:t xml:space="preserve">. The pattern appears in the security cases, the separation-of-powers cases, and the cases about the President personally alike. </w:t>
      </w:r>
      <w:r w:rsidR="00046439" w:rsidRPr="00081F19">
        <w:rPr>
          <w:rFonts w:ascii="Times New Roman" w:hAnsi="Times New Roman" w:cs="Times New Roman"/>
        </w:rPr>
        <w:t xml:space="preserve">Referencing the right panel of </w:t>
      </w:r>
      <w:r w:rsidR="00046439" w:rsidRPr="00081F19">
        <w:rPr>
          <w:rFonts w:ascii="Times New Roman" w:hAnsi="Times New Roman" w:cs="Times New Roman"/>
          <w:i/>
          <w:iCs/>
        </w:rPr>
        <w:t xml:space="preserve">Figure 2, </w:t>
      </w:r>
      <w:r w:rsidRPr="00081F19">
        <w:rPr>
          <w:rFonts w:ascii="Times New Roman" w:hAnsi="Times New Roman" w:cs="Times New Roman"/>
        </w:rPr>
        <w:t xml:space="preserve">I split </w:t>
      </w:r>
      <w:r w:rsidR="00046439" w:rsidRPr="00081F19">
        <w:rPr>
          <w:rFonts w:ascii="Times New Roman" w:hAnsi="Times New Roman" w:cs="Times New Roman"/>
        </w:rPr>
        <w:t>Jackson’s</w:t>
      </w:r>
      <w:r w:rsidRPr="00081F19">
        <w:rPr>
          <w:rFonts w:ascii="Times New Roman" w:hAnsi="Times New Roman" w:cs="Times New Roman"/>
        </w:rPr>
        <w:t xml:space="preserve"> paragraphs into two groups at random, 4,000 times, and recomputed the result each time. The grey curve is </w:t>
      </w:r>
      <w:r w:rsidRPr="00081F19">
        <w:rPr>
          <w:rFonts w:ascii="Times New Roman" w:hAnsi="Times New Roman" w:cs="Times New Roman"/>
        </w:rPr>
        <w:lastRenderedPageBreak/>
        <w:t xml:space="preserve">what those random splits produce: a cluster around zero. Only about four random splits in a </w:t>
      </w:r>
      <w:r w:rsidRPr="00081F19">
        <w:rPr>
          <w:rFonts w:ascii="Times New Roman" w:hAnsi="Times New Roman" w:cs="Times New Roman"/>
          <w:noProof/>
        </w:rPr>
        <w:drawing>
          <wp:anchor distT="0" distB="0" distL="114300" distR="114300" simplePos="0" relativeHeight="251658240" behindDoc="0" locked="0" layoutInCell="1" allowOverlap="1" wp14:anchorId="4DB7F38B" wp14:editId="4758C566">
            <wp:simplePos x="0" y="0"/>
            <wp:positionH relativeFrom="column">
              <wp:posOffset>-21590</wp:posOffset>
            </wp:positionH>
            <wp:positionV relativeFrom="paragraph">
              <wp:posOffset>754292</wp:posOffset>
            </wp:positionV>
            <wp:extent cx="5923280" cy="2392045"/>
            <wp:effectExtent l="0" t="0" r="0" b="0"/>
            <wp:wrapSquare wrapText="bothSides"/>
            <wp:docPr id="964494799" name="Picture 96449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94799" name=""/>
                    <pic:cNvPicPr/>
                  </pic:nvPicPr>
                  <pic:blipFill rotWithShape="1">
                    <a:blip r:embed="rId7" cstate="print">
                      <a:extLst>
                        <a:ext uri="{28A0092B-C50C-407E-A947-70E740481C1C}">
                          <a14:useLocalDpi xmlns:a14="http://schemas.microsoft.com/office/drawing/2010/main" val="0"/>
                        </a:ext>
                      </a:extLst>
                    </a:blip>
                    <a:srcRect t="10977" b="7026"/>
                    <a:stretch>
                      <a:fillRect/>
                    </a:stretch>
                  </pic:blipFill>
                  <pic:spPr bwMode="auto">
                    <a:xfrm>
                      <a:off x="0" y="0"/>
                      <a:ext cx="5923280" cy="2392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81F19">
        <w:rPr>
          <w:rFonts w:ascii="Times New Roman" w:hAnsi="Times New Roman" w:cs="Times New Roman"/>
        </w:rPr>
        <w:t xml:space="preserve">hundred reached the real average, and only about four in a thousand reached </w:t>
      </w:r>
      <w:r w:rsidRPr="00081F19">
        <w:rPr>
          <w:rFonts w:ascii="Times New Roman" w:hAnsi="Times New Roman" w:cs="Times New Roman"/>
          <w:i/>
          <w:iCs/>
        </w:rPr>
        <w:t>Trump</w:t>
      </w:r>
      <w:r w:rsidRPr="00081F19">
        <w:rPr>
          <w:rFonts w:ascii="Times New Roman" w:hAnsi="Times New Roman" w:cs="Times New Roman"/>
        </w:rPr>
        <w:t>’s score.</w:t>
      </w:r>
    </w:p>
    <w:p w14:paraId="4B59D399" w14:textId="3C5D3C57" w:rsidR="005300F3" w:rsidRPr="00081F19" w:rsidRDefault="00EE7F01" w:rsidP="00D571A5">
      <w:pPr>
        <w:pStyle w:val="Caption"/>
        <w:spacing w:line="480" w:lineRule="auto"/>
        <w:jc w:val="center"/>
        <w:rPr>
          <w:rFonts w:ascii="Times New Roman" w:hAnsi="Times New Roman" w:cs="Times New Roman"/>
          <w:b/>
          <w:bCs/>
        </w:rPr>
      </w:pPr>
      <w:r w:rsidRPr="00081F19">
        <w:rPr>
          <w:rFonts w:ascii="Times New Roman" w:hAnsi="Times New Roman" w:cs="Times New Roman"/>
          <w:b/>
          <w:bCs/>
        </w:rPr>
        <w:t xml:space="preserve">Figure </w:t>
      </w:r>
      <w:r w:rsidRPr="00081F19">
        <w:rPr>
          <w:rFonts w:ascii="Times New Roman" w:hAnsi="Times New Roman" w:cs="Times New Roman"/>
          <w:b/>
          <w:bCs/>
        </w:rPr>
        <w:fldChar w:fldCharType="begin"/>
      </w:r>
      <w:r w:rsidRPr="00081F19">
        <w:rPr>
          <w:rFonts w:ascii="Times New Roman" w:hAnsi="Times New Roman" w:cs="Times New Roman"/>
          <w:b/>
          <w:bCs/>
        </w:rPr>
        <w:instrText xml:space="preserve"> SEQ Figure \* ARABIC </w:instrText>
      </w:r>
      <w:r w:rsidRPr="00081F19">
        <w:rPr>
          <w:rFonts w:ascii="Times New Roman" w:hAnsi="Times New Roman" w:cs="Times New Roman"/>
          <w:b/>
          <w:bCs/>
        </w:rPr>
        <w:fldChar w:fldCharType="separate"/>
      </w:r>
      <w:r w:rsidRPr="00081F19">
        <w:rPr>
          <w:rFonts w:ascii="Times New Roman" w:hAnsi="Times New Roman" w:cs="Times New Roman"/>
          <w:b/>
          <w:bCs/>
          <w:noProof/>
        </w:rPr>
        <w:t>2</w:t>
      </w:r>
      <w:r w:rsidRPr="00081F19">
        <w:rPr>
          <w:rFonts w:ascii="Times New Roman" w:hAnsi="Times New Roman" w:cs="Times New Roman"/>
          <w:b/>
          <w:bCs/>
          <w:noProof/>
        </w:rPr>
        <w:fldChar w:fldCharType="end"/>
      </w:r>
      <w:r w:rsidRPr="00081F19">
        <w:rPr>
          <w:rFonts w:ascii="Times New Roman" w:hAnsi="Times New Roman" w:cs="Times New Roman"/>
          <w:b/>
          <w:bCs/>
        </w:rPr>
        <w:t>: Left, the twenty divided cases ranked by Δ. Right, the same statistic under 4,000 random splits of Jackson’s paragraphs, with the real results marked.</w:t>
      </w:r>
    </w:p>
    <w:p w14:paraId="50177A2F" w14:textId="67E787DE"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r>
      <w:r w:rsidR="00046439" w:rsidRPr="00081F19">
        <w:rPr>
          <w:rFonts w:ascii="Times New Roman" w:hAnsi="Times New Roman" w:cs="Times New Roman"/>
        </w:rPr>
        <w:t>The first of two cautions with these results are that</w:t>
      </w:r>
      <w:r w:rsidRPr="00081F19">
        <w:rPr>
          <w:rFonts w:ascii="Times New Roman" w:hAnsi="Times New Roman" w:cs="Times New Roman"/>
        </w:rPr>
        <w:t xml:space="preserve"> </w:t>
      </w:r>
      <w:r w:rsidRPr="00081F19">
        <w:rPr>
          <w:rFonts w:ascii="Times New Roman" w:hAnsi="Times New Roman" w:cs="Times New Roman"/>
          <w:i/>
          <w:iCs/>
        </w:rPr>
        <w:t>Trump</w:t>
      </w:r>
      <w:r w:rsidRPr="00081F19">
        <w:rPr>
          <w:rFonts w:ascii="Times New Roman" w:hAnsi="Times New Roman" w:cs="Times New Roman"/>
        </w:rPr>
        <w:t xml:space="preserve"> is the most extreme case, but the gap between it and </w:t>
      </w:r>
      <w:r w:rsidRPr="00081F19">
        <w:rPr>
          <w:rFonts w:ascii="Times New Roman" w:hAnsi="Times New Roman" w:cs="Times New Roman"/>
          <w:i/>
          <w:iCs/>
        </w:rPr>
        <w:t>Morrison</w:t>
      </w:r>
      <w:r w:rsidRPr="00081F19">
        <w:rPr>
          <w:rFonts w:ascii="Times New Roman" w:hAnsi="Times New Roman" w:cs="Times New Roman"/>
        </w:rPr>
        <w:t xml:space="preserve"> is not wide enough to call it a </w:t>
      </w:r>
      <w:r w:rsidRPr="00081F19">
        <w:rPr>
          <w:rFonts w:ascii="Times New Roman" w:hAnsi="Times New Roman" w:cs="Times New Roman"/>
          <w:i/>
          <w:iCs/>
        </w:rPr>
        <w:t>different</w:t>
      </w:r>
      <w:r w:rsidRPr="00081F19">
        <w:rPr>
          <w:rFonts w:ascii="Times New Roman" w:hAnsi="Times New Roman" w:cs="Times New Roman"/>
        </w:rPr>
        <w:t xml:space="preserve"> kind of case</w:t>
      </w:r>
      <w:r w:rsidR="00046439" w:rsidRPr="00081F19">
        <w:rPr>
          <w:rFonts w:ascii="Times New Roman" w:hAnsi="Times New Roman" w:cs="Times New Roman"/>
        </w:rPr>
        <w:t>. I</w:t>
      </w:r>
      <w:r w:rsidRPr="00081F19">
        <w:rPr>
          <w:rFonts w:ascii="Times New Roman" w:hAnsi="Times New Roman" w:cs="Times New Roman"/>
        </w:rPr>
        <w:t>t</w:t>
      </w:r>
      <w:r w:rsidR="00046439" w:rsidRPr="00081F19">
        <w:rPr>
          <w:rFonts w:ascii="Times New Roman" w:hAnsi="Times New Roman" w:cs="Times New Roman"/>
        </w:rPr>
        <w:t xml:space="preserve"> just</w:t>
      </w:r>
      <w:r w:rsidRPr="00081F19">
        <w:rPr>
          <w:rFonts w:ascii="Times New Roman" w:hAnsi="Times New Roman" w:cs="Times New Roman"/>
        </w:rPr>
        <w:t xml:space="preserve"> sits at the top of a continuum</w:t>
      </w:r>
      <w:r w:rsidR="00046439" w:rsidRPr="00081F19">
        <w:rPr>
          <w:rFonts w:ascii="Times New Roman" w:hAnsi="Times New Roman" w:cs="Times New Roman"/>
        </w:rPr>
        <w:t xml:space="preserve"> away from Jackson’s words, </w:t>
      </w:r>
      <w:r w:rsidRPr="00081F19">
        <w:rPr>
          <w:rFonts w:ascii="Times New Roman" w:hAnsi="Times New Roman" w:cs="Times New Roman"/>
        </w:rPr>
        <w:t>not in a class of its own. Second, the score measures emphasis, not endorsement. It shows which part of Jackson an opinion works with, not whether the opinion agrees with him. Before settling on this design, I tried to train the model to predict from an opinion’s text whether it favored a broader or narrower presidency. It did little better than a coin flip</w:t>
      </w:r>
      <w:r w:rsidR="00046439" w:rsidRPr="00081F19">
        <w:rPr>
          <w:rFonts w:ascii="Times New Roman" w:hAnsi="Times New Roman" w:cs="Times New Roman"/>
        </w:rPr>
        <w:t xml:space="preserve"> (which is bad)</w:t>
      </w:r>
      <w:r w:rsidRPr="00081F19">
        <w:rPr>
          <w:rFonts w:ascii="Times New Roman" w:hAnsi="Times New Roman" w:cs="Times New Roman"/>
        </w:rPr>
        <w:t xml:space="preserve">, even though the same method told majorities from dissents with fair reliability. </w:t>
      </w:r>
      <w:r w:rsidR="00046439" w:rsidRPr="00081F19">
        <w:rPr>
          <w:rFonts w:ascii="Times New Roman" w:hAnsi="Times New Roman" w:cs="Times New Roman"/>
        </w:rPr>
        <w:t>This is simply a limitation stating that deviation in heavy favor of the majority does not always mean a broader presidency is argued. It grounds the fact that figure 2 only analyzes differences in the mathematical representation of the text and ideas that follow.</w:t>
      </w:r>
    </w:p>
    <w:p w14:paraId="2FB7429A" w14:textId="0097B739"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r>
      <w:r w:rsidR="00046439" w:rsidRPr="00081F19">
        <w:rPr>
          <w:rFonts w:ascii="Times New Roman" w:hAnsi="Times New Roman" w:cs="Times New Roman"/>
        </w:rPr>
        <w:t>Trump’s</w:t>
      </w:r>
      <w:r w:rsidRPr="00081F19">
        <w:rPr>
          <w:rFonts w:ascii="Times New Roman" w:hAnsi="Times New Roman" w:cs="Times New Roman"/>
        </w:rPr>
        <w:t xml:space="preserve"> majority took “conclusive and preclusive” from a passage in which Jackson describes a claim courts should distrust. What the </w:t>
      </w:r>
      <w:r w:rsidR="00046439" w:rsidRPr="00081F19">
        <w:rPr>
          <w:rFonts w:ascii="Times New Roman" w:hAnsi="Times New Roman" w:cs="Times New Roman"/>
        </w:rPr>
        <w:t>modeling</w:t>
      </w:r>
      <w:r w:rsidRPr="00081F19">
        <w:rPr>
          <w:rFonts w:ascii="Times New Roman" w:hAnsi="Times New Roman" w:cs="Times New Roman"/>
        </w:rPr>
        <w:t xml:space="preserve"> adds is that the surrounding warning </w:t>
      </w:r>
      <w:r w:rsidRPr="00081F19">
        <w:rPr>
          <w:rFonts w:ascii="Times New Roman" w:hAnsi="Times New Roman" w:cs="Times New Roman"/>
        </w:rPr>
        <w:lastRenderedPageBreak/>
        <w:t xml:space="preserve">is exactly the material this majority engages least, relative to its dissenters, of any majority in fifty years of presidential-power cases. Professor Metzger makes the same point from the legal side, arguing that the </w:t>
      </w:r>
      <w:r w:rsidRPr="00081F19">
        <w:rPr>
          <w:rFonts w:ascii="Times New Roman" w:hAnsi="Times New Roman" w:cs="Times New Roman"/>
          <w:i/>
          <w:iCs/>
        </w:rPr>
        <w:t>Trump</w:t>
      </w:r>
      <w:r w:rsidRPr="00081F19">
        <w:rPr>
          <w:rFonts w:ascii="Times New Roman" w:hAnsi="Times New Roman" w:cs="Times New Roman"/>
        </w:rPr>
        <w:t xml:space="preserve"> majority drew on Jackson’s category of exclusive presidential power while overlooking his warning to scrutinize such claims with caution, and she points to the opinion’s broad treatment of presidential control over investigations and prosecutions.</w:t>
      </w:r>
    </w:p>
    <w:p w14:paraId="2C0DD490" w14:textId="6E4C4FA1" w:rsidR="008907D2"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t xml:space="preserve">The answer to the question I began with is yes. The </w:t>
      </w:r>
      <w:r w:rsidRPr="00081F19">
        <w:rPr>
          <w:rFonts w:ascii="Times New Roman" w:hAnsi="Times New Roman" w:cs="Times New Roman"/>
          <w:i/>
          <w:iCs/>
        </w:rPr>
        <w:t>Trump</w:t>
      </w:r>
      <w:r w:rsidRPr="00081F19">
        <w:rPr>
          <w:rFonts w:ascii="Times New Roman" w:hAnsi="Times New Roman" w:cs="Times New Roman"/>
        </w:rPr>
        <w:t xml:space="preserve"> majority used </w:t>
      </w:r>
      <w:r w:rsidRPr="00081F19">
        <w:rPr>
          <w:rFonts w:ascii="Times New Roman" w:hAnsi="Times New Roman" w:cs="Times New Roman"/>
          <w:i/>
          <w:iCs/>
        </w:rPr>
        <w:t>Youngstown</w:t>
      </w:r>
      <w:r w:rsidRPr="00081F19">
        <w:rPr>
          <w:rFonts w:ascii="Times New Roman" w:hAnsi="Times New Roman" w:cs="Times New Roman"/>
        </w:rPr>
        <w:t xml:space="preserve"> more selectively than any other majority in the dataset. It kept Jackson’s classification scheme and left his warning about concentrated power to the dissent, to a degree no other case in the set approaches. That is not proof the decision was wrong; the model cannot judge the law. It is evidence that the majority’s reading of Jackson was unusual by the Court’s own standards, and that what it left out was the part of the concurrence written to caution courts about claims of exactly this kind. </w:t>
      </w:r>
    </w:p>
    <w:p w14:paraId="2482EC82" w14:textId="46690E5C" w:rsidR="005300F3" w:rsidRPr="00081F19" w:rsidRDefault="00D571A5" w:rsidP="00D571A5">
      <w:pPr>
        <w:spacing w:line="480" w:lineRule="auto"/>
        <w:jc w:val="both"/>
        <w:rPr>
          <w:rFonts w:ascii="Times New Roman" w:hAnsi="Times New Roman" w:cs="Times New Roman"/>
        </w:rPr>
      </w:pPr>
      <w:r w:rsidRPr="00081F19">
        <w:rPr>
          <w:rFonts w:ascii="Times New Roman" w:hAnsi="Times New Roman" w:cs="Times New Roman"/>
        </w:rPr>
        <w:tab/>
      </w:r>
      <w:r w:rsidR="008907D2" w:rsidRPr="00081F19">
        <w:rPr>
          <w:rFonts w:ascii="Times New Roman" w:hAnsi="Times New Roman" w:cs="Times New Roman"/>
        </w:rPr>
        <w:t>This</w:t>
      </w:r>
      <w:r w:rsidRPr="00081F19">
        <w:rPr>
          <w:rFonts w:ascii="Times New Roman" w:hAnsi="Times New Roman" w:cs="Times New Roman"/>
        </w:rPr>
        <w:t xml:space="preserve"> analysis took a week</w:t>
      </w:r>
      <w:r w:rsidR="008907D2" w:rsidRPr="00081F19">
        <w:rPr>
          <w:rFonts w:ascii="Times New Roman" w:hAnsi="Times New Roman" w:cs="Times New Roman"/>
        </w:rPr>
        <w:t xml:space="preserve"> and it’s</w:t>
      </w:r>
      <w:r w:rsidRPr="00081F19">
        <w:rPr>
          <w:rFonts w:ascii="Times New Roman" w:hAnsi="Times New Roman" w:cs="Times New Roman"/>
        </w:rPr>
        <w:t xml:space="preserve"> no substitute for close reading, but it can direct that reading to the right place</w:t>
      </w:r>
      <w:r w:rsidR="008907D2" w:rsidRPr="00081F19">
        <w:rPr>
          <w:rFonts w:ascii="Times New Roman" w:hAnsi="Times New Roman" w:cs="Times New Roman"/>
        </w:rPr>
        <w:t>. To</w:t>
      </w:r>
      <w:r w:rsidRPr="00081F19">
        <w:rPr>
          <w:rFonts w:ascii="Times New Roman" w:hAnsi="Times New Roman" w:cs="Times New Roman"/>
        </w:rPr>
        <w:t xml:space="preserve"> me</w:t>
      </w:r>
      <w:r w:rsidR="008907D2" w:rsidRPr="00081F19">
        <w:rPr>
          <w:rFonts w:ascii="Times New Roman" w:hAnsi="Times New Roman" w:cs="Times New Roman"/>
        </w:rPr>
        <w:t>, this work shows</w:t>
      </w:r>
      <w:r w:rsidRPr="00081F19">
        <w:rPr>
          <w:rFonts w:ascii="Times New Roman" w:hAnsi="Times New Roman" w:cs="Times New Roman"/>
        </w:rPr>
        <w:t xml:space="preserve"> a real use for the mathematics behind LLMs, apart from anything they generate</w:t>
      </w:r>
      <w:r w:rsidR="008907D2" w:rsidRPr="00081F19">
        <w:rPr>
          <w:rFonts w:ascii="Times New Roman" w:hAnsi="Times New Roman" w:cs="Times New Roman"/>
        </w:rPr>
        <w:t>, in the legal space.</w:t>
      </w:r>
    </w:p>
    <w:sectPr w:rsidR="005300F3" w:rsidRPr="00081F19" w:rsidSect="00E230DF">
      <w:headerReference w:type="even" r:id="rId8"/>
      <w:head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6777" w14:textId="77777777" w:rsidR="00EE7F01" w:rsidRDefault="00EE7F01" w:rsidP="00E230DF">
      <w:pPr>
        <w:spacing w:after="0" w:line="240" w:lineRule="auto"/>
      </w:pPr>
      <w:r>
        <w:separator/>
      </w:r>
    </w:p>
  </w:endnote>
  <w:endnote w:type="continuationSeparator" w:id="0">
    <w:p w14:paraId="6351BB03" w14:textId="77777777" w:rsidR="00EE7F01" w:rsidRDefault="00EE7F01" w:rsidP="00E23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301FE" w14:textId="77777777" w:rsidR="00EE7F01" w:rsidRDefault="00EE7F01" w:rsidP="00E230DF">
      <w:pPr>
        <w:spacing w:after="0" w:line="240" w:lineRule="auto"/>
      </w:pPr>
      <w:r>
        <w:separator/>
      </w:r>
    </w:p>
  </w:footnote>
  <w:footnote w:type="continuationSeparator" w:id="0">
    <w:p w14:paraId="2AB83240" w14:textId="77777777" w:rsidR="00EE7F01" w:rsidRDefault="00EE7F01" w:rsidP="00E23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9383612"/>
      <w:docPartObj>
        <w:docPartGallery w:val="Page Numbers (Top of Page)"/>
        <w:docPartUnique/>
      </w:docPartObj>
    </w:sdtPr>
    <w:sdtEndPr>
      <w:rPr>
        <w:rStyle w:val="PageNumber"/>
      </w:rPr>
    </w:sdtEndPr>
    <w:sdtContent>
      <w:p w14:paraId="152D96F6" w14:textId="77777777" w:rsidR="00E230DF" w:rsidRDefault="00E230DF" w:rsidP="007C4B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051C8F" w14:textId="77777777" w:rsidR="00E230DF" w:rsidRDefault="00E230DF" w:rsidP="00E230D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116679503"/>
      <w:docPartObj>
        <w:docPartGallery w:val="Page Numbers (Top of Page)"/>
        <w:docPartUnique/>
      </w:docPartObj>
    </w:sdtPr>
    <w:sdtEndPr>
      <w:rPr>
        <w:rStyle w:val="PageNumber"/>
      </w:rPr>
    </w:sdtEndPr>
    <w:sdtContent>
      <w:p w14:paraId="0E405E76" w14:textId="77777777" w:rsidR="00E230DF" w:rsidRPr="00E230DF" w:rsidRDefault="00E230DF" w:rsidP="007C4BE6">
        <w:pPr>
          <w:pStyle w:val="Header"/>
          <w:framePr w:wrap="none" w:vAnchor="text" w:hAnchor="margin" w:xAlign="right" w:y="1"/>
          <w:rPr>
            <w:rStyle w:val="PageNumber"/>
            <w:rFonts w:ascii="Times New Roman" w:hAnsi="Times New Roman" w:cs="Times New Roman"/>
          </w:rPr>
        </w:pPr>
        <w:r w:rsidRPr="00E230DF">
          <w:rPr>
            <w:rStyle w:val="PageNumber"/>
            <w:rFonts w:ascii="Times New Roman" w:hAnsi="Times New Roman" w:cs="Times New Roman"/>
          </w:rPr>
          <w:t xml:space="preserve">SATTARI </w:t>
        </w:r>
        <w:r w:rsidRPr="00E230DF">
          <w:rPr>
            <w:rStyle w:val="PageNumber"/>
            <w:rFonts w:ascii="Times New Roman" w:hAnsi="Times New Roman" w:cs="Times New Roman"/>
          </w:rPr>
          <w:fldChar w:fldCharType="begin"/>
        </w:r>
        <w:r w:rsidRPr="00E230DF">
          <w:rPr>
            <w:rStyle w:val="PageNumber"/>
            <w:rFonts w:ascii="Times New Roman" w:hAnsi="Times New Roman" w:cs="Times New Roman"/>
          </w:rPr>
          <w:instrText xml:space="preserve"> PAGE </w:instrText>
        </w:r>
        <w:r w:rsidRPr="00E230DF">
          <w:rPr>
            <w:rStyle w:val="PageNumber"/>
            <w:rFonts w:ascii="Times New Roman" w:hAnsi="Times New Roman" w:cs="Times New Roman"/>
          </w:rPr>
          <w:fldChar w:fldCharType="separate"/>
        </w:r>
        <w:r w:rsidRPr="00E230DF">
          <w:rPr>
            <w:rStyle w:val="PageNumber"/>
            <w:rFonts w:ascii="Times New Roman" w:hAnsi="Times New Roman" w:cs="Times New Roman"/>
            <w:noProof/>
          </w:rPr>
          <w:t>1</w:t>
        </w:r>
        <w:r w:rsidRPr="00E230DF">
          <w:rPr>
            <w:rStyle w:val="PageNumber"/>
            <w:rFonts w:ascii="Times New Roman" w:hAnsi="Times New Roman" w:cs="Times New Roman"/>
          </w:rPr>
          <w:fldChar w:fldCharType="end"/>
        </w:r>
      </w:p>
    </w:sdtContent>
  </w:sdt>
  <w:p w14:paraId="56749AED" w14:textId="77777777" w:rsidR="00E230DF" w:rsidRPr="00E230DF" w:rsidRDefault="00E230DF" w:rsidP="00E230DF">
    <w:pPr>
      <w:pStyle w:val="Header"/>
      <w:ind w:right="360"/>
      <w:rPr>
        <w:rFonts w:ascii="Times New Roman" w:hAnsi="Times New Roman" w:cs="Times New Roman"/>
      </w:rPr>
    </w:pPr>
    <w:r w:rsidRPr="00E230DF">
      <w:rPr>
        <w:rFonts w:ascii="Times New Roman" w:hAnsi="Times New Roman" w:cs="Times New Roman"/>
      </w:rPr>
      <w:t>TO: JIM BAKER (NATIONAL SECURITY LAW)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0DF"/>
    <w:rsid w:val="0002336C"/>
    <w:rsid w:val="00046439"/>
    <w:rsid w:val="00081F19"/>
    <w:rsid w:val="000C7295"/>
    <w:rsid w:val="001E04A9"/>
    <w:rsid w:val="001F623B"/>
    <w:rsid w:val="0020305D"/>
    <w:rsid w:val="002367F8"/>
    <w:rsid w:val="003E38C9"/>
    <w:rsid w:val="005300F3"/>
    <w:rsid w:val="006345E0"/>
    <w:rsid w:val="00637295"/>
    <w:rsid w:val="00771A1E"/>
    <w:rsid w:val="00853EB6"/>
    <w:rsid w:val="008568A2"/>
    <w:rsid w:val="008907D2"/>
    <w:rsid w:val="00A03C3C"/>
    <w:rsid w:val="00A53E5D"/>
    <w:rsid w:val="00B929EE"/>
    <w:rsid w:val="00C5221F"/>
    <w:rsid w:val="00C537C7"/>
    <w:rsid w:val="00D571A5"/>
    <w:rsid w:val="00DC2847"/>
    <w:rsid w:val="00E230DF"/>
    <w:rsid w:val="00E64B2B"/>
    <w:rsid w:val="00EE7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AA0D"/>
  <w15:chartTrackingRefBased/>
  <w15:docId w15:val="{7E625A92-B670-174C-8B36-D70190BA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0DF"/>
    <w:rPr>
      <w:rFonts w:eastAsiaTheme="majorEastAsia" w:cstheme="majorBidi"/>
      <w:color w:val="272727" w:themeColor="text1" w:themeTint="D8"/>
    </w:rPr>
  </w:style>
  <w:style w:type="paragraph" w:styleId="Title">
    <w:name w:val="Title"/>
    <w:basedOn w:val="Normal"/>
    <w:next w:val="Normal"/>
    <w:link w:val="TitleChar"/>
    <w:uiPriority w:val="10"/>
    <w:qFormat/>
    <w:rsid w:val="00E2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0DF"/>
    <w:pPr>
      <w:spacing w:before="160"/>
      <w:jc w:val="center"/>
    </w:pPr>
    <w:rPr>
      <w:i/>
      <w:iCs/>
      <w:color w:val="404040" w:themeColor="text1" w:themeTint="BF"/>
    </w:rPr>
  </w:style>
  <w:style w:type="character" w:customStyle="1" w:styleId="QuoteChar">
    <w:name w:val="Quote Char"/>
    <w:basedOn w:val="DefaultParagraphFont"/>
    <w:link w:val="Quote"/>
    <w:uiPriority w:val="29"/>
    <w:rsid w:val="00E230DF"/>
    <w:rPr>
      <w:i/>
      <w:iCs/>
      <w:color w:val="404040" w:themeColor="text1" w:themeTint="BF"/>
    </w:rPr>
  </w:style>
  <w:style w:type="paragraph" w:styleId="ListParagraph">
    <w:name w:val="List Paragraph"/>
    <w:basedOn w:val="Normal"/>
    <w:uiPriority w:val="34"/>
    <w:qFormat/>
    <w:rsid w:val="00E230DF"/>
    <w:pPr>
      <w:ind w:left="720"/>
      <w:contextualSpacing/>
    </w:pPr>
  </w:style>
  <w:style w:type="character" w:styleId="IntenseEmphasis">
    <w:name w:val="Intense Emphasis"/>
    <w:basedOn w:val="DefaultParagraphFont"/>
    <w:uiPriority w:val="21"/>
    <w:qFormat/>
    <w:rsid w:val="00E230DF"/>
    <w:rPr>
      <w:i/>
      <w:iCs/>
      <w:color w:val="0F4761" w:themeColor="accent1" w:themeShade="BF"/>
    </w:rPr>
  </w:style>
  <w:style w:type="paragraph" w:styleId="IntenseQuote">
    <w:name w:val="Intense Quote"/>
    <w:basedOn w:val="Normal"/>
    <w:next w:val="Normal"/>
    <w:link w:val="IntenseQuoteChar"/>
    <w:uiPriority w:val="30"/>
    <w:qFormat/>
    <w:rsid w:val="00E23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0DF"/>
    <w:rPr>
      <w:i/>
      <w:iCs/>
      <w:color w:val="0F4761" w:themeColor="accent1" w:themeShade="BF"/>
    </w:rPr>
  </w:style>
  <w:style w:type="character" w:styleId="IntenseReference">
    <w:name w:val="Intense Reference"/>
    <w:basedOn w:val="DefaultParagraphFont"/>
    <w:uiPriority w:val="32"/>
    <w:qFormat/>
    <w:rsid w:val="00E230DF"/>
    <w:rPr>
      <w:b/>
      <w:bCs/>
      <w:smallCaps/>
      <w:color w:val="0F4761" w:themeColor="accent1" w:themeShade="BF"/>
      <w:spacing w:val="5"/>
    </w:rPr>
  </w:style>
  <w:style w:type="paragraph" w:styleId="Header">
    <w:name w:val="header"/>
    <w:basedOn w:val="Normal"/>
    <w:link w:val="HeaderChar"/>
    <w:uiPriority w:val="99"/>
    <w:unhideWhenUsed/>
    <w:rsid w:val="00E230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0DF"/>
  </w:style>
  <w:style w:type="paragraph" w:styleId="Footer">
    <w:name w:val="footer"/>
    <w:basedOn w:val="Normal"/>
    <w:link w:val="FooterChar"/>
    <w:uiPriority w:val="99"/>
    <w:unhideWhenUsed/>
    <w:rsid w:val="00E230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0DF"/>
  </w:style>
  <w:style w:type="character" w:styleId="PageNumber">
    <w:name w:val="page number"/>
    <w:basedOn w:val="DefaultParagraphFont"/>
    <w:uiPriority w:val="99"/>
    <w:semiHidden/>
    <w:unhideWhenUsed/>
    <w:rsid w:val="00E230DF"/>
  </w:style>
  <w:style w:type="character" w:styleId="Emphasis">
    <w:name w:val="Emphasis"/>
    <w:basedOn w:val="DefaultParagraphFont"/>
    <w:uiPriority w:val="20"/>
    <w:qFormat/>
    <w:rsid w:val="00E230DF"/>
    <w:rPr>
      <w:i/>
      <w:iCs/>
    </w:rPr>
  </w:style>
  <w:style w:type="table" w:styleId="TableGrid">
    <w:name w:val="Table Grid"/>
    <w:basedOn w:val="TableNormal"/>
    <w:uiPriority w:val="39"/>
    <w:rsid w:val="00E23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230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230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230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537C7"/>
    <w:rPr>
      <w:sz w:val="16"/>
      <w:szCs w:val="16"/>
    </w:rPr>
  </w:style>
  <w:style w:type="paragraph" w:styleId="CommentText">
    <w:name w:val="annotation text"/>
    <w:basedOn w:val="Normal"/>
    <w:link w:val="CommentTextChar"/>
    <w:uiPriority w:val="99"/>
    <w:semiHidden/>
    <w:unhideWhenUsed/>
    <w:rsid w:val="00C537C7"/>
    <w:pPr>
      <w:spacing w:line="240" w:lineRule="auto"/>
    </w:pPr>
    <w:rPr>
      <w:sz w:val="20"/>
      <w:szCs w:val="20"/>
    </w:rPr>
  </w:style>
  <w:style w:type="character" w:customStyle="1" w:styleId="CommentTextChar">
    <w:name w:val="Comment Text Char"/>
    <w:basedOn w:val="DefaultParagraphFont"/>
    <w:link w:val="CommentText"/>
    <w:uiPriority w:val="99"/>
    <w:semiHidden/>
    <w:rsid w:val="00C537C7"/>
    <w:rPr>
      <w:sz w:val="20"/>
      <w:szCs w:val="20"/>
    </w:rPr>
  </w:style>
  <w:style w:type="paragraph" w:styleId="CommentSubject">
    <w:name w:val="annotation subject"/>
    <w:basedOn w:val="CommentText"/>
    <w:next w:val="CommentText"/>
    <w:link w:val="CommentSubjectChar"/>
    <w:uiPriority w:val="99"/>
    <w:semiHidden/>
    <w:unhideWhenUsed/>
    <w:rsid w:val="00C537C7"/>
    <w:rPr>
      <w:b/>
      <w:bCs/>
    </w:rPr>
  </w:style>
  <w:style w:type="character" w:customStyle="1" w:styleId="CommentSubjectChar">
    <w:name w:val="Comment Subject Char"/>
    <w:basedOn w:val="CommentTextChar"/>
    <w:link w:val="CommentSubject"/>
    <w:uiPriority w:val="99"/>
    <w:semiHidden/>
    <w:rsid w:val="00C537C7"/>
    <w:rPr>
      <w:b/>
      <w:bCs/>
      <w:sz w:val="20"/>
      <w:szCs w:val="20"/>
    </w:rPr>
  </w:style>
  <w:style w:type="paragraph" w:styleId="Caption">
    <w:name w:val="caption"/>
    <w:basedOn w:val="Normal"/>
    <w:next w:val="Normal"/>
    <w:uiPriority w:val="35"/>
    <w:unhideWhenUsed/>
    <w:qFormat/>
    <w:rsid w:val="00C537C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Sattari, Darius</dc:creator>
  <cp:keywords/>
  <dc:description/>
  <cp:lastModifiedBy>Sattari, Darius</cp:lastModifiedBy>
  <cp:revision>2</cp:revision>
  <dcterms:created xsi:type="dcterms:W3CDTF">2026-09-24T14:59:00Z</dcterms:created>
  <dcterms:modified xsi:type="dcterms:W3CDTF">2026-09-24T14:59:00Z</dcterms:modified>
</cp:coreProperties>
</file>