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rPr/>
        <w:tc>
          <w:tcPr>
            <w:tcW w:w="4606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pl-PL" w:eastAsia="pl-PL"/>
              </w:rPr>
              <w:drawing>
                <wp:inline distT="0" distB="0" distL="0" distR="0">
                  <wp:extent cx="1315720" cy="724535"/>
                  <wp:effectExtent l="0" t="0" r="0" b="0"/>
                  <wp:docPr id="1" name="Obraz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7" t="-50" r="-2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720" cy="724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  <w:tcBorders/>
            <w:vAlign w:val="center"/>
          </w:tcPr>
          <w:p>
            <w:pPr>
              <w:pStyle w:val="Normal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pl-PL" w:eastAsia="pl-PL"/>
              </w:rPr>
              <w:drawing>
                <wp:inline distT="0" distB="0" distL="0" distR="0">
                  <wp:extent cx="1604645" cy="491490"/>
                  <wp:effectExtent l="0" t="0" r="0" b="0"/>
                  <wp:docPr id="2" name="Obraz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1" t="-68" r="-21" b="-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45" cy="491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POLITECHNIKA OPOLSKA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WYDZIAŁ INFORMATYKI 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Subtitle"/>
        <w:numPr>
          <w:ilvl w:val="0"/>
          <w:numId w:val="0"/>
        </w:numPr>
        <w:outlineLvl w:val="0"/>
        <w:rPr>
          <w:rFonts w:ascii="Arial" w:hAnsi="Arial" w:cs="Arial"/>
          <w:b w:val="false"/>
          <w:bCs w:val="false"/>
          <w:sz w:val="32"/>
          <w:szCs w:val="22"/>
          <w:u w:val="none"/>
        </w:rPr>
      </w:pPr>
      <w:r>
        <w:rPr>
          <w:rFonts w:cs="Arial" w:ascii="Arial" w:hAnsi="Arial"/>
          <w:b w:val="false"/>
          <w:bCs w:val="false"/>
          <w:sz w:val="32"/>
          <w:szCs w:val="22"/>
          <w:u w:val="none"/>
        </w:rPr>
      </w:r>
    </w:p>
    <w:p>
      <w:pPr>
        <w:pStyle w:val="Subtitle"/>
        <w:numPr>
          <w:ilvl w:val="0"/>
          <w:numId w:val="0"/>
        </w:numPr>
        <w:outlineLvl w:val="0"/>
        <w:rPr>
          <w:sz w:val="32"/>
          <w:szCs w:val="22"/>
          <w:u w:val="none"/>
        </w:rPr>
      </w:pPr>
      <w:r>
        <w:rPr>
          <w:sz w:val="32"/>
          <w:szCs w:val="22"/>
          <w:u w:val="none"/>
        </w:rPr>
      </w:r>
    </w:p>
    <w:p>
      <w:pPr>
        <w:pStyle w:val="Subtitle"/>
        <w:numPr>
          <w:ilvl w:val="0"/>
          <w:numId w:val="0"/>
        </w:numPr>
        <w:outlineLvl w:val="0"/>
        <w:rPr>
          <w:sz w:val="32"/>
          <w:szCs w:val="22"/>
          <w:u w:val="none"/>
        </w:rPr>
      </w:pPr>
      <w:r>
        <w:rPr>
          <w:sz w:val="32"/>
          <w:szCs w:val="22"/>
          <w:u w:val="none"/>
        </w:rPr>
        <w:t>ANALIZA DANYCH PRZESTRZENNYCH</w:t>
      </w:r>
    </w:p>
    <w:p>
      <w:pPr>
        <w:pStyle w:val="Subtitle"/>
        <w:rPr>
          <w:rFonts w:ascii="Arial" w:hAnsi="Arial" w:cs="Arial"/>
          <w:sz w:val="22"/>
          <w:szCs w:val="22"/>
          <w:u w:val="none"/>
        </w:rPr>
      </w:pPr>
      <w:r>
        <w:rPr>
          <w:rFonts w:cs="Arial" w:ascii="Arial" w:hAnsi="Arial"/>
          <w:sz w:val="22"/>
          <w:szCs w:val="22"/>
          <w:u w:val="none"/>
        </w:rPr>
      </w:r>
    </w:p>
    <w:p>
      <w:pPr>
        <w:pStyle w:val="Subtitle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Subtitle"/>
        <w:jc w:val="left"/>
        <w:rPr>
          <w:rFonts w:ascii="Arial" w:hAnsi="Arial" w:cs="Arial"/>
          <w:sz w:val="24"/>
          <w:szCs w:val="22"/>
        </w:rPr>
      </w:pPr>
      <w:r>
        <w:rPr>
          <w:rFonts w:cs="Arial" w:ascii="Arial" w:hAnsi="Arial"/>
          <w:sz w:val="24"/>
          <w:szCs w:val="22"/>
        </w:rPr>
      </w:r>
    </w:p>
    <w:p>
      <w:pPr>
        <w:pStyle w:val="Subtitle"/>
        <w:rPr>
          <w:i/>
          <w:i/>
          <w:sz w:val="36"/>
          <w:szCs w:val="22"/>
          <w:u w:val="none"/>
        </w:rPr>
      </w:pPr>
      <w:r>
        <w:rPr>
          <w:i/>
          <w:sz w:val="36"/>
          <w:szCs w:val="22"/>
          <w:u w:val="none"/>
        </w:rPr>
        <w:t>Geolokalizacja i mapy w aplikacjach internetowych na przykładzie dwóch portali ogłoszeniowych</w:t>
      </w:r>
    </w:p>
    <w:p>
      <w:pPr>
        <w:pStyle w:val="Normal"/>
        <w:rPr>
          <w:rFonts w:ascii="Arial" w:hAnsi="Arial" w:cs="Arial"/>
          <w:b/>
          <w:bCs/>
          <w:i/>
          <w:i/>
          <w:sz w:val="22"/>
          <w:szCs w:val="22"/>
          <w:u w:val="single"/>
        </w:rPr>
      </w:pPr>
      <w:r>
        <w:rPr>
          <w:rFonts w:cs="Arial" w:ascii="Arial" w:hAnsi="Arial"/>
          <w:b/>
          <w:bCs/>
          <w:i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tbl>
      <w:tblPr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3"/>
        <w:gridCol w:w="3859"/>
      </w:tblGrid>
      <w:tr>
        <w:trPr>
          <w:trHeight w:val="1338" w:hRule="atLeast"/>
        </w:trPr>
        <w:tc>
          <w:tcPr>
            <w:tcW w:w="5353" w:type="dxa"/>
            <w:tcBorders/>
          </w:tcPr>
          <w:p>
            <w:pPr>
              <w:pStyle w:val="Normal"/>
              <w:spacing w:lineRule="auto" w:line="276"/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>Prowadzący: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bCs/>
                <w:sz w:val="28"/>
                <w:szCs w:val="22"/>
              </w:rPr>
              <w:t>Krzysztof Smykała</w:t>
            </w:r>
          </w:p>
        </w:tc>
        <w:tc>
          <w:tcPr>
            <w:tcW w:w="3859" w:type="dxa"/>
            <w:tcBorders/>
          </w:tcPr>
          <w:p>
            <w:pPr>
              <w:pStyle w:val="Normal"/>
              <w:spacing w:lineRule="auto" w:line="276"/>
              <w:rPr>
                <w:b/>
                <w:bCs/>
                <w:sz w:val="28"/>
                <w:szCs w:val="22"/>
              </w:rPr>
            </w:pPr>
            <w:r>
              <w:rPr>
                <w:b/>
                <w:bCs/>
                <w:sz w:val="28"/>
                <w:szCs w:val="22"/>
              </w:rPr>
              <w:t>Autorzy:</w:t>
            </w:r>
          </w:p>
          <w:p>
            <w:pPr>
              <w:pStyle w:val="Normal"/>
              <w:spacing w:lineRule="auto" w:line="276"/>
              <w:rPr>
                <w:bCs/>
                <w:i/>
                <w:i/>
                <w:sz w:val="28"/>
                <w:szCs w:val="22"/>
              </w:rPr>
            </w:pPr>
            <w:r>
              <w:rPr>
                <w:bCs/>
                <w:i/>
                <w:sz w:val="28"/>
                <w:szCs w:val="22"/>
              </w:rPr>
              <w:t>Dariusz Salzburg, Filip Sejud</w:t>
            </w:r>
          </w:p>
        </w:tc>
      </w:tr>
      <w:tr>
        <w:trPr>
          <w:trHeight w:val="2542" w:hRule="atLeast"/>
        </w:trPr>
        <w:tc>
          <w:tcPr>
            <w:tcW w:w="9212" w:type="dxa"/>
            <w:gridSpan w:val="2"/>
            <w:tcBorders/>
          </w:tcPr>
          <w:p>
            <w:pPr>
              <w:pStyle w:val="Normal"/>
              <w:snapToGrid w:val="false"/>
              <w:spacing w:before="240" w:after="0"/>
              <w:rPr>
                <w:rFonts w:ascii="Arial" w:hAnsi="Arial" w:cs="Arial"/>
                <w:b/>
                <w:bCs/>
                <w:i/>
                <w:i/>
                <w:sz w:val="28"/>
                <w:szCs w:val="22"/>
                <w:u w:val="single"/>
              </w:rPr>
            </w:pPr>
            <w:r>
              <w:rPr>
                <w:rFonts w:cs="Arial" w:ascii="Arial" w:hAnsi="Arial"/>
                <w:b/>
                <w:bCs/>
                <w:i/>
                <w:sz w:val="28"/>
                <w:szCs w:val="22"/>
                <w:u w:val="single"/>
              </w:rPr>
            </w:r>
          </w:p>
          <w:p>
            <w:pPr>
              <w:pStyle w:val="Normal"/>
              <w:jc w:val="center"/>
              <w:rPr>
                <w:bCs/>
                <w:i/>
                <w:i/>
                <w:sz w:val="28"/>
                <w:szCs w:val="22"/>
              </w:rPr>
            </w:pPr>
            <w:r>
              <w:rPr>
                <w:bCs/>
                <w:i/>
                <w:sz w:val="28"/>
                <w:szCs w:val="22"/>
              </w:rPr>
            </w:r>
          </w:p>
        </w:tc>
      </w:tr>
      <w:tr>
        <w:trPr>
          <w:trHeight w:val="77" w:hRule="atLeast"/>
        </w:trPr>
        <w:tc>
          <w:tcPr>
            <w:tcW w:w="9212" w:type="dxa"/>
            <w:gridSpan w:val="2"/>
            <w:tcBorders/>
          </w:tcPr>
          <w:p>
            <w:pPr>
              <w:pStyle w:val="Normal"/>
              <w:spacing w:before="240" w:after="240"/>
              <w:jc w:val="center"/>
              <w:rPr>
                <w:bCs/>
                <w:sz w:val="28"/>
                <w:szCs w:val="22"/>
              </w:rPr>
            </w:pPr>
            <w:r>
              <w:rPr>
                <w:bCs/>
                <w:sz w:val="28"/>
                <w:szCs w:val="22"/>
              </w:rPr>
              <w:t>Rok akademicki 2026/2027</w:t>
            </w:r>
          </w:p>
        </w:tc>
      </w:tr>
    </w:tbl>
    <w:p>
      <w:pPr>
        <w:pageBreakBefore/>
        <w:spacing w:after="240"/>
      </w:pPr>
      <w:r>
        <w:rPr>
          <w:rFonts w:ascii="Times New Roman" w:hAnsi="Times New Roman" w:cs="Times New Roman" w:eastAsia="Times New Roman"/>
          <w:b/>
          <w:sz w:val="32"/>
        </w:rPr>
        <w:t>SPIS TREŚCI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/>
          <w:sz w:val="24"/>
        </w:rPr>
        <w:t>1. CEL I ZAKRES PRACY</w:t>
      </w:r>
      <w:r>
        <w:rPr>
          <w:rFonts w:ascii="Times New Roman" w:hAnsi="Times New Roman" w:cs="Times New Roman" w:eastAsia="Times New Roman"/>
          <w:sz w:val="24"/>
        </w:rPr>
        <w:tab/>
        <w:t>3</w:t>
      </w:r>
    </w:p>
    <w:p>
      <w:pPr>
        <w:pStyle w:val="TOC1"/>
      </w:pPr>
      <w:r>
        <w:rPr>
          <w:rFonts w:ascii="Times New Roman" w:hAnsi="Times New Roman" w:cs="Times New Roman" w:eastAsia="Times New Roman"/>
          <w:b/>
          <w:sz w:val="24"/>
        </w:rPr>
        <w:t>2. WSTĘP</w:t>
      </w:r>
      <w:r>
        <w:rPr>
          <w:rFonts w:ascii="Times New Roman" w:hAnsi="Times New Roman" w:cs="Times New Roman" w:eastAsia="Times New Roman"/>
          <w:sz w:val="24"/>
        </w:rPr>
        <w:tab/>
        <w:t>3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2.1. Układy współrzędnych</w:t>
      </w:r>
      <w:r>
        <w:rPr>
          <w:rFonts w:ascii="Times New Roman" w:hAnsi="Times New Roman" w:cs="Times New Roman" w:eastAsia="Times New Roman"/>
          <w:sz w:val="24"/>
        </w:rPr>
        <w:tab/>
        <w:t>3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2.2. Odległość na powierzchni Ziemi</w:t>
      </w:r>
      <w:r>
        <w:rPr>
          <w:rFonts w:ascii="Times New Roman" w:hAnsi="Times New Roman" w:cs="Times New Roman" w:eastAsia="Times New Roman"/>
          <w:sz w:val="24"/>
        </w:rPr>
        <w:tab/>
        <w:t>3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2.3. Geokodowanie, geolokalizacja i indeksy przestrzenne</w:t>
      </w:r>
      <w:r>
        <w:rPr>
          <w:rFonts w:ascii="Times New Roman" w:hAnsi="Times New Roman" w:cs="Times New Roman" w:eastAsia="Times New Roman"/>
          <w:sz w:val="24"/>
        </w:rPr>
        <w:tab/>
        <w:t>4</w:t>
      </w:r>
    </w:p>
    <w:p>
      <w:pPr>
        <w:pStyle w:val="TOC1"/>
      </w:pPr>
      <w:r>
        <w:rPr>
          <w:rFonts w:ascii="Times New Roman" w:hAnsi="Times New Roman" w:cs="Times New Roman" w:eastAsia="Times New Roman"/>
          <w:b/>
          <w:sz w:val="24"/>
        </w:rPr>
        <w:t>3. SYSTEM A: PORTAL OFERT PRACY</w:t>
      </w:r>
      <w:r>
        <w:rPr>
          <w:rFonts w:ascii="Times New Roman" w:hAnsi="Times New Roman" w:cs="Times New Roman" w:eastAsia="Times New Roman"/>
          <w:sz w:val="24"/>
        </w:rPr>
        <w:tab/>
        <w:t>4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3.1. Pozyskiwanie współrzędnych</w:t>
      </w:r>
      <w:r>
        <w:rPr>
          <w:rFonts w:ascii="Times New Roman" w:hAnsi="Times New Roman" w:cs="Times New Roman" w:eastAsia="Times New Roman"/>
          <w:sz w:val="24"/>
        </w:rPr>
        <w:tab/>
        <w:t>4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3.2. Zapis danych</w:t>
      </w:r>
      <w:r>
        <w:rPr>
          <w:rFonts w:ascii="Times New Roman" w:hAnsi="Times New Roman" w:cs="Times New Roman" w:eastAsia="Times New Roman"/>
          <w:sz w:val="24"/>
        </w:rPr>
        <w:tab/>
        <w:t>4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3.3. Wyszukiwanie w promieniu</w:t>
      </w:r>
      <w:r>
        <w:rPr>
          <w:rFonts w:ascii="Times New Roman" w:hAnsi="Times New Roman" w:cs="Times New Roman" w:eastAsia="Times New Roman"/>
          <w:sz w:val="24"/>
        </w:rPr>
        <w:tab/>
        <w:t>4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3.4. Przypisanie województwa</w:t>
      </w:r>
      <w:r>
        <w:rPr>
          <w:rFonts w:ascii="Times New Roman" w:hAnsi="Times New Roman" w:cs="Times New Roman" w:eastAsia="Times New Roman"/>
          <w:sz w:val="24"/>
        </w:rPr>
        <w:tab/>
        <w:t>5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3.5. Mapa</w:t>
      </w:r>
      <w:r>
        <w:rPr>
          <w:rFonts w:ascii="Times New Roman" w:hAnsi="Times New Roman" w:cs="Times New Roman" w:eastAsia="Times New Roman"/>
          <w:sz w:val="24"/>
        </w:rPr>
        <w:tab/>
        <w:t>5</w:t>
      </w:r>
    </w:p>
    <w:p>
      <w:pPr>
        <w:pStyle w:val="TOC1"/>
      </w:pPr>
      <w:r>
        <w:rPr>
          <w:rFonts w:ascii="Times New Roman" w:hAnsi="Times New Roman" w:cs="Times New Roman" w:eastAsia="Times New Roman"/>
          <w:b/>
          <w:sz w:val="24"/>
        </w:rPr>
        <w:t>4. SYSTEM B: PORTAL NIERUCHOMOŚCI</w:t>
      </w:r>
      <w:r>
        <w:rPr>
          <w:rFonts w:ascii="Times New Roman" w:hAnsi="Times New Roman" w:cs="Times New Roman" w:eastAsia="Times New Roman"/>
          <w:sz w:val="24"/>
        </w:rPr>
        <w:tab/>
        <w:t>6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4.1. Lokalizacja oparta na rejestrach państwowych</w:t>
      </w:r>
      <w:r>
        <w:rPr>
          <w:rFonts w:ascii="Times New Roman" w:hAnsi="Times New Roman" w:cs="Times New Roman" w:eastAsia="Times New Roman"/>
          <w:sz w:val="24"/>
        </w:rPr>
        <w:tab/>
        <w:t>6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4.2. Zapis danych</w:t>
      </w:r>
      <w:r>
        <w:rPr>
          <w:rFonts w:ascii="Times New Roman" w:hAnsi="Times New Roman" w:cs="Times New Roman" w:eastAsia="Times New Roman"/>
          <w:sz w:val="24"/>
        </w:rPr>
        <w:tab/>
        <w:t>7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4.3. Ochrona prywatności</w:t>
      </w:r>
      <w:r>
        <w:rPr>
          <w:rFonts w:ascii="Times New Roman" w:hAnsi="Times New Roman" w:cs="Times New Roman" w:eastAsia="Times New Roman"/>
          <w:sz w:val="24"/>
        </w:rPr>
        <w:tab/>
        <w:t>7</w:t>
      </w:r>
    </w:p>
    <w:p>
      <w:pPr>
        <w:pStyle w:val="TOC2"/>
      </w:pPr>
      <w:r>
        <w:rPr>
          <w:rFonts w:ascii="Times New Roman" w:hAnsi="Times New Roman" w:cs="Times New Roman" w:eastAsia="Times New Roman"/>
          <w:b w:val="0"/>
          <w:sz w:val="24"/>
        </w:rPr>
        <w:t>4.4. Wyszukiwanie i mapa</w:t>
      </w:r>
      <w:r>
        <w:rPr>
          <w:rFonts w:ascii="Times New Roman" w:hAnsi="Times New Roman" w:cs="Times New Roman" w:eastAsia="Times New Roman"/>
          <w:sz w:val="24"/>
        </w:rPr>
        <w:tab/>
        <w:t>7</w:t>
      </w:r>
    </w:p>
    <w:p>
      <w:pPr>
        <w:pStyle w:val="TOC1"/>
      </w:pPr>
      <w:r>
        <w:rPr>
          <w:rFonts w:ascii="Times New Roman" w:hAnsi="Times New Roman" w:cs="Times New Roman" w:eastAsia="Times New Roman"/>
          <w:b/>
          <w:sz w:val="24"/>
        </w:rPr>
        <w:t>5. PORÓWNANIE ROZWIĄZAŃ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pStyle w:val="TOC1"/>
      </w:pPr>
      <w:r>
        <w:rPr>
          <w:rFonts w:ascii="Times New Roman" w:hAnsi="Times New Roman" w:cs="Times New Roman" w:eastAsia="Times New Roman"/>
          <w:b/>
          <w:sz w:val="24"/>
        </w:rPr>
        <w:t>6. WNIOSKI</w:t>
      </w:r>
      <w:r>
        <w:rPr>
          <w:rFonts w:ascii="Times New Roman" w:hAnsi="Times New Roman" w:cs="Times New Roman" w:eastAsia="Times New Roman"/>
          <w:sz w:val="24"/>
        </w:rPr>
        <w:tab/>
        <w:t>9</w:t>
      </w:r>
    </w:p>
    <w:p>
      <w:pPr>
        <w:pStyle w:val="TOC1"/>
      </w:pPr>
      <w:r>
        <w:rPr>
          <w:rFonts w:ascii="Times New Roman" w:hAnsi="Times New Roman" w:cs="Times New Roman" w:eastAsia="Times New Roman"/>
          <w:b/>
          <w:sz w:val="24"/>
        </w:rPr>
        <w:t>7. BIBLIOGRAFIA</w:t>
      </w:r>
      <w:r>
        <w:rPr>
          <w:rFonts w:ascii="Times New Roman" w:hAnsi="Times New Roman" w:cs="Times New Roman" w:eastAsia="Times New Roman"/>
          <w:sz w:val="24"/>
        </w:rPr>
        <w:tab/>
        <w:t>10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1. CEL I ZAKRES PRACY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Celem pracy jest przedstawienie, w jaki sposób dwie aplikacje internetowe pozyskują, zapisują i wyszukują dane przestrzenne oraz jak prezentują je na mapie. Analizowano system A, czyli portal ofert pracy dla kierowców zawodowych, oraz system B, czyli ogólnopolski portal ogłoszeń sprzedaży i wynajmu nieruchomości. W obu systemach lokalizacja jest jednym z głównych kryteriów wyszukiwania.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Zakres pracy obejmuje: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źródła współrzędnych (geokodowanie, geolokalizacja przeglądarki, rejestry państwowe),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sposób zapisu danych i stosowane układy współrzędnych,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wyszukiwanie obiektów w zadanym promieniu oraz przypisanie punktu do województwa,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prezentację danych na mapie,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porównanie obu rozwiązań i wskazanie ich słabych stron.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Materiałem do analizy był kod źródłowy i dokumentacja obu systemów [1] oraz ich wersje produkcyjne (stan na 14.10.2026 r.).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2. WSTĘP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2.1. Układy współrzędnych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 aplikacjach internetowych położenie zapisuje się najczęściej w układzie WGS84 (EPSG:4326) [2] jako parę liczb: szerokość geograficzną φ i długość geograficzną λ, wyrażone w stopniach. Mapy wyświetlane w przeglądarce (OpenStreetMap, MapTiler, Google Maps) korzystają z odwzorowania Web Mercator (EPSG:3857), w którym współrzędne podaje się w metrach na płaszczyźnie. W Polsce dane urzędowe udostępnia się często w układzie PUWG 1992 (EPSG:2180), dlatego ich użycie w aplikacji internetowej wymaga przeliczenia współrzędnych.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Częstym błędem jest zamiana kolejności współrzędnych. Format GeoJSON i biblioteki map zapisują punkt jako [λ, φ], natomiast wiele interfejsów programistycznych jako (φ, λ). Po zamianie kolejności punkt położony w Polsce trafia w okolice Jemenu.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2.2. Odległość na powierzchni Ziemi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Odległość między dwoma punktami na powierzchni Ziemi, traktowanej jako kula, wyznacza się wzorem haversine [3]:</w:t>
      </w:r>
    </w:p>
    <w:p>
      <w:pPr>
        <w:keepNext/>
        <w:tabs>
          <w:tab w:pos="4535" w:val="center"/>
          <w:tab w:pos="9071" w:val="right"/>
        </w:tabs>
        <w:spacing w:before="120" w:after="120"/>
      </w:pP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i/>
          <w:sz w:val="24"/>
        </w:rPr>
        <w:t>d = 2R · arcsin √[ sin²(Δφ/2) + cos φ₁ · cos φ₂ · sin²(Δλ/2) ]</w:t>
      </w:r>
      <w:r>
        <w:rPr>
          <w:rFonts w:ascii="Times New Roman" w:hAnsi="Times New Roman" w:cs="Times New Roman" w:eastAsia="Times New Roman"/>
          <w:sz w:val="20"/>
        </w:rPr>
        <w:tab/>
        <w:t>(2.1)</w:t>
      </w:r>
    </w:p>
    <w:p>
      <w:pPr>
        <w:spacing w:after="160" w:before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sz w:val="20"/>
        </w:rPr>
        <w:t>gdzie: d - odległość mierzona po powierzchni Ziemi, km, R - średni promień Ziemi, R = 6371 km, φ₁, φ₂ - szerokości geograficzne punktów, Δφ, Δλ - różnice szerokości i długości geograficznej punktów.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Różnice współrzędnych wyrażone w stopniach nie odpowiadają wprost kilometrom. Na szerokości geograficznej Polski (φ ≈ 52°) jeden stopień szerokości to ok. 111 km, a jeden stopień długości tylko ok. 68,5 km, ponieważ długość stopnia długości maleje proporcjonalnie do cos φ. Z tego powodu odległości nie należy liczyć wzorem Pitagorasa bezpośrednio na stopniach.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2.3. Geokodowanie, geolokalizacja i indeksy przestrzenne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Geokodowanie to zamiana nazwy miejsca lub adresu na współrzędne, a geokodowanie odwrotne to zamiana współrzędnych na nazwę miejsca. Położenie użytkownika można też odczytać z przeglądarki za pomocą interfejsu Geolocation [4], który wymaga zgody użytkownika i połączenia HTTPS.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Szybkie wyszukiwanie obiektów w zadanym promieniu wymaga indeksu przestrzennego. Udostępniają go m.in. baza PostgreSQL z rozszerzeniem PostGIS [5], wyszukiwarka Elasticsearch (pole typu geo_point) [6] oraz wyszukiwarka Typesense (pole typu geopoint) [7].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3. SYSTEM A: PORTAL OFERT PRACY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3.1. Pozyskiwanie współrzędnych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Rekruter dodający ofertę wpisuje nazwę miejscowości, a aplikacja zamienia ją na współrzędne za pomocą usługi MapTiler Geocoding API [8]. Wyszukiwanie ograniczono do miejscowości i jednostek administracyjnych w 40 krajach Europy, co wyeliminowało błędne dopasowania, np. „Vienna” do miasta w Stanach Zjednoczonych. Jeżeli kraj zwrócony przez usługę różni się od kraju wybranego w formularzu, aplikacja przyjmuje kraj wynikający ze współrzędnych.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Kandydat szukający pracy może użyć przycisku „Użyj mojej lokalizacji”, który pobiera pozycję z przeglądarki. Po wdrożeniu funkcja nie działała, ponieważ serwer nginx wysyłał nagłówek Permissions-Policy blokujący dostęp do geolokalizacji. Funkcja zaczęła działać po poprawieniu konfiguracji serwera.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3.2. Zapis danych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Współrzędne oferty zapisywane są w bazie PostgreSQL jako dwie liczby (latitude, longitude) typu double precision, w stopniach układu WGS84. Baza nie korzysta z typów przestrzennych ani z rozszerzenia PostGIS. Zapytania przestrzenne wykonuje wyszukiwarka Elasticsearch, do której oferta trafia po opublikowaniu.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3.3. Wyszukiwanie w promieniu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 indeksie Elasticsearch położenie oferty zapisano w polu typu geo_point. Wyszukiwanie w promieniu realizuje filtr geo_distance, który liczy odległość po powierzchni kuli. Użytkownik wybiera promień od 5 do 2000 km, przy czym domyślnie jest to 50 km. Przykładowo dla promienia 200 km od Warszawy wyszukiwarka zwraca ofertę z Białegostoku (ok. 177 km), natomiast nie zwraca oferty z Wrocławia (ok. 301 km), co pokazano na rys. 3.1.</w:t>
      </w:r>
    </w:p>
    <w:p>
      <w:pPr>
        <w:keepNext/>
        <w:spacing w:before="120"/>
        <w:jc w:val="center"/>
      </w:pPr>
      <w:r>
        <w:drawing>
          <wp:inline xmlns:a="http://schemas.openxmlformats.org/drawingml/2006/main">
            <wp:extent cx="4500000" cy="2993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mi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ind w:firstLine="0" w:left="283" w:right="283"/>
        <w:jc w:val="center"/>
      </w:pPr>
      <w:r>
        <w:rPr>
          <w:rFonts w:ascii="Times New Roman" w:hAnsi="Times New Roman" w:cs="Times New Roman" w:eastAsia="Times New Roman"/>
          <w:sz w:val="20"/>
        </w:rPr>
        <w:t>Rys. 3.1. Wynik wyszukiwania ofert w promieniu 200 km od Warszawy w systemie A (oferta z Wrocławia została odfiltrowana).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Wyników nie można sortować według odległości, a jedynie według daty i wynagrodzenia.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3.4. Przypisanie województwa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Województwo oferty wyznaczane jest ze współrzędnych, ponieważ pole wypełniane ręcznie przez rekruterów było często puste lub zapisane niejednolicie. System korzysta z pliku GeoJSON z granicami 16 województw [9] oraz z metody promienia (ang. ray casting) [10]. Z badanego punktu prowadzi się półprostą i liczy, ile razy przecina ona granicę wielokąta. Nieparzysta liczba przecięć oznacza, że punkt leży wewnątrz województwa. W celu przyspieszenia obliczeń najpierw pomijane są województwa, których prostokąt ograniczający nie zawiera punktu. Dla punktów spoza Polski województwo nie jest przypisywane.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3.5. Mapa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Mapę wykonano z użyciem biblioteki MapTiler SDK opartej na MapLibre GL [11], z podkładem wektorowym zbudowanym na danych OpenStreetMap. Na stronie wyników mapa wyświetlana jest obok listy ofert (rys. 3.2).</w:t>
      </w:r>
    </w:p>
    <w:p>
      <w:pPr>
        <w:keepNext/>
        <w:spacing w:before="120"/>
        <w:jc w:val="center"/>
      </w:pPr>
      <w:r>
        <w:drawing>
          <wp:inline xmlns:a="http://schemas.openxmlformats.org/drawingml/2006/main">
            <wp:extent cx="4500000" cy="2993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i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ind w:firstLine="0" w:left="283" w:right="283"/>
        <w:jc w:val="center"/>
      </w:pPr>
      <w:r>
        <w:rPr>
          <w:rFonts w:ascii="Times New Roman" w:hAnsi="Times New Roman" w:cs="Times New Roman" w:eastAsia="Times New Roman"/>
          <w:sz w:val="20"/>
        </w:rPr>
        <w:t>Rys. 3.2. Lista ofert i mapa w systemie A: znacznik oznacza ofertę, a liczba w znaczniku liczbę ofert w danym miejscu.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Oferty są przekazywane do mapy jako punkty GeoJSON, a punkty położone blisko siebie łączone są w skupienia z liczbą ofert (klasteryzacja). Przy małym przybliżeniu wszystkie oferty z Polski tworzą jedno skupienie (rys. 3.3).</w:t>
      </w:r>
    </w:p>
    <w:p>
      <w:pPr>
        <w:keepNext/>
        <w:spacing w:before="120"/>
        <w:jc w:val="center"/>
      </w:pPr>
      <w:r>
        <w:drawing>
          <wp:inline xmlns:a="http://schemas.openxmlformats.org/drawingml/2006/main">
            <wp:extent cx="1800000" cy="2821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kla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2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ind w:firstLine="0" w:left="283" w:right="283"/>
        <w:jc w:val="center"/>
      </w:pPr>
      <w:r>
        <w:rPr>
          <w:rFonts w:ascii="Times New Roman" w:hAnsi="Times New Roman" w:cs="Times New Roman" w:eastAsia="Times New Roman"/>
          <w:sz w:val="20"/>
        </w:rPr>
        <w:t>Rys. 3.3. Klasteryzacja znaczników przy małym przybliżeniu mapy w systemie A: trzy oferty połączone w jedno skupienie.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Kliknięcie skupienia przybliża mapę, aż znaczniki się rozdzielą. Przy wyszukiwaniu w promieniu na mapie rysowany jest także okrąg obszaru wyszukiwania.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4. SYSTEM B: PORTAL NIERUCHOMOŚCI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4.1. Lokalizacja oparta na rejestrach państwowych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System B obejmuje tylko Polskę i opisuje lokalizację według urzędowego podziału kraju z rejestru TERYT prowadzonego przez GUS [12]. Ogłoszenie przechowuje kody województwa, gminy i miejscowości, dzięki czemu filtrowanie według miejscowości nie wymaga obliczeń na współrzędnych. Miejscowość wybiera się z listy podpowiedzi wyszukiwanych po początku nazwy.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Rejestr TERYT nie zawiera współrzędnych, dlatego dla każdej miejscowości pobierany jest punkt centralny z Państwowego Rejestru Nazw Geograficznych (PRNG) [13]. Plik źródłowy w formacie GML zawiera współrzędne zarówno w układzie WGS84, jak i w PUWG 1992, przy czym system wykorzystuje tylko WGS84. Sprzedający może również wskazać dokładne położenie nieruchomości znacznikiem na mapie.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4.2. Zapis danych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 bazie PostgreSQL zainstalowano rozszerzenie PostGIS i utworzono kolumnę geometryczną typu punkt, jednak w obecnej wersji nie jest ona używana w zapytaniach. Kolumna nie ma też przypisanego układu współrzędnych (SRID równy 0 zamiast 4326). Logika aplikacji korzysta ze zwykłych kolumn liczbowych z szerokością i długością geograficzną.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4.3. Ochrona prywatności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Sprzedający nie zawsze chce pokazać dokładne położenie nieruchomości. Dokładny punkt jest publiczny tylko wtedy, gdy sprzedający podał adres lub ustawił znacznik. Pozostałe ogłoszenia umieszczane są w punkcie centralnym miejscowości: biorą udział w wyszukiwaniu w promieniu, ale nie są pokazywane na mapie. Wadą takiego rozwiązania jest błąd położenia, który w dużym mieście może wynosić kilka kilometrów.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>4.4. Wyszukiwanie i mapa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Wyszukiwanie w promieniu wykonuje wyszukiwarka Typesense, a użytkownik wybiera promień 1, 2, 5, 10, 20 lub 50 km. Środek obszaru wskazuje się kliknięciem w mapę albo przyciskiem „Wokół mnie”, korzystającym z geolokalizacji przeglądarki. Mapa korzysta z biblioteki MapLibre GL i pokazuje ogłoszenia jako znaczniki z ceną (rys. 4.1).</w:t>
      </w:r>
    </w:p>
    <w:p>
      <w:pPr>
        <w:keepNext/>
        <w:spacing w:before="120"/>
        <w:jc w:val="center"/>
      </w:pPr>
      <w:r>
        <w:drawing>
          <wp:inline xmlns:a="http://schemas.openxmlformats.org/drawingml/2006/main">
            <wp:extent cx="4500000" cy="2938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o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3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ind w:firstLine="0" w:left="283" w:right="283"/>
        <w:jc w:val="center"/>
      </w:pPr>
      <w:r>
        <w:rPr>
          <w:rFonts w:ascii="Times New Roman" w:hAnsi="Times New Roman" w:cs="Times New Roman" w:eastAsia="Times New Roman"/>
          <w:sz w:val="20"/>
        </w:rPr>
        <w:t>Rys. 4.1. Wyniki wyszukiwania i mapa w systemie B: podkład OpenStreetMap (OSM), znaczniki z ceną ogłoszenia oraz wybór promienia wyszukiwania.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Użytkownik może przełączyć podkład z mapy OpenStreetMap na ortofotomapę GUGiK udostępnianą w standardzie WMTS [14] (rys. 4.2).</w:t>
      </w:r>
    </w:p>
    <w:p>
      <w:pPr>
        <w:keepNext/>
        <w:spacing w:before="120"/>
        <w:jc w:val="center"/>
      </w:pPr>
      <w:r>
        <w:drawing>
          <wp:inline xmlns:a="http://schemas.openxmlformats.org/drawingml/2006/main">
            <wp:extent cx="1728000" cy="2966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or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296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ind w:firstLine="0" w:left="283" w:right="283"/>
        <w:jc w:val="center"/>
      </w:pPr>
      <w:r>
        <w:rPr>
          <w:rFonts w:ascii="Times New Roman" w:hAnsi="Times New Roman" w:cs="Times New Roman" w:eastAsia="Times New Roman"/>
          <w:sz w:val="20"/>
        </w:rPr>
        <w:t>Rys. 4.2. Ten sam widok mapy w systemie B z podkładem ortofotomapy Głównego Urzędu Geodezji i Kartografii (GUGiK).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Publiczne serwery kafelków OpenStreetMap mają zasady ograniczające intensywne użycie [15], dlatego przy większym ruchu potrzebny będzie inny dostawca podkładu.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5. PORÓWNANIE ROZWIĄZAŃ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Oba systemy zapisują punkty w układzie WGS84 i wyszukują obiekty w promieniu za pomocą wyszukiwarki, jednak różnią się źródłem danych i obszarem działania. System A obejmuje Europę i pozyskuje współrzędne przez geokodowanie nazw miejscowości, natomiast system B działa tylko w Polsce i korzysta z rejestrów państwowych TERYT i PRNG. System A pokazuje dokładne położenie wszystkich ofert i grupuje je na mapie w skupienia. System B ukrywa dokładne położenie części ogłoszeń i nie stosuje klasteryzacji, ponieważ na mapie pokazuje najwyżej jedną stronę wyników.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 trakcie analizy sprawdzono dwa uproszczenia obliczeniowe. System A rysuje okrąg wyszukiwania na mapie wzorem przybliżonym, w którym dla całego okręgu przyjmuje się tę samą wartość cos φ środka. Dla promienia 50 km różnica względem rzeczywistego okręgu wynosi ok. 0,2 %, natomiast dla 2000 km sięga ok. 9 %. Przy dużych promieniach narysowany okrąg nie pokrywa się więc dokładnie z obszarem, w którym wyszukiwarka zwraca oferty.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W systemie B testowa wersja geokodera odwrotnego wybiera najbliższe miasto, licząc odległość bezpośrednio na stopniach, bez uwzględnienia cos φ. Sprawdzenie na siatce punktów pokrywającej Polskę wykazało, że ok. 14 % punktów zostało przypisanych do niewłaściwego z trzech miast testowych. Błąd usuwa przemnożenie różnicy długości geograficznej przez cos φ albo użycie wzoru (2.1).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6. WNIOSKI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Na podstawie przeprowadzonej analizy sformułowano następujące wnioski: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Oba systemy zapisują punkty w układzie WGS84 (EPSG:4326), a mapy wyświetlają w odwzorowaniu Web Mercator (EPSG:3857), dzięki czemu nie muszą przeliczać współrzędnych.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W obu systemach wyszukiwanie w promieniu wykonuje wyszukiwarka (Elasticsearch, Typesense), a nie baza danych. W systemie B rozszerzenie PostGIS jest zainstalowane, ale nieużywane.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System A wyznacza kraj i województwo ze współrzędnych, co usuwa błędy w danych wpisywanych ręcznie.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System B opiera lokalizację na rejestrach TERYT i PRNG oraz chroni prywatność sprzedających kosztem dokładności położenia.</w:t>
      </w:r>
    </w:p>
    <w:p>
      <w:pPr>
        <w:spacing w:after="60" w:before="0" w:line="240" w:lineRule="auto"/>
        <w:ind w:left="709" w:hanging="283"/>
        <w:jc w:val="both"/>
      </w:pPr>
      <w:r>
        <w:rPr>
          <w:rFonts w:ascii="Times New Roman" w:hAnsi="Times New Roman" w:cs="Times New Roman" w:eastAsia="Times New Roman"/>
          <w:sz w:val="24"/>
        </w:rPr>
        <w:t>- Odległości należy liczyć z uwzględnieniem kształtu Ziemi, np. wzorem haversine. Proste obliczenia na stopniach dają błędy sięgające kilku, a nawet kilkunastu procent.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>7. BIBLIOGRAFIA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1. Kod źródłowy i dokumentacja analizowanych systemów A i B, repozytoria prywatne, stan na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2. International Association of Oil &amp; Gas Producers, EPSG Geodetic Parameter Dataset, epsg.org, data pobrania: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3. Sinnott R. W., Virtues of the Haversine, Sky and Telescope, vol. 68, nr 2, s. 159, Cambridge (MA), 1984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4. World Wide Web Consortium, Geolocation, W3C Candidate Recommendation Snapshot, www.w3.org/TR/geolocation/, data pobrania: 19.10.2026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5. PostGIS Project Steering Committee, PostGIS 3.5 Manual, postgis.net/docs/manual-3.5/, data pobrania: 19.10.2026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6. Elastic N.V., Geo-distance query, Elasticsearch Guide [8.17], www.elastic.co/guide/en/elasticsearch/reference/8.17/query-dsl-geo-distance-query.html, data pobrania: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7. Typesense Inc., Geosearch, Typesense API Reference v29.0, typesense.org/docs/29.0/api/geosearch.html, data pobrania: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8. MapTiler AG, Geocoding API, dokumentacja, docs.maptiler.com/cloud/api/geocoding/, data pobrania: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9. Patrzyk P., polska-geojson: Mapy Polski w formacie GeoJSON, GitHub, github.com/ppatrzyk/polska-geojson, data pobrania: 19.10.2026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10. Shimrat M., Algorithm 112: Position of point relative to polygon, Communications of the ACM, vol. 5, nr 8, Nowy Jork, 1962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11. MapLibre Organization, MapLibre GL JS, dokumentacja, maplibre.org/maplibre-gl-js/docs/, data pobrania: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12. Główny Urząd Statystyczny, Krajowy Rejestr Urzędowy Podziału Terytorialnego Kraju TERYT, eteryt.stat.gov.pl, data pobrania: 14.10.2026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13. Główny Urząd Geodezji i Kartografii, Państwowy Rejestr Nazw Geograficznych (PRNG), Geoportal.gov.pl, www.geoportal.gov.pl/pl/dane/panstwowy-rejestr-nazw-geograficznych-prng/, data pobrania: 19.10.2026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14. Główny Urząd Geodezji i Kartografii, Ortofotomapa (ORTO), usługa przeglądania WMTS, Geoportal.gov.pl, www.geoportal.gov.pl/pl/dane/ortofotomapa-orto/, data pobrania: 19.10.2026 r.</w:t>
      </w:r>
    </w:p>
    <w:p>
      <w:pPr>
        <w:spacing w:after="80" w:before="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sz w:val="22"/>
        </w:rPr>
        <w:t>15. OpenStreetMap Foundation, Tile Usage Policy, operations.osmfoundation.org/policies/tiles/, data pobrania: 14.10.2026 r.</w:t>
      </w:r>
    </w:p>
    <w:sectPr>
      <w:footerReference w:type="default" r:id="rId4"/>
      <w:footerReference w:type="first" r:id="rId5"/>
      <w:type w:val="nextPage"/>
      <w:pgSz w:w="11906" w:h="16838"/>
      <w:pgMar w:left="1417" w:right="1417" w:gutter="0" w:header="0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NewRoman">
    <w:altName w:val="Yu Gothic"/>
    <w:charset w:val="80"/>
    <w:family w:val="auto"/>
    <w:pitch w:val="default"/>
  </w:font>
  <w:font w:name="TimesNewRoman">
    <w:altName w:val="Bold"/>
    <w:charset w:val="ee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</w:rPr>
    </w:pPr>
    <w:r>
      <w:rPr>
        <w:sz w:val="20"/>
      </w:rPr>
      <w:t xml:space="preserve">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8</w:t>
    </w:r>
    <w:r>
      <w:rPr>
        <w:sz w:val="20"/>
      </w:rPr>
      <w:fldChar w:fldCharType="end"/>
    </w:r>
  </w:p>
  <w:p>
    <w:pPr>
      <w:pStyle w:val="Footer"/>
      <w:rPr>
        <w:sz w:val="20"/>
      </w:rPr>
    </w:pPr>
    <w:r>
      <w:rPr>
        <w:sz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32"/>
        <w:b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autoSpaceDE w:val="false"/>
      <w:spacing w:before="0" w:after="240"/>
      <w:ind w:firstLine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2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120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b/>
      <w:sz w:val="32"/>
    </w:rPr>
  </w:style>
  <w:style w:type="character" w:styleId="Domylnaczcionkaakapitu">
    <w:name w:val="Domyślna czcionka akapitu"/>
    <w:qFormat/>
    <w:rPr/>
  </w:style>
  <w:style w:type="character" w:styleId="Znakiprzypiswdolnych">
    <w:name w:val="Znaki przypisów dolnych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NagwekZnak">
    <w:name w:val="Nagłówek Znak"/>
    <w:qFormat/>
    <w:rPr>
      <w:sz w:val="24"/>
      <w:szCs w:val="24"/>
    </w:rPr>
  </w:style>
  <w:style w:type="character" w:styleId="StopkaZnak">
    <w:name w:val="Stopka Znak"/>
    <w:qFormat/>
    <w:rPr>
      <w:sz w:val="24"/>
      <w:szCs w:val="24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Gwkaistopka">
    <w:name w:val="Główka i stopka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pl-PL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z w:val="40"/>
      <w:u w:val="single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OC1">
    <w:name w:val="toc 1"/>
    <w:basedOn w:val="Normal"/>
    <w:next w:val="Normal"/>
    <w:pPr/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pl-P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customStyle="1" w:styleId="TOC1">
    <w:name w:val="TOC 1"/>
    <w:pPr>
      <w:tabs>
        <w:tab w:pos="9071" w:val="right" w:leader="dot"/>
      </w:tabs>
      <w:spacing w:before="0" w:after="60"/>
      <w:ind w:left="0" w:firstLin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OC2">
    <w:name w:val="TOC 2"/>
    <w:pPr>
      <w:tabs>
        <w:tab w:pos="9071" w:val="right" w:leader="dot"/>
      </w:tabs>
      <w:spacing w:before="0" w:after="60"/>
      <w:ind w:left="340" w:firstLin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2026-10-20T16:22:44Z</dcterms:created>
  <dc:creator>Dariusz Salzburg, Filip Sejud</dc:creator>
  <dc:description/>
  <cp:keywords/>
  <dc:language>pl-PL</dc:language>
  <cp:lastModifiedBy>Dariusz Salzburg</cp:lastModifiedBy>
  <dcterms:modified xsi:type="dcterms:W3CDTF">2026-10-20T16:22:44Z</dcterms:modified>
  <cp:revision>3</cp:revision>
  <dc:subject>ANALIZA DANYCH PRZESTRZENNYCH</dc:subject>
  <dc:title>Geolokalizacja i mapy w aplikacjach internetowych na przykładzie dwóch portali ogłoszeniowych</dc:title>
</cp:coreProperties>
</file>