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8006" w14:textId="657689FB" w:rsidR="00803386" w:rsidRPr="007302D4" w:rsidRDefault="007A6EE0">
      <w:pPr>
        <w:spacing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</w:t>
      </w:r>
      <w:r w:rsidR="007302D4">
        <w:rPr>
          <w:rFonts w:ascii="Calibri" w:eastAsia="Calibri" w:hAnsi="Calibri" w:cs="Calibri"/>
          <w:b/>
          <w:sz w:val="24"/>
          <w:szCs w:val="24"/>
        </w:rPr>
        <w:t xml:space="preserve">  </w:t>
      </w:r>
      <w:r>
        <w:rPr>
          <w:rFonts w:ascii="Calibri" w:eastAsia="Calibri" w:hAnsi="Calibri" w:cs="Calibri"/>
          <w:b/>
          <w:sz w:val="24"/>
          <w:szCs w:val="24"/>
        </w:rPr>
        <w:t xml:space="preserve">  </w:t>
      </w:r>
      <w:r w:rsidRPr="007302D4">
        <w:rPr>
          <w:rFonts w:ascii="Calibri" w:eastAsia="Calibri" w:hAnsi="Calibri" w:cs="Calibri"/>
          <w:b/>
          <w:sz w:val="26"/>
          <w:szCs w:val="26"/>
        </w:rPr>
        <w:t>Project Design Phase</w:t>
      </w:r>
    </w:p>
    <w:p w14:paraId="0C650E1F" w14:textId="77777777" w:rsidR="00803386" w:rsidRDefault="007A6EE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14:paraId="1BDB67A0" w14:textId="77777777" w:rsidR="00803386" w:rsidRDefault="0080338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03386" w14:paraId="6917D52C" w14:textId="77777777">
        <w:tc>
          <w:tcPr>
            <w:tcW w:w="4508" w:type="dxa"/>
          </w:tcPr>
          <w:p w14:paraId="4B231D9C" w14:textId="77777777" w:rsidR="00803386" w:rsidRDefault="007A6E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D33D8FB" w14:textId="4DB776DA" w:rsidR="00803386" w:rsidRDefault="00D12EF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Pr="00D12EF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803386" w14:paraId="6E7B80C3" w14:textId="77777777">
        <w:tc>
          <w:tcPr>
            <w:tcW w:w="4508" w:type="dxa"/>
          </w:tcPr>
          <w:p w14:paraId="5259D778" w14:textId="77777777" w:rsidR="00803386" w:rsidRDefault="007A6E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BABF24E" w14:textId="076CC526" w:rsidR="00803386" w:rsidRPr="007A6EE0" w:rsidRDefault="003D494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D4940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LTVIP2026TMIDS67101</w:t>
            </w:r>
          </w:p>
        </w:tc>
      </w:tr>
      <w:tr w:rsidR="00D640E1" w14:paraId="788B0A48" w14:textId="77777777">
        <w:tc>
          <w:tcPr>
            <w:tcW w:w="4508" w:type="dxa"/>
          </w:tcPr>
          <w:p w14:paraId="13079E4C" w14:textId="77777777" w:rsidR="00D640E1" w:rsidRDefault="00D640E1" w:rsidP="00D640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6507AFD" w14:textId="3E7C1E22" w:rsidR="00D640E1" w:rsidRPr="00D640E1" w:rsidRDefault="00D12EFA" w:rsidP="00D640E1">
            <w:pPr>
              <w:rPr>
                <w:rFonts w:ascii="Calibri" w:eastAsia="Times New Roman" w:hAnsi="Calibri" w:cs="Calibri"/>
              </w:rPr>
            </w:pPr>
            <w:r w:rsidRPr="00D12EFA">
              <w:rPr>
                <w:rFonts w:ascii="Calibri" w:eastAsia="Times New Roman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D640E1" w14:paraId="4E899932" w14:textId="77777777">
        <w:tc>
          <w:tcPr>
            <w:tcW w:w="4508" w:type="dxa"/>
          </w:tcPr>
          <w:p w14:paraId="09166C36" w14:textId="77777777" w:rsidR="00D640E1" w:rsidRDefault="00D640E1" w:rsidP="00D640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C42176E" w14:textId="50AC35EB" w:rsidR="00D640E1" w:rsidRDefault="00D640E1" w:rsidP="00D640E1">
            <w:pPr>
              <w:rPr>
                <w:rFonts w:ascii="Calibri" w:eastAsia="Calibri" w:hAnsi="Calibri" w:cs="Calibri"/>
              </w:rPr>
            </w:pPr>
          </w:p>
        </w:tc>
      </w:tr>
    </w:tbl>
    <w:p w14:paraId="660479F7" w14:textId="77777777" w:rsidR="00D12EFA" w:rsidRDefault="00D12EFA" w:rsidP="00D12EFA">
      <w:pPr>
        <w:spacing w:after="160" w:line="259" w:lineRule="auto"/>
        <w:rPr>
          <w:rFonts w:ascii="Calibri" w:eastAsia="Calibri" w:hAnsi="Calibri" w:cs="Calibri"/>
          <w:b/>
        </w:rPr>
      </w:pPr>
    </w:p>
    <w:p w14:paraId="00A972A1" w14:textId="77777777" w:rsidR="00D12EFA" w:rsidRPr="00D12EFA" w:rsidRDefault="00D12EFA" w:rsidP="00040C10">
      <w:pPr>
        <w:spacing w:after="240" w:line="240" w:lineRule="auto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D12EFA">
        <w:rPr>
          <w:rFonts w:ascii="Calibri" w:eastAsia="Calibri" w:hAnsi="Calibri" w:cs="Calibri"/>
          <w:b/>
          <w:bCs/>
          <w:sz w:val="26"/>
          <w:szCs w:val="26"/>
          <w:lang w:val="en-IN"/>
        </w:rPr>
        <w:t>Problem – Solution Fit Overview</w:t>
      </w:r>
    </w:p>
    <w:p w14:paraId="7F9F43E1" w14:textId="77777777" w:rsidR="00D12EFA" w:rsidRPr="00040C10" w:rsidRDefault="00D12EFA" w:rsidP="00040C10">
      <w:pPr>
        <w:spacing w:after="240" w:line="240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The Problem–Solution Fit validates that the proposed system effectively addresses real-world challenges in wind energy generation. Accurate energy prediction is critical for grid stability, operational planning, and maximizing renewable energy utilization.</w:t>
      </w:r>
    </w:p>
    <w:p w14:paraId="1BFC1430" w14:textId="77777777" w:rsidR="00D12EFA" w:rsidRPr="00D12EFA" w:rsidRDefault="00D12EFA" w:rsidP="00040C10">
      <w:pPr>
        <w:spacing w:after="240" w:line="240" w:lineRule="auto"/>
        <w:ind w:firstLine="720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D12EFA">
        <w:rPr>
          <w:rFonts w:ascii="Calibri" w:eastAsia="Calibri" w:hAnsi="Calibri" w:cs="Calibri"/>
          <w:b/>
          <w:bCs/>
          <w:sz w:val="26"/>
          <w:szCs w:val="26"/>
          <w:lang w:val="en-IN"/>
        </w:rPr>
        <w:t>Purpose:</w:t>
      </w:r>
    </w:p>
    <w:p w14:paraId="309F47C9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Improve accuracy of wind turbine power output forecasting.</w:t>
      </w:r>
    </w:p>
    <w:p w14:paraId="6991B565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Enable smarter renewable energy management and grid integration.</w:t>
      </w:r>
    </w:p>
    <w:p w14:paraId="15E8D98E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Reduce operational inefficiencies and unexpected power fluctuations.</w:t>
      </w:r>
    </w:p>
    <w:p w14:paraId="20EEEBB6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Support data-driven decision-making for wind farm operators.</w:t>
      </w:r>
    </w:p>
    <w:p w14:paraId="08D577C4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Enhance reliability of renewable energy sources.</w:t>
      </w:r>
    </w:p>
    <w:p w14:paraId="00605B18" w14:textId="6FA0717C" w:rsidR="00D12EFA" w:rsidRPr="00D12EFA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/>
          <w:sz w:val="26"/>
          <w:szCs w:val="26"/>
          <w:lang w:val="en-IN"/>
        </w:rPr>
      </w:pPr>
    </w:p>
    <w:p w14:paraId="0B9366BD" w14:textId="77777777" w:rsidR="00D12EFA" w:rsidRPr="00D12EFA" w:rsidRDefault="00D12EFA" w:rsidP="00040C10">
      <w:pPr>
        <w:spacing w:after="240" w:line="240" w:lineRule="auto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D12EFA">
        <w:rPr>
          <w:rFonts w:ascii="Calibri" w:eastAsia="Calibri" w:hAnsi="Calibri" w:cs="Calibri"/>
          <w:b/>
          <w:bCs/>
          <w:sz w:val="26"/>
          <w:szCs w:val="26"/>
          <w:lang w:val="en-IN"/>
        </w:rPr>
        <w:t>Problem Statement</w:t>
      </w:r>
    </w:p>
    <w:p w14:paraId="30D90AEC" w14:textId="77777777" w:rsidR="00D12EFA" w:rsidRPr="00040C10" w:rsidRDefault="00D12EFA" w:rsidP="00040C10">
      <w:pPr>
        <w:spacing w:after="240" w:line="240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Wind energy generation is highly dependent on weather conditions, which introduces multiple challenges:</w:t>
      </w:r>
    </w:p>
    <w:p w14:paraId="1184D2AC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Unpredictable Power Output – Wind speed and atmospheric conditions vary constantly.</w:t>
      </w:r>
    </w:p>
    <w:p w14:paraId="2F92DE00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Grid Instability Risks – Sudden changes in generation affect energy balancing.</w:t>
      </w:r>
    </w:p>
    <w:p w14:paraId="305B6919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Inefficient Resource Planning – Operators struggle with scheduling and dispatch decisions.</w:t>
      </w:r>
    </w:p>
    <w:p w14:paraId="3DDBC407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Energy Curtailment Issues – Inaccurate forecasts lead to wasted renewable energy.</w:t>
      </w:r>
    </w:p>
    <w:p w14:paraId="32FC1DDE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lastRenderedPageBreak/>
        <w:t>● Maintenance &amp; Operational Challenges – Lack of predictive insights increases downtime.</w:t>
      </w:r>
    </w:p>
    <w:p w14:paraId="0D129D3A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Complex Weather Dependencies – Temperature, pressure, turbulence, and direction impact performance.</w:t>
      </w:r>
    </w:p>
    <w:p w14:paraId="1E2669CD" w14:textId="4EB652F3" w:rsidR="00D12EFA" w:rsidRPr="00D12EFA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/>
          <w:sz w:val="26"/>
          <w:szCs w:val="26"/>
          <w:lang w:val="en-IN"/>
        </w:rPr>
      </w:pPr>
    </w:p>
    <w:p w14:paraId="42B5ABFF" w14:textId="43990EF1" w:rsidR="00D12EFA" w:rsidRPr="00D12EFA" w:rsidRDefault="00D12EFA" w:rsidP="00040C10">
      <w:pPr>
        <w:spacing w:after="240" w:line="240" w:lineRule="auto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D12EFA">
        <w:rPr>
          <w:rFonts w:ascii="Calibri" w:eastAsia="Calibri" w:hAnsi="Calibri" w:cs="Calibri"/>
          <w:b/>
          <w:bCs/>
          <w:sz w:val="26"/>
          <w:szCs w:val="26"/>
          <w:lang w:val="en-IN"/>
        </w:rPr>
        <w:t>Solution</w:t>
      </w:r>
      <w:r w:rsidR="00040C10">
        <w:rPr>
          <w:rFonts w:ascii="Calibri" w:eastAsia="Calibri" w:hAnsi="Calibri" w:cs="Calibri"/>
          <w:b/>
          <w:bCs/>
          <w:sz w:val="26"/>
          <w:szCs w:val="26"/>
          <w:lang w:val="en-IN"/>
        </w:rPr>
        <w:t>:</w:t>
      </w:r>
    </w:p>
    <w:p w14:paraId="4E943D43" w14:textId="77777777" w:rsidR="00D12EFA" w:rsidRPr="00040C10" w:rsidRDefault="00D12EFA" w:rsidP="00040C10">
      <w:pPr>
        <w:spacing w:after="240" w:line="240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The proposed system delivers an intelligent weather-aware prediction platform:</w:t>
      </w:r>
    </w:p>
    <w:p w14:paraId="27FF1533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Weather-Driven Prediction Models – Use machine learning algorithms trained on historical turbine and meteorological data.</w:t>
      </w:r>
    </w:p>
    <w:p w14:paraId="7FDD018B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Real-Time Forecasting Engine – Continuously update predictions using live weather inputs.</w:t>
      </w:r>
    </w:p>
    <w:p w14:paraId="5C911E4A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Multi-Parameter Analysis – Consider wind speed, direction, air density, temperature, and pressure.</w:t>
      </w:r>
    </w:p>
    <w:p w14:paraId="4643F332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Short-Term &amp; Long-Term Forecasts – Provide minute-level to day-ahead predictions.</w:t>
      </w:r>
    </w:p>
    <w:p w14:paraId="37D597BC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Anomaly Detection Mechanism – Identify unusual patterns or turbine performance deviations.</w:t>
      </w:r>
    </w:p>
    <w:p w14:paraId="182AE795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Operational Optimization Support – Assist grid scheduling and energy trading decisions.</w:t>
      </w:r>
    </w:p>
    <w:p w14:paraId="41030244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Visualization Dashboard – Display predicted vs actual output, trends, and alerts.</w:t>
      </w:r>
    </w:p>
    <w:p w14:paraId="2B7ABAF4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Scalable Architecture – Applicable to single turbines or entire wind farms.</w:t>
      </w:r>
    </w:p>
    <w:p w14:paraId="1E62EAB9" w14:textId="37860606" w:rsidR="00D12EFA" w:rsidRPr="00D12EFA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/>
          <w:sz w:val="26"/>
          <w:szCs w:val="26"/>
          <w:lang w:val="en-IN"/>
        </w:rPr>
      </w:pPr>
    </w:p>
    <w:p w14:paraId="53D38B01" w14:textId="77777777" w:rsidR="00D12EFA" w:rsidRPr="00D12EFA" w:rsidRDefault="00D12EFA" w:rsidP="00040C10">
      <w:pPr>
        <w:spacing w:after="240" w:line="240" w:lineRule="auto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D12EFA">
        <w:rPr>
          <w:rFonts w:ascii="Calibri" w:eastAsia="Calibri" w:hAnsi="Calibri" w:cs="Calibri"/>
          <w:b/>
          <w:bCs/>
          <w:sz w:val="26"/>
          <w:szCs w:val="26"/>
          <w:lang w:val="en-IN"/>
        </w:rPr>
        <w:t>Expected Benefits</w:t>
      </w:r>
    </w:p>
    <w:p w14:paraId="7588905C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Increased prediction accuracy and energy planning efficiency.</w:t>
      </w:r>
    </w:p>
    <w:p w14:paraId="131701F3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Better grid integration and reduced imbalance penalties.</w:t>
      </w:r>
    </w:p>
    <w:p w14:paraId="74B289BC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Improved turbine utilization and reduced curtailment losses.</w:t>
      </w:r>
    </w:p>
    <w:p w14:paraId="005AF5ED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Enhanced maintenance planning through predictive insights.</w:t>
      </w:r>
    </w:p>
    <w:p w14:paraId="3C9925B1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Support for sustainable and efficient renewable energy management.</w:t>
      </w:r>
    </w:p>
    <w:sectPr w:rsidR="00D12EFA" w:rsidRPr="00040C1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13C95"/>
    <w:multiLevelType w:val="multilevel"/>
    <w:tmpl w:val="A4FC0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1C3D60"/>
    <w:multiLevelType w:val="multilevel"/>
    <w:tmpl w:val="A45854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064D51"/>
    <w:multiLevelType w:val="multilevel"/>
    <w:tmpl w:val="E5A46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0550866">
    <w:abstractNumId w:val="2"/>
  </w:num>
  <w:num w:numId="2" w16cid:durableId="1099637446">
    <w:abstractNumId w:val="0"/>
  </w:num>
  <w:num w:numId="3" w16cid:durableId="12847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386"/>
    <w:rsid w:val="00040C10"/>
    <w:rsid w:val="0024070A"/>
    <w:rsid w:val="002D1153"/>
    <w:rsid w:val="00380344"/>
    <w:rsid w:val="003D4940"/>
    <w:rsid w:val="003D70B4"/>
    <w:rsid w:val="007302D4"/>
    <w:rsid w:val="007822F8"/>
    <w:rsid w:val="007A6EE0"/>
    <w:rsid w:val="00803386"/>
    <w:rsid w:val="00C11E44"/>
    <w:rsid w:val="00C76A2F"/>
    <w:rsid w:val="00CB6C02"/>
    <w:rsid w:val="00D12EFA"/>
    <w:rsid w:val="00D24A1A"/>
    <w:rsid w:val="00D640E1"/>
    <w:rsid w:val="00F3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9FE80"/>
  <w15:docId w15:val="{54FEA66F-694F-4A5A-95E5-8E6BD367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character" w:customStyle="1" w:styleId="Heading3Char">
    <w:name w:val="Heading 3 Char"/>
    <w:basedOn w:val="DefaultParagraphFont"/>
    <w:link w:val="Heading3"/>
    <w:uiPriority w:val="9"/>
    <w:rsid w:val="00D12EFA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9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WKJjZhLw3WkKrtUMnfSjqocQDg==">CgMxLjAyDmguN3o2ZzhkZDN3OWVxMg5oLmNyNGtmNTh4dmZ5MTIOaC4xMWZtdjRhY2ZycW44AHIhMU9TRGs4dFdPS2lUQUdsMThWRnB2ekNPTVdfRFhsWksy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SAHITYA KOTHA</dc:creator>
  <cp:lastModifiedBy>Sai Sudheer</cp:lastModifiedBy>
  <cp:revision>10</cp:revision>
  <dcterms:created xsi:type="dcterms:W3CDTF">2025-06-28T12:01:00Z</dcterms:created>
  <dcterms:modified xsi:type="dcterms:W3CDTF">2026-03-01T13:32:00Z</dcterms:modified>
</cp:coreProperties>
</file>