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left"/>
      </w:pPr>
      <w:r>
        <w:t>数据集介绍：肝脏病理检测数据集</w:t>
      </w:r>
    </w:p>
    <w:p>
      <w:pPr>
        <w:pStyle w:val="Heading3"/>
        <w:jc w:val="left"/>
      </w:pPr>
      <w:r>
        <w:t>一、基础信息</w:t>
      </w:r>
    </w:p>
    <w:p>
      <w:pPr>
        <w:jc w:val="left"/>
      </w:pPr>
      <w:r>
        <w:t xml:space="preserve">数据集名称：肝脏病理检测数据集 </w:t>
        <w:br/>
        <w:t xml:space="preserve">图片数量： </w:t>
        <w:br/>
        <w:t xml:space="preserve">训练集：2,782张图片 </w:t>
        <w:br/>
        <w:t xml:space="preserve">验证集：794张图片 </w:t>
        <w:br/>
        <w:t xml:space="preserve">测试集：400张图片 </w:t>
        <w:br/>
        <w:t>总计：3,976张医学影像</w:t>
      </w:r>
    </w:p>
    <w:p>
      <w:pPr>
        <w:jc w:val="left"/>
      </w:pPr>
      <w:r>
        <w:t xml:space="preserve">分类类别： </w:t>
        <w:br/>
        <w:t xml:space="preserve">- Ballooning（气球样变）：肝细胞肿胀的病理特征，常见于酒精性肝病 </w:t>
        <w:br/>
        <w:t xml:space="preserve">- Fibrosis（纤维化）：肝脏瘢痕组织形成的标志性病变 </w:t>
        <w:br/>
        <w:t xml:space="preserve">- Inflammation（炎症）：免疫细胞浸润的肝脏组织损伤表现 </w:t>
        <w:br/>
        <w:t>- Steatosis（脂肪变性）：肝细胞内脂肪异常沉积的代谢异常指标</w:t>
      </w:r>
    </w:p>
    <w:p>
      <w:pPr>
        <w:jc w:val="left"/>
      </w:pPr>
      <w:r>
        <w:t xml:space="preserve">标注格式： </w:t>
        <w:br/>
        <w:t>YOLO格式标准化标注，包含目标检测所需的归一化坐标与类别索引</w:t>
      </w:r>
    </w:p>
    <w:p>
      <w:pPr>
        <w:pStyle w:val="Heading3"/>
        <w:jc w:val="left"/>
      </w:pPr>
      <w:r>
        <w:t>二、适用场景</w:t>
      </w:r>
    </w:p>
    <w:p>
      <w:pPr>
        <w:jc w:val="left"/>
      </w:pPr>
      <w:r>
        <w:t xml:space="preserve">医学影像分析系统开发： </w:t>
        <w:br/>
        <w:t>支持构建肝脏病理自动识别系统，辅助病理科医生快速定位病变区域</w:t>
      </w:r>
    </w:p>
    <w:p>
      <w:pPr>
        <w:jc w:val="left"/>
      </w:pPr>
      <w:r>
        <w:t xml:space="preserve">肝脏疾病辅助诊断工具： </w:t>
        <w:br/>
        <w:t>适用于开发慢性肝病（如脂肪肝、肝硬化）的AI辅助诊断解决方案</w:t>
      </w:r>
    </w:p>
    <w:p>
      <w:pPr>
        <w:jc w:val="left"/>
      </w:pPr>
      <w:r>
        <w:t xml:space="preserve">病理学研究与教学： </w:t>
        <w:br/>
        <w:t>提供标准化的肝脏病变视觉样本，支持数字病理学教学和临床研究</w:t>
      </w:r>
    </w:p>
    <w:p>
      <w:pPr>
        <w:jc w:val="left"/>
      </w:pPr>
      <w:r>
        <w:t xml:space="preserve">药物疗效评估系统： </w:t>
        <w:br/>
        <w:t>通过量化分析病理改变程度，辅助临床试验中的治疗效果评估</w:t>
      </w:r>
    </w:p>
    <w:p>
      <w:pPr>
        <w:pStyle w:val="Heading3"/>
        <w:jc w:val="left"/>
      </w:pPr>
      <w:r>
        <w:t>三、数据集优势</w:t>
      </w:r>
    </w:p>
    <w:p>
      <w:pPr>
        <w:jc w:val="left"/>
      </w:pPr>
      <w:r>
        <w:t xml:space="preserve">临床病理特征全覆盖： </w:t>
        <w:br/>
        <w:t>涵盖酒精性肝病、非酒精性脂肪肝、肝纤维化等关键病理阶段的四种典型病变类型</w:t>
      </w:r>
    </w:p>
    <w:p>
      <w:pPr>
        <w:jc w:val="left"/>
      </w:pPr>
      <w:r>
        <w:t xml:space="preserve">专业医学标注体系： </w:t>
        <w:br/>
        <w:t>标注结果经过医学影像专家校验，确保病变区域定位与分类的临床准确性</w:t>
      </w:r>
    </w:p>
    <w:p>
      <w:pPr>
        <w:jc w:val="left"/>
      </w:pPr>
      <w:r>
        <w:t xml:space="preserve">多维度研究适配性： </w:t>
        <w:br/>
        <w:t>支持从基础的目标检测扩展到病变严重程度分级、区域面积量化等深度分析任务</w:t>
      </w:r>
    </w:p>
    <w:p>
      <w:pPr>
        <w:jc w:val="left"/>
      </w:pPr>
      <w:r>
        <w:t xml:space="preserve">临床诊断价值突出： </w:t>
        <w:br/>
        <w:t>针对肝病发展关键病理进程提供检测数据，助力早期肝硬化和肝癌的预防性诊断模型开发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