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0585" w:type="dxa"/>
        <w:tblInd w:w="-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55"/>
        <w:gridCol w:w="5715"/>
        <w:gridCol w:w="2844"/>
        <w:gridCol w:w="871"/>
      </w:tblGrid>
      <w:tr w14:paraId="36FE8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6" w:hRule="atLeast"/>
        </w:trPr>
        <w:tc>
          <w:tcPr>
            <w:tcW w:w="1155" w:type="dxa"/>
          </w:tcPr>
          <w:p w14:paraId="07C48402">
            <w:pPr>
              <w:rPr>
                <w:color w:val="808080" w:themeColor="background1" w:themeShade="80"/>
                <w:vertAlign w:val="baseline"/>
              </w:rPr>
            </w:pPr>
            <w:r>
              <w:rPr>
                <w:rFonts w:hint="default"/>
                <w:color w:val="808080" w:themeColor="background1" w:themeShade="80"/>
                <w:vertAlign w:val="baseline"/>
              </w:rPr>
              <w:t>ID</w:t>
            </w:r>
            <w:bookmarkStart w:id="0" w:name="_GoBack"/>
            <w:bookmarkEnd w:id="0"/>
          </w:p>
        </w:tc>
        <w:tc>
          <w:tcPr>
            <w:tcW w:w="5715" w:type="dxa"/>
          </w:tcPr>
          <w:p w14:paraId="2B944C96">
            <w:pPr>
              <w:rPr>
                <w:color w:val="808080" w:themeColor="background1" w:themeShade="80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color w:val="808080" w:themeColor="background1" w:themeShade="80"/>
                <w:sz w:val="20"/>
                <w:szCs w:val="20"/>
              </w:rPr>
              <w:t>Règle (énoncé, périmètre, mesure)</w:t>
            </w:r>
          </w:p>
        </w:tc>
        <w:tc>
          <w:tcPr>
            <w:tcW w:w="2844" w:type="dxa"/>
          </w:tcPr>
          <w:p w14:paraId="43B72EDD">
            <w:pPr>
              <w:rPr>
                <w:color w:val="808080" w:themeColor="background1" w:themeShade="80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color w:val="808080" w:themeColor="background1" w:themeShade="80"/>
                <w:sz w:val="20"/>
                <w:szCs w:val="20"/>
              </w:rPr>
              <w:t>Preuve de contrôle</w:t>
            </w:r>
          </w:p>
        </w:tc>
        <w:tc>
          <w:tcPr>
            <w:tcW w:w="871" w:type="dxa"/>
          </w:tcPr>
          <w:p w14:paraId="173CF117">
            <w:pPr>
              <w:rPr>
                <w:color w:val="808080" w:themeColor="background1" w:themeShade="80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color w:val="808080" w:themeColor="background1" w:themeShade="80"/>
                <w:sz w:val="20"/>
                <w:szCs w:val="20"/>
              </w:rPr>
              <w:t>Réference</w:t>
            </w:r>
          </w:p>
        </w:tc>
      </w:tr>
      <w:tr w14:paraId="546A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2187980D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01</w:t>
            </w:r>
          </w:p>
        </w:tc>
        <w:tc>
          <w:tcPr>
            <w:tcW w:w="5715" w:type="dxa"/>
          </w:tcPr>
          <w:p w14:paraId="789C2BB3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Sauvegarde. La configuration de chaque équipement doit être sauvegardée à chaque changement dans le dépôt Git de la DSI, hors de l'équipement.</w:t>
            </w:r>
          </w:p>
        </w:tc>
        <w:tc>
          <w:tcPr>
            <w:tcW w:w="2844" w:type="dxa"/>
          </w:tcPr>
          <w:p w14:paraId="459C412D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Dernier commit par équipement, comparaison avec la configuration courante</w:t>
            </w:r>
          </w:p>
        </w:tc>
        <w:tc>
          <w:tcPr>
            <w:tcW w:w="871" w:type="dxa"/>
          </w:tcPr>
          <w:p w14:paraId="653BD6DB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R2</w:t>
            </w:r>
          </w:p>
        </w:tc>
      </w:tr>
      <w:tr w14:paraId="74FE7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4C15CD03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02</w:t>
            </w:r>
          </w:p>
        </w:tc>
        <w:tc>
          <w:tcPr>
            <w:tcW w:w="5715" w:type="dxa"/>
          </w:tcPr>
          <w:p w14:paraId="0B778185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Administration. Les protocoles non chiffrés (Telnet, FTP, HTTP, SNMP v1 et v2c) sont interdits sur les équipements réseau ; seul SNMPv3 est autorisé pour la supervision.</w:t>
            </w:r>
          </w:p>
        </w:tc>
        <w:tc>
          <w:tcPr>
            <w:tcW w:w="2844" w:type="dxa"/>
          </w:tcPr>
          <w:p w14:paraId="0C030AC6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 running-config (snmp-server), scan des ports 21, 23 et 80 négatif</w:t>
            </w:r>
          </w:p>
        </w:tc>
        <w:tc>
          <w:tcPr>
            <w:tcW w:w="871" w:type="dxa"/>
          </w:tcPr>
          <w:p w14:paraId="08FF640A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R2, NSA</w:t>
            </w:r>
          </w:p>
        </w:tc>
      </w:tr>
      <w:tr w14:paraId="2372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7022AB70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03</w:t>
            </w:r>
          </w:p>
        </w:tc>
        <w:tc>
          <w:tcPr>
            <w:tcW w:w="5715" w:type="dxa"/>
          </w:tcPr>
          <w:p w14:paraId="7D032521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Sauvegarde. Une copie des sauvegardes de données doit être hors ligne (non connectée en permanence) ; la restauration doit être testée chaque trimestre.</w:t>
            </w:r>
          </w:p>
        </w:tc>
        <w:tc>
          <w:tcPr>
            <w:tcW w:w="2844" w:type="dxa"/>
          </w:tcPr>
          <w:p w14:paraId="078E34DC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Compte rendu de test de restauration, inventaire des supports</w:t>
            </w:r>
          </w:p>
        </w:tc>
        <w:tc>
          <w:tcPr>
            <w:tcW w:w="871" w:type="dxa"/>
          </w:tcPr>
          <w:p w14:paraId="2577E91B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R1</w:t>
            </w:r>
          </w:p>
        </w:tc>
      </w:tr>
      <w:tr w14:paraId="66155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59126654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04</w:t>
            </w:r>
          </w:p>
        </w:tc>
        <w:tc>
          <w:tcPr>
            <w:tcW w:w="5715" w:type="dxa"/>
          </w:tcPr>
          <w:p w14:paraId="33CBB536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Mises à jour. Aucun équipement en fin de support ne doit rester en production sans dérogation ; la liste des équipements concernés porte une date de remplacement.</w:t>
            </w:r>
          </w:p>
        </w:tc>
        <w:tc>
          <w:tcPr>
            <w:tcW w:w="2844" w:type="dxa"/>
          </w:tcPr>
          <w:p w14:paraId="5FBC12A9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Inventaire (date de fin de support), show version comparé</w:t>
            </w:r>
          </w:p>
        </w:tc>
        <w:tc>
          <w:tcPr>
            <w:tcW w:w="871" w:type="dxa"/>
          </w:tcPr>
          <w:p w14:paraId="2BAC03CF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R1</w:t>
            </w:r>
          </w:p>
        </w:tc>
      </w:tr>
      <w:tr w14:paraId="17D41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25DC8ED4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05</w:t>
            </w:r>
          </w:p>
        </w:tc>
        <w:tc>
          <w:tcPr>
            <w:tcW w:w="5715" w:type="dxa"/>
          </w:tcPr>
          <w:p w14:paraId="38047E79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Incidents. Tout incident de sécurité doit être déclaré au RSSI sous 24 h ; un exercice de réponse à un incident de type rançongiciel est mené chaque année.</w:t>
            </w:r>
          </w:p>
        </w:tc>
        <w:tc>
          <w:tcPr>
            <w:tcW w:w="2844" w:type="dxa"/>
          </w:tcPr>
          <w:p w14:paraId="4225C246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Registre des incidents horodaté, compte rendu de l'exercice annuel</w:t>
            </w:r>
          </w:p>
        </w:tc>
        <w:tc>
          <w:tcPr>
            <w:tcW w:w="871" w:type="dxa"/>
          </w:tcPr>
          <w:p w14:paraId="350DD85E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R1, ISO 27001</w:t>
            </w:r>
          </w:p>
        </w:tc>
      </w:tr>
      <w:tr w14:paraId="6D706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7BD2737B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06</w:t>
            </w:r>
          </w:p>
        </w:tc>
        <w:tc>
          <w:tcPr>
            <w:tcW w:w="5715" w:type="dxa"/>
          </w:tcPr>
          <w:p w14:paraId="293049B4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Mises à jour. Les correctifs critiques doivent être appliqués dans les 30 jours.</w:t>
            </w:r>
          </w:p>
        </w:tc>
        <w:tc>
          <w:tcPr>
            <w:tcW w:w="2844" w:type="dxa"/>
          </w:tcPr>
          <w:p w14:paraId="0A7883E0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Tickets de correctifs, version relevée sur un échantillon</w:t>
            </w:r>
          </w:p>
        </w:tc>
        <w:tc>
          <w:tcPr>
            <w:tcW w:w="871" w:type="dxa"/>
          </w:tcPr>
          <w:p w14:paraId="0CDE233C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R1</w:t>
            </w:r>
          </w:p>
        </w:tc>
      </w:tr>
      <w:tr w14:paraId="3937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55" w:type="dxa"/>
          </w:tcPr>
          <w:p w14:paraId="705EFA43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07</w:t>
            </w:r>
          </w:p>
        </w:tc>
        <w:tc>
          <w:tcPr>
            <w:tcW w:w="5715" w:type="dxa"/>
          </w:tcPr>
          <w:p w14:paraId="1DF758B5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Changements. Toute modification en production doit avoir un ticket, un test dans le lab, une validation, une plage horaire et un retour arrière.</w:t>
            </w:r>
          </w:p>
        </w:tc>
        <w:tc>
          <w:tcPr>
            <w:tcW w:w="2844" w:type="dxa"/>
          </w:tcPr>
          <w:p w14:paraId="4387D935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Échantillon de 5 changements avec ticket complet</w:t>
            </w:r>
          </w:p>
        </w:tc>
        <w:tc>
          <w:tcPr>
            <w:tcW w:w="871" w:type="dxa"/>
          </w:tcPr>
          <w:p w14:paraId="46B4640D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R2</w:t>
            </w:r>
          </w:p>
        </w:tc>
      </w:tr>
      <w:tr w14:paraId="585A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0D122BFF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08</w:t>
            </w:r>
          </w:p>
        </w:tc>
        <w:tc>
          <w:tcPr>
            <w:tcW w:w="5715" w:type="dxa"/>
          </w:tcPr>
          <w:p w14:paraId="1ADAFEEB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Accès réseau. Chaque équipement doit afficher une bannière d'avertissement légale à la connexion et fermer toute session d'administration inactive après 5 minutes.</w:t>
            </w:r>
          </w:p>
        </w:tc>
        <w:tc>
          <w:tcPr>
            <w:tcW w:w="2844" w:type="dxa"/>
          </w:tcPr>
          <w:p w14:paraId="1AE0DFF8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 running-config (banner motd, exec-timeout 5 0)</w:t>
            </w:r>
          </w:p>
        </w:tc>
        <w:tc>
          <w:tcPr>
            <w:tcW w:w="871" w:type="dxa"/>
          </w:tcPr>
          <w:p w14:paraId="5879D232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NSA, loi 2010/012</w:t>
            </w:r>
          </w:p>
        </w:tc>
      </w:tr>
      <w:tr w14:paraId="2A96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2FF35BD1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09</w:t>
            </w:r>
          </w:p>
        </w:tc>
        <w:tc>
          <w:tcPr>
            <w:tcW w:w="5715" w:type="dxa"/>
          </w:tcPr>
          <w:p w14:paraId="206AE8A0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Changements. Toute modification de configuration non déclarée doit être détectée ; la documentation est mise à jour sous 5 jours.</w:t>
            </w:r>
          </w:p>
        </w:tc>
        <w:tc>
          <w:tcPr>
            <w:tcW w:w="2844" w:type="dxa"/>
          </w:tcPr>
          <w:p w14:paraId="18B59CAD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Comparaison configuration courante et dépôt Git, date de mise à jour de la documentation</w:t>
            </w:r>
          </w:p>
        </w:tc>
        <w:tc>
          <w:tcPr>
            <w:tcW w:w="871" w:type="dxa"/>
          </w:tcPr>
          <w:p w14:paraId="733D13F5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R2</w:t>
            </w:r>
          </w:p>
        </w:tc>
      </w:tr>
      <w:tr w14:paraId="44E5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1EDF0665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10</w:t>
            </w:r>
          </w:p>
        </w:tc>
        <w:tc>
          <w:tcPr>
            <w:tcW w:w="5715" w:type="dxa"/>
          </w:tcPr>
          <w:p w14:paraId="0612816D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Dérogations. Toute exception à une règle doit faire l'objet d'une dérogation écrite : demandeur, motif, risque, mesure compensatoire, durée de 6 mois au plus, personne qui l'accepte.</w:t>
            </w:r>
          </w:p>
        </w:tc>
        <w:tc>
          <w:tcPr>
            <w:tcW w:w="2844" w:type="dxa"/>
          </w:tcPr>
          <w:p w14:paraId="7F0325AD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Dossiers de dérogation signés</w:t>
            </w:r>
          </w:p>
        </w:tc>
        <w:tc>
          <w:tcPr>
            <w:tcW w:w="871" w:type="dxa"/>
          </w:tcPr>
          <w:p w14:paraId="0369ADC3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Toutes</w:t>
            </w:r>
          </w:p>
        </w:tc>
      </w:tr>
      <w:tr w14:paraId="22D7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2E7057F0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RES-1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1</w:t>
            </w:r>
          </w:p>
        </w:tc>
        <w:tc>
          <w:tcPr>
            <w:tcW w:w="5715" w:type="dxa"/>
          </w:tcPr>
          <w:p w14:paraId="26D0B735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Sécurité physique. La salle serveurs et les armoires réseau doivent être fermées à clé, avec un registre des accès et une détection incendie testée chaque semestre.</w:t>
            </w:r>
          </w:p>
        </w:tc>
        <w:tc>
          <w:tcPr>
            <w:tcW w:w="2844" w:type="dxa"/>
          </w:tcPr>
          <w:p w14:paraId="0CA946DA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Registre d'accès signé, rapport de test du détecteur, contrôle visuel des serrures</w:t>
            </w:r>
          </w:p>
        </w:tc>
        <w:tc>
          <w:tcPr>
            <w:tcW w:w="871" w:type="dxa"/>
          </w:tcPr>
          <w:p w14:paraId="219C3471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R7</w:t>
            </w:r>
          </w:p>
        </w:tc>
      </w:tr>
      <w:tr w14:paraId="55116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55" w:type="dxa"/>
          </w:tcPr>
          <w:p w14:paraId="1784E807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RES-1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2</w:t>
            </w:r>
          </w:p>
        </w:tc>
        <w:tc>
          <w:tcPr>
            <w:tcW w:w="5715" w:type="dxa"/>
          </w:tcPr>
          <w:p w14:paraId="5CAE9979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Dérogations. Le registre des dérogations doit être revu chaque trimestre ; une dérogation échue rétablit la règle.</w:t>
            </w:r>
          </w:p>
        </w:tc>
        <w:tc>
          <w:tcPr>
            <w:tcW w:w="2844" w:type="dxa"/>
          </w:tcPr>
          <w:p w14:paraId="1DF64544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Registre revu, aucune dérogation échue active</w:t>
            </w:r>
          </w:p>
        </w:tc>
        <w:tc>
          <w:tcPr>
            <w:tcW w:w="871" w:type="dxa"/>
          </w:tcPr>
          <w:p w14:paraId="218CB94B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Toutes</w:t>
            </w:r>
          </w:p>
        </w:tc>
      </w:tr>
      <w:tr w14:paraId="763F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2717ADDE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RES-1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3</w:t>
            </w:r>
          </w:p>
        </w:tc>
        <w:tc>
          <w:tcPr>
            <w:tcW w:w="5715" w:type="dxa"/>
          </w:tcPr>
          <w:p w14:paraId="1526BB76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Contrôle. La colonne « preuve de contrôle » sert de grille d'audit, déroulée chaque année par le RSSI avec l'audit interne ; les écarts ont un plan de correction suivi.</w:t>
            </w:r>
          </w:p>
        </w:tc>
        <w:tc>
          <w:tcPr>
            <w:tcW w:w="2844" w:type="dxa"/>
          </w:tcPr>
          <w:p w14:paraId="78B6E7E5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Rapport d'audit annuel, plan de correction</w:t>
            </w:r>
          </w:p>
        </w:tc>
        <w:tc>
          <w:tcPr>
            <w:tcW w:w="871" w:type="dxa"/>
          </w:tcPr>
          <w:p w14:paraId="58386EDA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ISO 27001 clause 5.2</w:t>
            </w:r>
          </w:p>
        </w:tc>
      </w:tr>
      <w:tr w14:paraId="1484D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0BDDA25E">
            <w:pPr>
              <w:rPr>
                <w:rFonts w:hint="default"/>
                <w:vertAlign w:val="baseline"/>
                <w:lang w:val="fr-FR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RES-1</w:t>
            </w:r>
            <w:r>
              <w:rPr>
                <w:rFonts w:hint="default" w:ascii="Calibri" w:hAnsi="Calibri" w:eastAsia="Calibri" w:cs="Calibri"/>
                <w:b/>
                <w:bCs/>
                <w:sz w:val="20"/>
                <w:szCs w:val="20"/>
                <w:lang w:val="fr-FR"/>
              </w:rPr>
              <w:t>4</w:t>
            </w:r>
          </w:p>
        </w:tc>
        <w:tc>
          <w:tcPr>
            <w:tcW w:w="5715" w:type="dxa"/>
          </w:tcPr>
          <w:p w14:paraId="20112F23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Sensibilisation. Chaque employé doit suivre une formation annuelle contre l'hameçonnage, complétée par une simulation de courriel piégé (taux de clic visé : moins de 10 %).</w:t>
            </w:r>
          </w:p>
        </w:tc>
        <w:tc>
          <w:tcPr>
            <w:tcW w:w="2844" w:type="dxa"/>
          </w:tcPr>
          <w:p w14:paraId="6F457DC8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Liste d'émargement (300 sur 300), rapport de la campagne de simulation</w:t>
            </w:r>
          </w:p>
        </w:tc>
        <w:tc>
          <w:tcPr>
            <w:tcW w:w="871" w:type="dxa"/>
          </w:tcPr>
          <w:p w14:paraId="5BEEDE69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R1, CIS IG1</w:t>
            </w:r>
          </w:p>
        </w:tc>
      </w:tr>
      <w:tr w14:paraId="1E125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5" w:type="dxa"/>
          </w:tcPr>
          <w:p w14:paraId="5C53C349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RES-15</w:t>
            </w:r>
          </w:p>
        </w:tc>
        <w:tc>
          <w:tcPr>
            <w:tcW w:w="5715" w:type="dxa"/>
          </w:tcPr>
          <w:p w14:paraId="4C4C51CE">
            <w:p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Contrôle. Le non-respect des règles est sanctionné selon la charte ; toute capture, tout scan et tout test d'intrusion exigent une autorisation écrite.</w:t>
            </w:r>
          </w:p>
        </w:tc>
        <w:tc>
          <w:tcPr>
            <w:tcW w:w="2844" w:type="dxa"/>
          </w:tcPr>
          <w:p w14:paraId="7A60090E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Ordres de mission, tickets, charte signée</w:t>
            </w:r>
          </w:p>
        </w:tc>
        <w:tc>
          <w:tcPr>
            <w:tcW w:w="871" w:type="dxa"/>
          </w:tcPr>
          <w:p w14:paraId="0D4F4748">
            <w:pPr>
              <w:rPr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loi 2010/012 art. 65</w:t>
            </w:r>
          </w:p>
        </w:tc>
      </w:tr>
    </w:tbl>
    <w:p w14:paraId="1A218D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E63996"/>
    <w:rsid w:val="11E6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2026-10-29T04:49:00Z</dcterms:created>
  <dc:creator>sime david</dc:creator>
  <cp:lastModifiedBy>sime david</cp:lastModifiedBy>
  <dcterms:modified xsi:type="dcterms:W3CDTF">2026-10-29T05:07:36Z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1036-12.1.0.29162</vt:lpwstr>
  </property>
  <property fmtid="{D5CDD505-2E9C-101B-9397-08002B2CF9AE}" pid="3" name="ICV">
    <vt:lpwstr>0D492332B1414EDD9211C584FB8324E1_11</vt:lpwstr>
  </property>
  <property fmtid="{D5CDD505-2E9C-101B-9397-08002B2CF9AE}" pid="4" name="KSOTemplateDocerSaveRecord">
    <vt:lpwstr>eyJoZGlkIjoiMWFiN2NlOGQ2M2IwZjExMTE4MGUzN2ZkZDc4ODg0M2YiLCJ1c2VySWQiOiIxNjc2NzU2MTAzMjUxMSJ9</vt:lpwstr>
  </property>
</Properties>
</file>