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VALIDATOR TEAM BRIEFING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Dalet Option Pricer — Canton Network Featured Application</w:t>
      </w:r>
    </w:p>
    <w:p>
      <w:pPr>
        <w:spacing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February 2026  |  Dark Sole  |  ds@tokenisys.com</w:t>
      </w:r>
    </w:p>
    <w:p>
      <w:pPr>
        <w:pBdr>
          <w:bottom w:val="single" w:color="1B2A4A" w:sz="2" w:space="8"/>
        </w:pBd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What We Built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 Dalet Option Pricer is a fully functional European option pricing and risk analytics engine implemented as a Daml smart contract on the Canton Network. It computes option prices (call/put with deltas), CDF evaluations, and Value at Risk / Conditional Value at Risk using the Dalet distribution (Student-t, ν=2), which produces more realistic tail-risk estimates than the standard Normal/Black-Scholes model.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status: </w:t>
      </w:r>
      <w:r>
        <w:rPr>
          <w:rFonts w:ascii="Arial" w:cs="Arial" w:eastAsia="Arial" w:hAnsi="Arial"/>
          <w:sz w:val="22"/>
          <w:szCs w:val="22"/>
        </w:rPr>
        <w:t xml:space="preserve">All code compiled, all tests pass (25+ test cases), DAR artifact builds cleanly, runs on local Sandbox. Sponsorship secured.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hard technical work is done.</w:t>
      </w:r>
      <w:r>
        <w:rPr>
          <w:rFonts w:ascii="Arial" w:cs="Arial" w:eastAsia="Arial" w:hAnsi="Arial"/>
          <w:sz w:val="22"/>
          <w:szCs w:val="22"/>
        </w:rPr>
        <w:t xml:space="preserve"> What remains is infrastructure setup and Canton Network onboarding.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 service exposes three on-chain request types, each generating real Canton transactions: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RequestPrice</w:t>
      </w:r>
      <w:r>
        <w:rPr>
          <w:rFonts w:ascii="Arial" w:cs="Arial" w:eastAsia="Arial" w:hAnsi="Arial"/>
          <w:sz w:val="22"/>
          <w:szCs w:val="22"/>
        </w:rPr>
        <w:t xml:space="preserve"> — option pricing (call, put, deltas) for any European option parameters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RequestCDF</w:t>
      </w:r>
      <w:r>
        <w:rPr>
          <w:rFonts w:ascii="Arial" w:cs="Arial" w:eastAsia="Arial" w:hAnsi="Arial"/>
          <w:sz w:val="22"/>
          <w:szCs w:val="22"/>
        </w:rPr>
        <w:t xml:space="preserve"> — Dalet distribution CDF, survival, PDF, density integral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RequestRisk</w:t>
      </w:r>
      <w:r>
        <w:rPr>
          <w:rFonts w:ascii="Arial" w:cs="Arial" w:eastAsia="Arial" w:hAnsi="Arial"/>
          <w:sz w:val="22"/>
          <w:szCs w:val="22"/>
        </w:rPr>
        <w:t xml:space="preserve"> — VaR and CVaR at 95% and 99% confidence levels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Each request is a consuming choice: it archives the service contract, creates an immutable result record (dual-signed by operator and client), and re-creates the service. This produces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ledger events per request</w:t>
      </w:r>
      <w:r>
        <w:rPr>
          <w:rFonts w:ascii="Arial" w:cs="Arial" w:eastAsia="Arial" w:hAnsi="Arial"/>
          <w:sz w:val="22"/>
          <w:szCs w:val="22"/>
        </w:rPr>
        <w:t xml:space="preserve"> (1 archive + 2 creates), generating real transaction volume on the validator node.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How It Generates Canton Coin Rewards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Canton Network’s Featured Application Activity Markers program allocates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62% of all CC minting</w:t>
      </w:r>
      <w:r>
        <w:rPr>
          <w:rFonts w:ascii="Arial" w:cs="Arial" w:eastAsia="Arial" w:hAnsi="Arial"/>
          <w:sz w:val="22"/>
          <w:szCs w:val="22"/>
        </w:rPr>
        <w:t xml:space="preserve"> to featured applications. At the current minting rate of 10 billion CC per year, the app reward pool is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833 million CC per month</w:t>
      </w:r>
      <w:r>
        <w:rPr>
          <w:rFonts w:ascii="Arial" w:cs="Arial" w:eastAsia="Arial" w:hAnsi="Arial"/>
          <w:sz w:val="22"/>
          <w:szCs w:val="22"/>
        </w:rPr>
        <w:t xml:space="preserve"> (~516M CC cited by Canton documentation, with the difference due to rounding conventions).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mechanism: </w:t>
      </w:r>
      <w:r>
        <w:rPr>
          <w:rFonts w:ascii="Arial" w:cs="Arial" w:eastAsia="Arial" w:hAnsi="Arial"/>
          <w:sz w:val="22"/>
          <w:szCs w:val="22"/>
        </w:rPr>
        <w:t xml:space="preserve">Each RequestPrice, RequestCDF, and RequestRisk transaction generates activity weight. Featured apps earn CC proportional to their weight, subject 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100x cap per weight unit</w:t>
      </w:r>
      <w:r>
        <w:rPr>
          <w:rFonts w:ascii="Arial" w:cs="Arial" w:eastAsia="Arial" w:hAnsi="Arial"/>
          <w:sz w:val="22"/>
          <w:szCs w:val="22"/>
        </w:rPr>
        <w:t xml:space="preserve">. Under current low-competition conditions, this 100x cap is the binding constraint — not pool competition. This means our rewards scale linearly with our own transaction volume up to the cap ceiling.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Monthly Reward Scenarios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Based on Canton Coin Whitepaper parameters and current network conditions (illustrative CC/USD rate: $0.005):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960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Txns/Month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Weight/Round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USD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 (testing)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219,000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$1,095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app (1%)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525,600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876,000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$4,380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Medium app (5%)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2.6M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4,380,000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$21,900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app (10%)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8,760,000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$43,800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High-volume (25%)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21,900,000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$109,500</w:t>
            </w:r>
          </w:p>
        </w:tc>
      </w:tr>
    </w:tbl>
    <w:p>
      <w:pPr>
        <w:spacing w:after="160" w:before="80" w:line="276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scenarios assume featured app status. CC/USD rate is illustrative — check canton.thetie.io for current rate. Medium app (5% share) highlighted as realistic near-term target.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Competition Sensitivity (Your Weight Held at 10 CC/Round)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table shows what happens to rewards as more featured apps join the network. Rewards remain cap-limited (constant) until total featured weight exceeds ~1,000 per 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760"/>
        <w:gridCol w:w="1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Featured Weight/Round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Share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CC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USD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4,380,000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$21,900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Cap-limited (100x)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4,380,000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$21,900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Cap-limited (100x)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4,380,000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$21,900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Cap-limited (100x)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4,380,000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$21,900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Cap-limited (100x)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2,000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0.5%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2,580,000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$12,900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Pool-limited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0.2%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1,032,000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$5,160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C4400"/>
                <w:sz w:val="18"/>
                <w:szCs w:val="18"/>
              </w:rPr>
              <w:t xml:space="preserve">Pool-limited</w:t>
            </w:r>
          </w:p>
        </w:tc>
      </w:tr>
    </w:tbl>
    <w:p>
      <w:pPr>
        <w:spacing w:after="16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Takeaway: </w:t>
      </w:r>
      <w:r>
        <w:rPr>
          <w:rFonts w:ascii="Arial" w:cs="Arial" w:eastAsia="Arial" w:hAnsi="Arial"/>
          <w:sz w:val="22"/>
          <w:szCs w:val="22"/>
        </w:rPr>
        <w:t xml:space="preserve">At current low competition (estimated ~50 total featured weight/round), our rewards are entirely determined by our own activity level. The 100x cap protects us from dilution until competition increases roughly 20-fold. This is the window to establish the app and accumulate CC.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Deployment Status and Timeline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What’s done: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Daml modules compile and pass tests (daml test — 25+ test cases)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DAR artifact builds cleanly (daml build)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Runs on local Sandbox (daml start)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Sponsorship secured with a Super Validator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Full deployment guide written (DEPLOYMENT.md) covering LocalNet through MainNet</w:t>
      </w:r>
    </w:p>
    <w:p>
      <w:pPr>
        <w:spacing w:after="60" w:before="120" w:line="276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remains: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LocalNet (CN Quickstart)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 days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testing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DevNet whitelisting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2–7 days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Sponsor submits IP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GS infra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DevNet live + DAR upload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days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secret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Liveness rewards begin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TestNet approval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GSF Committee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staging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MainNet + Featured App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GSF Committee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 rewards active</w:t>
            </w:r>
          </w:p>
        </w:tc>
      </w:tr>
    </w:tbl>
    <w:p>
      <w:pPr>
        <w:spacing w:after="16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timeline: approximately 4–8 weeks to production and CC rewards.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No frontend is required for transaction generation. The service operates via the Canton Ledger API (gRPC) or Canton Console. Clients submit pricing/risk requests programmatically. A web frontend can be built later if needed for client-facing access (via the HTTP JSON API on port 7575), but it is not a dependency for launch or reward generation.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What the Validator Team Needs to Provide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or K8s: 4 vCPU, 16 GB RAM (e.g. AWS t3.xlarge, GCP e2-standard-4)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14+ (managed: AWS RDS, GCP Cloud SQL, Azure DB)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egress IP (required for SV whitelisting), port 443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OIDC provider: Auth0, Keycloak, or enterprise IdP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Compose 2.26+ or Kubernetes with Helm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GB+ SSD (database) + 20 GB (images/logs)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Action Items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Provision a VM or K8s cluster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 a fixed egress IP</w:t>
      </w:r>
      <w:r>
        <w:rPr>
          <w:rFonts w:ascii="Arial" w:cs="Arial" w:eastAsia="Arial" w:hAnsi="Arial"/>
          <w:sz w:val="22"/>
          <w:szCs w:val="22"/>
        </w:rPr>
        <w:t xml:space="preserve"> — this IP is submitted to Super Validators for whitelisting and is the first blocker.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Set up an OIDC provider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(Auth0 is simplest)</w:t>
      </w:r>
      <w:r>
        <w:rPr>
          <w:rFonts w:ascii="Arial" w:cs="Arial" w:eastAsia="Arial" w:hAnsi="Arial"/>
          <w:sz w:val="22"/>
          <w:szCs w:val="22"/>
        </w:rPr>
        <w:t xml:space="preserve"> — needs Client Credentials Grant (machine-to-machine) and Authorization Code Grant (wallet UI).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Provision PostgreSQL 14+ </w:t>
      </w:r>
      <w:r>
        <w:rPr>
          <w:rFonts w:ascii="Arial" w:cs="Arial" w:eastAsia="Arial" w:hAnsi="Arial"/>
          <w:sz w:val="22"/>
          <w:szCs w:val="22"/>
        </w:rPr>
        <w:t xml:space="preserve">— managed service recommended (RDS/Cloud SQL). This stores the Private Contract Store.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Confirm sponsor will submit the egress IP for DevNet whitelisting</w:t>
      </w:r>
      <w:r>
        <w:rPr>
          <w:rFonts w:ascii="Arial" w:cs="Arial" w:eastAsia="Arial" w:hAnsi="Arial"/>
          <w:sz w:val="22"/>
          <w:szCs w:val="22"/>
        </w:rPr>
        <w:t xml:space="preserve"> — separate IPs needed for DevNet, TestNet, and MainNet.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 handle everything else: </w:t>
      </w:r>
      <w:r>
        <w:rPr>
          <w:rFonts w:ascii="Arial" w:cs="Arial" w:eastAsia="Arial" w:hAnsi="Arial"/>
          <w:sz w:val="22"/>
          <w:szCs w:val="22"/>
        </w:rPr>
        <w:t xml:space="preserve">DAR upload, package vetting, party registration, service contract deployment, featured app application to GSF Committee.</w:t>
      </w:r>
    </w:p>
    <w:p>
      <w:pPr>
        <w:pBdr>
          <w:top w:val="single" w:color="1B2A4A" w:sz="2" w:space="8"/>
        </w:pBdr>
        <w:spacing w:before="360"/>
      </w:pP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The application is built and tested. With infrastructure in place and IP whitelisting submitted, we can be generating real Canton transactions and earning CC rewards within 4–8 weeks. Early-mover advantage under the current 100x cap makes the timing optimal.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Tokenisys (The Dark Sole Enterprise Ltd) — February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INTERNAL — Tokenisys Validator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2026-02-10T11:30:51.598Z</dcterms:created>
  <dcterms:modified xsi:type="dcterms:W3CDTF">2026-02-10T11:30:51.599Z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