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PONTIFICIA UNIVERSIDAD CATÓLICA DEL PERÚ</w:t>
      </w:r>
    </w:p>
    <w:p w:rsidR="00000000" w:rsidDel="00000000" w:rsidP="00000000" w:rsidRDefault="00000000" w:rsidRPr="00000000" w14:paraId="00000002">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FACULTAD DE CIENCIAS E INGENIERÍA</w:t>
      </w:r>
      <w:r w:rsidDel="00000000" w:rsidR="00000000" w:rsidRPr="00000000">
        <w:rPr>
          <w:rtl w:val="0"/>
        </w:rPr>
      </w:r>
    </w:p>
    <w:p w:rsidR="00000000" w:rsidDel="00000000" w:rsidP="00000000" w:rsidRDefault="00000000" w:rsidRPr="00000000" w14:paraId="00000003">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109059" cy="2088281"/>
            <wp:effectExtent b="0" l="0" r="0" t="0"/>
            <wp:docPr descr="A blue circle with white text and a ship in the water&#10;&#10;Description automatically generated" id="3" name="image1.png"/>
            <a:graphic>
              <a:graphicData uri="http://schemas.openxmlformats.org/drawingml/2006/picture">
                <pic:pic>
                  <pic:nvPicPr>
                    <pic:cNvPr descr="A blue circle with white text and a ship in the water&#10;&#10;Description automatically generated" id="0" name="image1.png"/>
                    <pic:cNvPicPr preferRelativeResize="0"/>
                  </pic:nvPicPr>
                  <pic:blipFill>
                    <a:blip r:embed="rId10"/>
                    <a:srcRect b="0" l="0" r="0" t="0"/>
                    <a:stretch>
                      <a:fillRect/>
                    </a:stretch>
                  </pic:blipFill>
                  <pic:spPr>
                    <a:xfrm>
                      <a:off x="0" y="0"/>
                      <a:ext cx="2109059" cy="208828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ESTRATEGIAS Y GESTIÓN DE SISTEMAS DE INFORMACIÓN</w:t>
      </w:r>
    </w:p>
    <w:p w:rsidR="00000000" w:rsidDel="00000000" w:rsidP="00000000" w:rsidRDefault="00000000" w:rsidRPr="00000000" w14:paraId="00000005">
      <w:pPr>
        <w:spacing w:line="480" w:lineRule="auto"/>
        <w:jc w:val="center"/>
        <w:rPr>
          <w:rFonts w:ascii="Times New Roman" w:cs="Times New Roman" w:eastAsia="Times New Roman" w:hAnsi="Times New Roman"/>
          <w:b w:val="1"/>
          <w:bCs w:val="1"/>
        </w:rPr>
      </w:pPr>
      <w:commentRangeStart w:id="0"/>
      <w:r w:rsidDel="00000000" w:rsidR="00000000" w:rsidRPr="00000000">
        <w:rPr>
          <w:rFonts w:ascii="Times New Roman" w:cs="Times New Roman" w:eastAsia="Times New Roman" w:hAnsi="Times New Roman"/>
          <w:b w:val="1"/>
          <w:bCs w:val="1"/>
          <w:rtl w:val="0"/>
        </w:rPr>
        <w:t xml:space="preserve">Entrega 1</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line="480"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7">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AUTORES:</w:t>
      </w:r>
    </w:p>
    <w:p w:rsidR="00000000" w:rsidDel="00000000" w:rsidP="00000000" w:rsidRDefault="00000000" w:rsidRPr="00000000" w14:paraId="00000008">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SALAS COHAILA, Gabriel Lucio - 20200606</w:t>
      </w:r>
    </w:p>
    <w:p w:rsidR="00000000" w:rsidDel="00000000" w:rsidP="00000000" w:rsidRDefault="00000000" w:rsidRPr="00000000" w14:paraId="00000009">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CHAMORRO CAYETANO, Jorge Josue - 20206234</w:t>
      </w:r>
    </w:p>
    <w:p w:rsidR="00000000" w:rsidDel="00000000" w:rsidP="00000000" w:rsidRDefault="00000000" w:rsidRPr="00000000" w14:paraId="0000000A">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SANCHEZ PASTOR, Rodrigo Alonso - 20201230</w:t>
      </w:r>
    </w:p>
    <w:p w:rsidR="00000000" w:rsidDel="00000000" w:rsidP="00000000" w:rsidRDefault="00000000" w:rsidRPr="00000000" w14:paraId="0000000B">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SANTILLÁN HUAMÁN, Aarón Ulises - 20200445</w:t>
      </w:r>
    </w:p>
    <w:p w:rsidR="00000000" w:rsidDel="00000000" w:rsidP="00000000" w:rsidRDefault="00000000" w:rsidRPr="00000000" w14:paraId="0000000C">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ORIHUELA MONTERO, Johnny Fabricio - 20211000</w:t>
      </w:r>
    </w:p>
    <w:p w:rsidR="00000000" w:rsidDel="00000000" w:rsidP="00000000" w:rsidRDefault="00000000" w:rsidRPr="00000000" w14:paraId="0000000D">
      <w:pPr>
        <w:numPr>
          <w:ilvl w:val="0"/>
          <w:numId w:val="2"/>
        </w:numPr>
        <w:spacing w:line="480" w:lineRule="auto"/>
        <w:ind w:left="720" w:hanging="360"/>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PROFESOR:</w:t>
      </w:r>
    </w:p>
    <w:p w:rsidR="00000000" w:rsidDel="00000000" w:rsidP="00000000" w:rsidRDefault="00000000" w:rsidRPr="00000000" w14:paraId="0000000F">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0">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1">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2">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3">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Lima, agosto, 2026</w:t>
      </w:r>
    </w:p>
    <w:p w:rsidR="00000000" w:rsidDel="00000000" w:rsidP="00000000" w:rsidRDefault="00000000" w:rsidRPr="00000000" w14:paraId="00000014">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5">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6">
      <w:pPr>
        <w:spacing w:line="48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w:t>
      </w:r>
    </w:p>
    <w:sdt>
      <w:sdtPr>
        <w:id w:val="1690700529"/>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2pkmoo4juw18">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 Descripción de la empresa</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roonidc01yof">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1.1. Identificación</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z60f5u89qbhv">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 Tamaño y participación de mercado</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w1piczq241gu">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1.3. Servicios y segmentos</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z2jusr2ilh7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 Canales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8jpcjb8fteqs">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1.5. Tipos de clientes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ev1213koqrs1">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1.6. Situación actual</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7l5gw78uxg9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1.7. Sistemas existentes</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lw60c8p8frc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1.8. Business Model Canvas</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tqwlbgle03yu">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2. Objetivos estratégicos del negocio y procesos críticos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49xqzspbsste">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2.1. Objetivos estratégicos</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tosgnrhasqtx">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2.2. Inventarios de procesos</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frsmtn7zpxy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2.3. Procesos críticos</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at2p2npcubj4">
            <w:r w:rsidDel="00000000" w:rsidR="00000000" w:rsidRPr="00000000">
              <w:rPr>
                <w:rFonts w:ascii="Times New Roman" w:cs="Times New Roman" w:eastAsia="Times New Roman" w:hAnsi="Times New Roman"/>
                <w:b w:val="1"/>
                <w:bCs w:val="1"/>
                <w:color w:val="000000"/>
                <w:u w:val="none"/>
                <w:rtl w:val="0"/>
              </w:rPr>
              <w:t xml:space="preserve">3. Análisis de competitividad</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uipuv34bifbe">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4. Referencias bibliográficas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spacing w:line="480"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7">
      <w:pPr>
        <w:spacing w:line="480" w:lineRule="auto"/>
        <w:jc w:val="left"/>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2pkmoo4juw18" w:id="0"/>
      <w:bookmarkEnd w:id="0"/>
      <w:r w:rsidDel="00000000" w:rsidR="00000000" w:rsidRPr="00000000">
        <w:rPr>
          <w:rFonts w:ascii="Times New Roman" w:cs="Times New Roman" w:eastAsia="Times New Roman" w:hAnsi="Times New Roman"/>
          <w:b w:val="1"/>
          <w:bCs w:val="1"/>
          <w:sz w:val="22"/>
          <w:szCs w:val="22"/>
          <w:rtl w:val="0"/>
        </w:rPr>
        <w:t xml:space="preserve">Descripción de la empresa</w:t>
      </w:r>
    </w:p>
    <w:p w:rsidR="00000000" w:rsidDel="00000000" w:rsidP="00000000" w:rsidRDefault="00000000" w:rsidRPr="00000000" w14:paraId="00000029">
      <w:pPr>
        <w:pStyle w:val="Heading2"/>
        <w:numPr>
          <w:ilvl w:val="1"/>
          <w:numId w:val="1"/>
        </w:numPr>
        <w:spacing w:before="200" w:lineRule="auto"/>
        <w:ind w:left="1440" w:hanging="360"/>
        <w:rPr>
          <w:rFonts w:ascii="Times New Roman" w:cs="Times New Roman" w:eastAsia="Times New Roman" w:hAnsi="Times New Roman"/>
          <w:b w:val="1"/>
          <w:bCs w:val="1"/>
          <w:sz w:val="22"/>
          <w:szCs w:val="22"/>
        </w:rPr>
      </w:pPr>
      <w:bookmarkStart w:colFirst="0" w:colLast="0" w:name="_roonidc01yof" w:id="1"/>
      <w:bookmarkEnd w:id="1"/>
      <w:r w:rsidDel="00000000" w:rsidR="00000000" w:rsidRPr="00000000">
        <w:rPr>
          <w:rFonts w:ascii="Times New Roman" w:cs="Times New Roman" w:eastAsia="Times New Roman" w:hAnsi="Times New Roman"/>
          <w:b w:val="1"/>
          <w:bCs w:val="1"/>
          <w:sz w:val="22"/>
          <w:szCs w:val="22"/>
          <w:rtl w:val="0"/>
        </w:rPr>
        <w:t xml:space="preserve">Identificación</w:t>
      </w:r>
    </w:p>
    <w:p w:rsidR="00000000" w:rsidDel="00000000" w:rsidP="00000000" w:rsidRDefault="00000000" w:rsidRPr="00000000" w14:paraId="0000002A">
      <w:pPr>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Banco BBVA Perú es una sociedad anónima abierta constituida en 1951 y autorizada para operar como entidad bancaria bajo supervisión de la Superintendencia de Banca, Seguros y AFP. Su actividad corresponde a la banca múltiple: capta recursos, concede financiamiento, procesa pagos, administra inversiones y presta servicios financieros a personas, empresas e instituciones. La entidad opera con el RUC 20100130204 y tiene su sede principal en la avenida República de Panamá 3055, San Isidro, Lima (Banco BBVA Perú, 2026b; BBVA Perú, s. f.).</w:t>
      </w:r>
    </w:p>
    <w:p w:rsidR="00000000" w:rsidDel="00000000" w:rsidP="00000000" w:rsidRDefault="00000000" w:rsidRPr="00000000" w14:paraId="0000002B">
      <w:pPr>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propiedad se concentra en dos accionistas con participaciones equivalentes: BBVA Perú Holding S. A. C., vinculada al Grupo BBVA, y Holding Continental S. A., vinculada al Grupo Breca, cada una con 47.13 %; el 5.74 % restante se encuentra distribuido entre otros accionistas. Esta composición combina capacidades de un grupo financiero internacional con conocimiento y presencia empresarial local (Banco BBVA Perú, 2026b).</w:t>
      </w:r>
    </w:p>
    <w:p w:rsidR="00000000" w:rsidDel="00000000" w:rsidP="00000000" w:rsidRDefault="00000000" w:rsidRPr="00000000" w14:paraId="0000002C">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w:t>
      </w:r>
    </w:p>
    <w:p w:rsidR="00000000" w:rsidDel="00000000" w:rsidP="00000000" w:rsidRDefault="00000000" w:rsidRPr="00000000" w14:paraId="0000002E">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Ficha general de Banco BBVA Perú</w:t>
      </w:r>
    </w:p>
    <w:tbl>
      <w:tblPr>
        <w:tblStyle w:val="Table1"/>
        <w:tblW w:w="8385.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6030"/>
        <w:tblGridChange w:id="0">
          <w:tblGrid>
            <w:gridCol w:w="2355"/>
            <w:gridCol w:w="6030"/>
          </w:tblGrid>
        </w:tblGridChange>
      </w:tblGrid>
      <w:tr>
        <w:trPr>
          <w:cantSplit w:val="0"/>
          <w:trHeight w:val="423.251408051408"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2F">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Campo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30">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Descripción</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Razón social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line="252.00000000000003" w:lineRule="auto"/>
              <w:ind w:right="-316.4173228346453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Banco BBVA Perú</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Sector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4">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Servicios financieros - banca múltiple</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Naturaleza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Sociedad anónima abierta, supervisada por la SBS</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RUC</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20100130204</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9">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Año de constitución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A">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1951</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Sede principal</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 República de Panamá 3055, San Isidro, Lima</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Ámbito del informe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bancaria en el mercado peruano</w:t>
            </w:r>
          </w:p>
        </w:tc>
      </w:tr>
    </w:tbl>
    <w:p w:rsidR="00000000" w:rsidDel="00000000" w:rsidP="00000000" w:rsidRDefault="00000000" w:rsidRPr="00000000" w14:paraId="0000003F">
      <w:pPr>
        <w:spacing w:after="160" w:before="200" w:lineRule="auto"/>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(2026b) y BBVA Perú (s. f.).</w:t>
      </w:r>
      <w:r w:rsidDel="00000000" w:rsidR="00000000" w:rsidRPr="00000000">
        <w:rPr>
          <w:rtl w:val="0"/>
        </w:rPr>
      </w:r>
    </w:p>
    <w:p w:rsidR="00000000" w:rsidDel="00000000" w:rsidP="00000000" w:rsidRDefault="00000000" w:rsidRPr="00000000" w14:paraId="00000040">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z60f5u89qbhv" w:id="2"/>
      <w:bookmarkEnd w:id="2"/>
      <w:r w:rsidDel="00000000" w:rsidR="00000000" w:rsidRPr="00000000">
        <w:rPr>
          <w:rFonts w:ascii="Times New Roman" w:cs="Times New Roman" w:eastAsia="Times New Roman" w:hAnsi="Times New Roman"/>
          <w:b w:val="1"/>
          <w:bCs w:val="1"/>
          <w:sz w:val="22"/>
          <w:szCs w:val="22"/>
          <w:rtl w:val="0"/>
        </w:rPr>
        <w:t xml:space="preserve">Tamaño y participación de mercado</w:t>
      </w:r>
    </w:p>
    <w:p w:rsidR="00000000" w:rsidDel="00000000" w:rsidP="00000000" w:rsidRDefault="00000000" w:rsidRPr="00000000" w14:paraId="00000041">
      <w:pPr>
        <w:spacing w:after="160" w:lineRule="auto"/>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su escala financiera, número de clientes, red de atención y dotación de personal, BBVA Perú puede clasificarse como una organización grande y sistémicamente relevante dentro de la banca peruana. Al 30 de junio de 2026 registró S/ 117,146 millones en activos y S/ 82,194 millones en colocaciones netas; en el primer semestre obtuvo una utilidad neta de S/ 1,465 millones, 32.3 % superior a la del mismo periodo de 2025 (Banco BBVA Perú, 2026a, pp. 20-21).</w:t>
      </w:r>
    </w:p>
    <w:p w:rsidR="00000000" w:rsidDel="00000000" w:rsidP="00000000" w:rsidRDefault="00000000" w:rsidRPr="00000000" w14:paraId="00000042">
      <w:pPr>
        <w:ind w:left="720" w:hanging="11.338582677165334"/>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Figura 1</w:t>
      </w:r>
    </w:p>
    <w:p w:rsidR="00000000" w:rsidDel="00000000" w:rsidP="00000000" w:rsidRDefault="00000000" w:rsidRPr="00000000" w14:paraId="00000043">
      <w:pPr>
        <w:spacing w:after="100" w:lineRule="auto"/>
        <w:ind w:left="720" w:hanging="11.338582677165334"/>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Escala financiera de BBVA Perú al 30 de junio de 2026</w:t>
      </w:r>
    </w:p>
    <w:p w:rsidR="00000000" w:rsidDel="00000000" w:rsidP="00000000" w:rsidRDefault="00000000" w:rsidRPr="00000000" w14:paraId="00000044">
      <w:pPr>
        <w:spacing w:after="40" w:lineRule="auto"/>
        <w:ind w:left="705" w:firstLine="0"/>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5348023" cy="2347913"/>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48023" cy="2347913"/>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160" w:before="40" w:lineRule="auto"/>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Los importes se expresan en miles de millones de soles. Elaboración propia con datos de Banco BBVA Perú (2026a, p. 20).</w:t>
      </w:r>
    </w:p>
    <w:p w:rsidR="00000000" w:rsidDel="00000000" w:rsidP="00000000" w:rsidRDefault="00000000" w:rsidRPr="00000000" w14:paraId="00000046">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2</w:t>
      </w:r>
    </w:p>
    <w:p w:rsidR="00000000" w:rsidDel="00000000" w:rsidP="00000000" w:rsidRDefault="00000000" w:rsidRPr="00000000" w14:paraId="00000047">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Indicadores de dimensión y desempeño</w:t>
      </w:r>
    </w:p>
    <w:tbl>
      <w:tblPr>
        <w:tblStyle w:val="Table2"/>
        <w:tblW w:w="8400.0" w:type="dxa"/>
        <w:jc w:val="left"/>
        <w:tblInd w:w="6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830"/>
        <w:gridCol w:w="3930"/>
        <w:tblGridChange w:id="0">
          <w:tblGrid>
            <w:gridCol w:w="2640"/>
            <w:gridCol w:w="1830"/>
            <w:gridCol w:w="3930"/>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48">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Indicador</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49">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Valor</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4A">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Periodo / lectura</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4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Activo total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4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117,146 millones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4D">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+7.6 %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4E">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Colocaciones netas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4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82,194 millones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0">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+10.4 %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Obligaciones con el público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87,202 millones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3">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+14.5 %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Patrimonio neto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15,217 millones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+12.1 % interanual</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Utilidad neta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1,465 millones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Acumulada a junio de 2026; +32.3 %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A">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Clientes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9,465,848</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 de 2025; personas y personas jurídicas</w:t>
            </w:r>
          </w:p>
        </w:tc>
      </w:tr>
      <w:tr>
        <w:trPr>
          <w:cantSplit w:val="0"/>
          <w:trHeight w:val="9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Posiciones estructurales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7,092</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52.5 % mujeres y 47.5 % hombres</w:t>
            </w:r>
          </w:p>
        </w:tc>
      </w:tr>
    </w:tbl>
    <w:p w:rsidR="00000000" w:rsidDel="00000000" w:rsidP="00000000" w:rsidRDefault="00000000" w:rsidRPr="00000000" w14:paraId="00000060">
      <w:pPr>
        <w:spacing w:after="160" w:before="40" w:lineRule="auto"/>
        <w:ind w:left="1275.5905511811022"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(2026a, pp. 6 y 20-21) y Banco BBVA Perú (2026b).</w:t>
      </w:r>
      <w:r w:rsidDel="00000000" w:rsidR="00000000" w:rsidRPr="00000000">
        <w:rPr>
          <w:rtl w:val="0"/>
        </w:rPr>
      </w:r>
    </w:p>
    <w:p w:rsidR="00000000" w:rsidDel="00000000" w:rsidP="00000000" w:rsidRDefault="00000000" w:rsidRPr="00000000" w14:paraId="00000061">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w1piczq241gu" w:id="3"/>
      <w:bookmarkEnd w:id="3"/>
      <w:r w:rsidDel="00000000" w:rsidR="00000000" w:rsidRPr="00000000">
        <w:rPr>
          <w:rFonts w:ascii="Times New Roman" w:cs="Times New Roman" w:eastAsia="Times New Roman" w:hAnsi="Times New Roman"/>
          <w:b w:val="1"/>
          <w:bCs w:val="1"/>
          <w:sz w:val="22"/>
          <w:szCs w:val="22"/>
          <w:rtl w:val="0"/>
        </w:rPr>
        <w:t xml:space="preserve">Servicios y segmentos</w:t>
      </w:r>
    </w:p>
    <w:p w:rsidR="00000000" w:rsidDel="00000000" w:rsidP="00000000" w:rsidRDefault="00000000" w:rsidRPr="00000000" w14:paraId="00000062">
      <w:pPr>
        <w:spacing w:after="160" w:lineRule="auto"/>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BBVA Perú opera como banco universal. Su portafolio cubre necesidades de administración cotidiana del dinero, ahorro, inversión, protección, financiamiento y gestión transaccional. En el segmento de personas ofrece cuentas, depósitos, tarjetas, préstamos de consumo, créditos hipotecarios y vehiculares, fondos mutuos, seguros y operaciones de cambio. Para empresas añade capital de trabajo, financiamiento estructurado, cash management, comercio exterior, pagos, planillas y servicios de mercado. En corporaciones e instituciones incorpora Global Transaction Banking, Global Markets y banca de inversión (Banco BBVA Perú, 2026b).</w:t>
      </w:r>
    </w:p>
    <w:p w:rsidR="00000000" w:rsidDel="00000000" w:rsidP="00000000" w:rsidRDefault="00000000" w:rsidRPr="00000000" w14:paraId="00000063">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3</w:t>
      </w:r>
    </w:p>
    <w:p w:rsidR="00000000" w:rsidDel="00000000" w:rsidP="00000000" w:rsidRDefault="00000000" w:rsidRPr="00000000" w14:paraId="00000064">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Servicios agrupados por segmento y necesidad del cliente</w:t>
      </w:r>
    </w:p>
    <w:tbl>
      <w:tblPr>
        <w:tblStyle w:val="Table3"/>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640"/>
        <w:gridCol w:w="3975"/>
        <w:tblGridChange w:id="0">
          <w:tblGrid>
            <w:gridCol w:w="1710"/>
            <w:gridCol w:w="2640"/>
            <w:gridCol w:w="397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65">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Segmento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66">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Necesidad principal</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67">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Servicios representativos</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8">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Personas - mercado masivo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Recibir, custodiar, pagar y financiar necesidades personales.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A">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Cuentas, tarjetas, transferencias, Plin, préstamos de consumo, hipotecas, créditos vehiculares y seguros.</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6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Personas de alto valor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6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Preservar y hacer crecer el patrimonio con asesoramiento.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6D">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Depósitos, fondos mutuos, inversiones, banca privada, seguros y soluciones cambiarias.</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E">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Pymes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Sostener liquidez, cobrar, pagar y financiar el crecimiento.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0">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Cuentas empresa, capital de trabajo, recaudación, pagos, planillas, comercio exterior y Net Cash.</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7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Empresas e instituciones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7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Gestionar tesorería y financiar operaciones de mayor escala.</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73">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management, financiamiento, comercio exterior, mercados, coberturas y soluciones sostenibles.</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Corporaciones / CIB</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Estructurar decisiones financieras complejas y transfronterizas.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Transaction Banking, Global Markets e Investment Banking &amp; Finance.</w:t>
            </w:r>
          </w:p>
        </w:tc>
      </w:tr>
    </w:tbl>
    <w:p w:rsidR="00000000" w:rsidDel="00000000" w:rsidP="00000000" w:rsidRDefault="00000000" w:rsidRPr="00000000" w14:paraId="00000077">
      <w:pPr>
        <w:spacing w:after="160" w:before="40" w:lineRule="auto"/>
        <w:ind w:left="99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la segmentación y oferta declaradas por Banco BBVA Perú (2026b).</w:t>
      </w:r>
      <w:r w:rsidDel="00000000" w:rsidR="00000000" w:rsidRPr="00000000">
        <w:rPr>
          <w:rtl w:val="0"/>
        </w:rPr>
      </w:r>
    </w:p>
    <w:p w:rsidR="00000000" w:rsidDel="00000000" w:rsidP="00000000" w:rsidRDefault="00000000" w:rsidRPr="00000000" w14:paraId="00000078">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z2jusr2ilh79" w:id="4"/>
      <w:bookmarkEnd w:id="4"/>
      <w:r w:rsidDel="00000000" w:rsidR="00000000" w:rsidRPr="00000000">
        <w:rPr>
          <w:rFonts w:ascii="Times New Roman" w:cs="Times New Roman" w:eastAsia="Times New Roman" w:hAnsi="Times New Roman"/>
          <w:b w:val="1"/>
          <w:bCs w:val="1"/>
          <w:sz w:val="22"/>
          <w:szCs w:val="22"/>
          <w:rtl w:val="0"/>
        </w:rPr>
        <w:t xml:space="preserve">Canales</w:t>
      </w:r>
    </w:p>
    <w:p w:rsidR="00000000" w:rsidDel="00000000" w:rsidP="00000000" w:rsidRDefault="00000000" w:rsidRPr="00000000" w14:paraId="00000079">
      <w:pPr>
        <w:spacing w:after="160" w:lineRule="auto"/>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modelo de atención es omnicanal. La aplicación móvil es el principal canal transaccional, mientras la web, la red física, los cajeros, los agentes corresponsales y los canales asistidos cubren necesidades de autoservicio, asesoría o contingencia. Al cierre del segundo trimestre de 2026, la app concentró 85 % de las operaciones monetarias, superó los tres millones de usuarios activos y acumuló más de 350 millones de transacciones; las ventas digitales representaron 79.57 % de las ventas totales del banco (Banco BBVA Perú, 2026a, p. 3).</w:t>
      </w:r>
    </w:p>
    <w:p w:rsidR="00000000" w:rsidDel="00000000" w:rsidP="00000000" w:rsidRDefault="00000000" w:rsidRPr="00000000" w14:paraId="0000007A">
      <w:pPr>
        <w:spacing w:line="21.818181818181817"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 </w:t>
      </w:r>
    </w:p>
    <w:p w:rsidR="00000000" w:rsidDel="00000000" w:rsidP="00000000" w:rsidRDefault="00000000" w:rsidRPr="00000000" w14:paraId="0000007B">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Figura 2</w:t>
      </w:r>
    </w:p>
    <w:p w:rsidR="00000000" w:rsidDel="00000000" w:rsidP="00000000" w:rsidRDefault="00000000" w:rsidRPr="00000000" w14:paraId="0000007C">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Intensidad digital y penetración de ventas por producto</w:t>
      </w:r>
    </w:p>
    <w:p w:rsidR="00000000" w:rsidDel="00000000" w:rsidP="00000000" w:rsidRDefault="00000000" w:rsidRPr="00000000" w14:paraId="0000007D">
      <w:pPr>
        <w:spacing w:after="4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4842038" cy="2563992"/>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842038" cy="2563992"/>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160" w:before="40" w:lineRule="auto"/>
        <w:ind w:left="708.6614173228347"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Las dos primeras barras corresponden a participación de operaciones y ventas; las cuatro restantes, a penetración digital por producto. Elaboración propia con datos de Banco BBVA Perú (2026a, p. 3).</w:t>
      </w:r>
    </w:p>
    <w:p w:rsidR="00000000" w:rsidDel="00000000" w:rsidP="00000000" w:rsidRDefault="00000000" w:rsidRPr="00000000" w14:paraId="0000007F">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4</w:t>
      </w:r>
    </w:p>
    <w:p w:rsidR="00000000" w:rsidDel="00000000" w:rsidP="00000000" w:rsidRDefault="00000000" w:rsidRPr="00000000" w14:paraId="00000080">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Canales y función dentro de la experiencia</w:t>
      </w:r>
    </w:p>
    <w:tbl>
      <w:tblPr>
        <w:tblStyle w:val="Table4"/>
        <w:tblW w:w="8280.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925"/>
        <w:gridCol w:w="3780"/>
        <w:tblGridChange w:id="0">
          <w:tblGrid>
            <w:gridCol w:w="1575"/>
            <w:gridCol w:w="2925"/>
            <w:gridCol w:w="3780"/>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81">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Canal</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82">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Función predominante</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83">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Evidencia / alcance</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App BBVA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Autoservicio, pagos, contratación y seguimiento.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 de operaciones monetarias; más de 3 millones de usuarios activos a junio de 2026.</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Banca por internet</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Operaciones y consultas desde navegador.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Complementa la app y soporta operaciones que requieren mayor detalle.</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A">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Plin y QR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Pagos inmediatos e interoperables.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Plin fue la funcionalidad preferida de la app en el segundo trimestre de 2026.</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BBVA Net Cash</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financiera de empresas.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Pagos, tesorería, recaudación y consulta para clientes empresariales.</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Oficinas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Asesoría y resolución de operaciones complejas.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277 oficinas al cierre de 2025; sistema de citas digitales desplegado.</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9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ATM y Agentes Express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94">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física y cobertura de efectivo.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9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1,988 cajeros y 7,489 agentes al cierre de 2025.</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6">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Blue / Blue Buddy</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7">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Atención conversacional y apoyo a la red.</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Blue Buddy incorporó trazabilidad de reclamos y ofertas personalizadas; 90 % de adopción interna reportada en junio de 2026.</w:t>
            </w:r>
          </w:p>
        </w:tc>
      </w:tr>
    </w:tbl>
    <w:p w:rsidR="00000000" w:rsidDel="00000000" w:rsidP="00000000" w:rsidRDefault="00000000" w:rsidRPr="00000000" w14:paraId="00000099">
      <w:pPr>
        <w:spacing w:after="160" w:before="40" w:lineRule="auto"/>
        <w:ind w:left="708.6614173228347"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(2026a, pp. 3-4) y Banco BBVA Perú (2026b).</w:t>
      </w:r>
      <w:r w:rsidDel="00000000" w:rsidR="00000000" w:rsidRPr="00000000">
        <w:rPr>
          <w:rtl w:val="0"/>
        </w:rPr>
      </w:r>
    </w:p>
    <w:p w:rsidR="00000000" w:rsidDel="00000000" w:rsidP="00000000" w:rsidRDefault="00000000" w:rsidRPr="00000000" w14:paraId="0000009A">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8jpcjb8fteqs" w:id="5"/>
      <w:bookmarkEnd w:id="5"/>
      <w:r w:rsidDel="00000000" w:rsidR="00000000" w:rsidRPr="00000000">
        <w:rPr>
          <w:rFonts w:ascii="Times New Roman" w:cs="Times New Roman" w:eastAsia="Times New Roman" w:hAnsi="Times New Roman"/>
          <w:b w:val="1"/>
          <w:bCs w:val="1"/>
          <w:sz w:val="22"/>
          <w:szCs w:val="22"/>
          <w:rtl w:val="0"/>
        </w:rPr>
        <w:t xml:space="preserve">Tipos de clientes</w:t>
      </w:r>
    </w:p>
    <w:p w:rsidR="00000000" w:rsidDel="00000000" w:rsidP="00000000" w:rsidRDefault="00000000" w:rsidRPr="00000000" w14:paraId="0000009B">
      <w:pPr>
        <w:spacing w:after="160" w:lineRule="auto"/>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base de clientes es heterogénea en valor, comportamiento, complejidad regulatoria y necesidad de asesoramiento. En personas coexisten clientes de mercado masivo y patrimoniales; en negocios se distingue entre pymes, empresas, grandes empresas, corporaciones e instituciones. Esta segmentación exige propuestas diferenciadas, pero también una visión integrada del cliente que evite fragmentar su información entre productos y canales.</w:t>
      </w:r>
    </w:p>
    <w:p w:rsidR="00000000" w:rsidDel="00000000" w:rsidP="00000000" w:rsidRDefault="00000000" w:rsidRPr="00000000" w14:paraId="0000009C">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5</w:t>
      </w:r>
    </w:p>
    <w:p w:rsidR="00000000" w:rsidDel="00000000" w:rsidP="00000000" w:rsidRDefault="00000000" w:rsidRPr="00000000" w14:paraId="0000009D">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Segmentos de clientes considerados en el análisis</w:t>
      </w:r>
    </w:p>
    <w:tbl>
      <w:tblPr>
        <w:tblStyle w:val="Table5"/>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370"/>
        <w:gridCol w:w="4185"/>
        <w:tblGridChange w:id="0">
          <w:tblGrid>
            <w:gridCol w:w="1770"/>
            <w:gridCol w:w="2370"/>
            <w:gridCol w:w="418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9E">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Macrosegmento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9F">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Subsegmentos</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A0">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Rasgos de servicio</w:t>
            </w:r>
          </w:p>
        </w:tc>
      </w:tr>
      <w:tr>
        <w:trPr>
          <w:cantSplit w:val="0"/>
          <w:trHeight w:val="501.994628906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Personas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Mercado masivo y personas de alto valor.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Alto volumen, autoservicio digital, personalización, asesoría patrimonial en los estratos de mayor valor.</w:t>
            </w:r>
          </w:p>
        </w:tc>
      </w:tr>
      <w:tr>
        <w:trPr>
          <w:cantSplit w:val="0"/>
          <w:trHeight w:val="55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Negocios y pymes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Emprendimientos, pymes y pymes de alto valor.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Necesidad de rapidez, liquidez, recaudo, pagos y crédito con información empresarial diversa.</w:t>
            </w:r>
          </w:p>
        </w:tc>
      </w:tr>
      <w:tr>
        <w:trPr>
          <w:cantSplit w:val="0"/>
          <w:trHeight w:val="27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Empresas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Empresarial y gran empresa.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Atención especializada, cash management, comercio exterior y financiamiento estructurado.</w:t>
            </w:r>
          </w:p>
        </w:tc>
      </w:tr>
      <w:tr>
        <w:trPr>
          <w:cantSplit w:val="0"/>
          <w:trHeight w:val="194.663085937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A">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Corporaciones e instituciones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Corporativo, institucional y clientes CIB.</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Operaciones complejas, gestión de riesgos, mercados y cobertura internacional.</w:t>
            </w:r>
          </w:p>
        </w:tc>
      </w:tr>
    </w:tbl>
    <w:p w:rsidR="00000000" w:rsidDel="00000000" w:rsidP="00000000" w:rsidRDefault="00000000" w:rsidRPr="00000000" w14:paraId="000000AD">
      <w:pPr>
        <w:spacing w:after="160" w:before="40" w:lineRule="auto"/>
        <w:ind w:left="708.6614173228347"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(2026b).</w:t>
      </w:r>
    </w:p>
    <w:p w:rsidR="00000000" w:rsidDel="00000000" w:rsidP="00000000" w:rsidRDefault="00000000" w:rsidRPr="00000000" w14:paraId="000000AE">
      <w:pPr>
        <w:spacing w:after="160" w:lineRule="auto"/>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memoria anual reporta 9,465,848 clientes al cierre de 2025, mientras que el informe de gestión informa más de tres millones de usuarios activos en la app a junio de 2026. Estas magnitudes no deben dividirse de manera directa: corresponden a fechas, universos y definiciones distintas, y la categoría de cliente total incluye personas jurídicas. En consecuencia, cualquier conclusión sobre activación o abandono digital requerirá una línea base homogénea y evidencia adicional.</w:t>
      </w:r>
      <w:r w:rsidDel="00000000" w:rsidR="00000000" w:rsidRPr="00000000">
        <w:rPr>
          <w:rtl w:val="0"/>
        </w:rPr>
      </w:r>
    </w:p>
    <w:p w:rsidR="00000000" w:rsidDel="00000000" w:rsidP="00000000" w:rsidRDefault="00000000" w:rsidRPr="00000000" w14:paraId="000000AF">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ev1213koqrs1" w:id="6"/>
      <w:bookmarkEnd w:id="6"/>
      <w:r w:rsidDel="00000000" w:rsidR="00000000" w:rsidRPr="00000000">
        <w:rPr>
          <w:rFonts w:ascii="Times New Roman" w:cs="Times New Roman" w:eastAsia="Times New Roman" w:hAnsi="Times New Roman"/>
          <w:b w:val="1"/>
          <w:bCs w:val="1"/>
          <w:sz w:val="22"/>
          <w:szCs w:val="22"/>
          <w:rtl w:val="0"/>
        </w:rPr>
        <w:t xml:space="preserve">Situación actual</w:t>
      </w:r>
    </w:p>
    <w:p w:rsidR="00000000" w:rsidDel="00000000" w:rsidP="00000000" w:rsidRDefault="00000000" w:rsidRPr="00000000" w14:paraId="000000B0">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situación actual del negocio refleja una sólida posición de rentabilidad y eficiencia operativa, contrastada por desafíos específicos en la morosidad y la satisfacción del segmento Pyme. Asimismo, el entorno competitivo exige adaptación ante la disrupción de las billeteras digitales y la reciente interoperabilidad del sistema de pagos.</w:t>
      </w:r>
    </w:p>
    <w:p w:rsidR="00000000" w:rsidDel="00000000" w:rsidP="00000000" w:rsidRDefault="00000000" w:rsidRPr="00000000" w14:paraId="000000B1">
      <w:pPr>
        <w:spacing w:after="16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6</w:t>
      </w:r>
    </w:p>
    <w:p w:rsidR="00000000" w:rsidDel="00000000" w:rsidP="00000000" w:rsidRDefault="00000000" w:rsidRPr="00000000" w14:paraId="000000B2">
      <w:pPr>
        <w:spacing w:after="160" w:lineRule="auto"/>
        <w:ind w:left="7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Dimensiones clave de la situación actual del negocio</w:t>
      </w:r>
    </w:p>
    <w:tbl>
      <w:tblPr>
        <w:tblStyle w:val="Table6"/>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370"/>
        <w:gridCol w:w="4185"/>
        <w:tblGridChange w:id="0">
          <w:tblGrid>
            <w:gridCol w:w="1770"/>
            <w:gridCol w:w="2370"/>
            <w:gridCol w:w="418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B3">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Dimensión</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B4">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Métrica o enfoque</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B5">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Estado actual y lectura estratégica</w:t>
            </w:r>
          </w:p>
        </w:tc>
      </w:tr>
      <w:tr>
        <w:trPr>
          <w:cantSplit w:val="0"/>
          <w:trHeight w:val="501.994628906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6">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Desempeño y eficiencia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7">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Utilidad, ROE y ratio de eficiencia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Rentabilidad en máximos con utilidad de S/ 2,391 millones y ROE de 17.21% en 2025. El ratio de eficiencia cerró en 35.9%, posicionándose mejor que el promedio del sistema.</w:t>
            </w:r>
          </w:p>
        </w:tc>
      </w:tr>
      <w:tr>
        <w:trPr>
          <w:cantSplit w:val="0"/>
          <w:trHeight w:val="55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9">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Riesgo crediticio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Calidad de cartera y morosidad</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cartera de alto riesgo mejoró a 5.1% con una cobertura del 95.0%. Sin embargo, la morosidad (3.38% a junio 2025) supera el promedio del sistema (2.28%), representando un frente abierto.</w:t>
            </w:r>
          </w:p>
        </w:tc>
      </w:tr>
      <w:tr>
        <w:trPr>
          <w:cantSplit w:val="0"/>
          <w:trHeight w:val="27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C">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Composición y satisfacción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Cartera por segmento y NPS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Cartera concentrada en banca corporativa/comercial (58.3%) frente a personas (41.7%). Existe una brecha crítica en satisfacción: NPS retail de 52.57% frente a un NPS Pyme de 33.6%.</w:t>
            </w:r>
            <w:commentRangeStart w:id="1"/>
            <w:r w:rsidDel="00000000" w:rsidR="00000000" w:rsidRPr="00000000">
              <w:rPr>
                <w:rFonts w:ascii="Times New Roman" w:cs="Times New Roman" w:eastAsia="Times New Roman" w:hAnsi="Times New Roman"/>
                <w:rtl w:val="0"/>
              </w:rPr>
              <w:t xml:space="preserve"> La brecha asciende a 18.97 puntos (el NPS Pyme equivale al 64% del NPS retail) y sitúa al segmento Pyme 10.0 puntos por debajo de Banca de Empresas e Instituciones (NPS de 43.6%) (Banco BBVA Perú, 2026b, pp. 26 y 29).</w:t>
            </w:r>
            <w:commentRangeEnd w:id="1"/>
            <w:r>
              <w:rPr>
                <w:rStyle w:val="CommentReference"/>
              </w:rPr>
              <w:commentReference w:id="1"/>
            </w:r>
          </w:p>
        </w:tc>
      </w:tr>
      <w:tr>
        <w:trPr>
          <w:cantSplit w:val="0"/>
          <w:trHeight w:val="194.663085937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F">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Sostenibilidad</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0">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Financiamiento e inclusión</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1">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Consolidada como línea de negocio con S/ 16.5 mil millones en colocaciones sostenibles, 100% de electricidad renovable y S/ 80 millones destinados a inclusión financiera</w:t>
            </w:r>
          </w:p>
        </w:tc>
      </w:tr>
    </w:tbl>
    <w:p w:rsidR="00000000" w:rsidDel="00000000" w:rsidP="00000000" w:rsidRDefault="00000000" w:rsidRPr="00000000" w14:paraId="000000C2">
      <w:pPr>
        <w:spacing w:after="1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 con base en la evaluación de los resultados financieros de Banco BBVA Perú. (2026b).</w:t>
      </w:r>
    </w:p>
    <w:p w:rsidR="00000000" w:rsidDel="00000000" w:rsidP="00000000" w:rsidRDefault="00000000" w:rsidRPr="00000000">
      <w:pPr>
        <w:spacing w:after="160" w:lineRule="auto"/>
        <w:ind w:left="720" w:firstLine="0"/>
        <w:jc w:val="both"/>
        <w:rPr>
          <w:rFonts w:ascii="Times New Roman" w:cs="Times New Roman" w:eastAsia="Times New Roman" w:hAnsi="Times New Roman"/>
        </w:rPr>
      </w:pPr>
      <w:commentRangeStart w:id="2"/>
      <w:r w:rsidDel="00000000" w:rsidR="00000000" w:rsidRPr="00000000">
        <w:rPr>
          <w:rFonts w:ascii="Times New Roman" w:cs="Times New Roman" w:eastAsia="Times New Roman" w:hAnsi="Times New Roman"/>
          <w:rtl w:val="0"/>
        </w:rPr>
        <w:t>La brecha de satisfacción se operacionaliza con tres medidas: (i) la brecha absoluta entre los segmentos Retail y Pyme, de 18.97 puntos (52.57 − 33.6); (ii) la razón Pyme/Retail, de 0.64; y (iii) la distancia del segmento Pyme respecto de Banca de Empresas e Instituciones, de 10.0 puntos (43.6 − 33.6) (Banco BBVA Perú, 2026b, pp. 26 y 29). En las fuentes revisadas no se identifica un referente competitivo público para el NPS Pyme, por lo que la brecha interna es la medida verificable del dolor del segmento. Esta brecha se adopta como línea base de los objetivos OE1 y OE3 (Tabla 10), con la meta propuesta de reducirla a no más de 9.6 puntos (NPS Pyme ≥ 43.0%) en 18 meses, y constituye el punto de partida para sustentar los dolores de negocio y las iniciativas de TI de los siguientes entregables.</w:t>
      </w:r>
      <w:commentRangeEnd w:id="2"/>
      <w:r>
        <w:rPr>
          <w:rStyle w:val="CommentReference"/>
        </w:rPr>
        <w:commentReference w:id="2"/>
      </w:r>
    </w:p>
    <w:p w:rsidR="00000000" w:rsidDel="00000000" w:rsidP="00000000" w:rsidRDefault="00000000" w:rsidRPr="00000000" w14:paraId="000000C3">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cuanto al contexto competitivo, el entorno en el que opera BBVA Perú muestra una marcada dualidad entre un sistema bancario concentrado y un escenario transaccional altamente disruptivo. Actualmente, la mayor exigencia competitiva no proviene de la banca múltiple tradicional, sino de la rápida evolución de las billeteras digitales y las recientes normativas de interoperabilidad en los medios de pago.</w:t>
      </w:r>
    </w:p>
    <w:p w:rsidR="00000000" w:rsidDel="00000000" w:rsidP="00000000" w:rsidRDefault="00000000" w:rsidRPr="00000000" w14:paraId="000000C4">
      <w:pPr>
        <w:spacing w:after="16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7</w:t>
      </w:r>
    </w:p>
    <w:p w:rsidR="00000000" w:rsidDel="00000000" w:rsidP="00000000" w:rsidRDefault="00000000" w:rsidRPr="00000000" w14:paraId="000000C5">
      <w:pPr>
        <w:spacing w:after="160" w:lineRule="auto"/>
        <w:ind w:left="7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Dinámica del entorno competitivo y disrupción digital</w:t>
      </w:r>
    </w:p>
    <w:tbl>
      <w:tblPr>
        <w:tblStyle w:val="Table7"/>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370"/>
        <w:gridCol w:w="4185"/>
        <w:tblGridChange w:id="0">
          <w:tblGrid>
            <w:gridCol w:w="1770"/>
            <w:gridCol w:w="2370"/>
            <w:gridCol w:w="418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C6">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Factor competitivo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C7">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Situación del mercado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C8">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Impacto estratégico</w:t>
            </w:r>
          </w:p>
        </w:tc>
      </w:tr>
      <w:tr>
        <w:trPr>
          <w:cantSplit w:val="0"/>
          <w:trHeight w:val="501.994628906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9">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Concentración bancaria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Cuatro bancos concentran el 82.3% de los créditos directos del sistema financiero peruano.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Mantiene el dominio de las entidades líderes tradicionales en los segmentos de financiamiento clásico.</w:t>
            </w:r>
          </w:p>
        </w:tc>
      </w:tr>
      <w:tr>
        <w:trPr>
          <w:cantSplit w:val="0"/>
          <w:trHeight w:val="55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C">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Disrupción por billeteras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Yape lidera el mercado con 19.1 millones de usuarios totales y 15.9 millones activos al mes; BBVA compite a través de Plin sin un activo equivalente propio.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Desplaza gran parte de la transaccionalidad hacia canales externos a la app bancaria tradicional.</w:t>
            </w:r>
          </w:p>
        </w:tc>
      </w:tr>
      <w:tr>
        <w:trPr>
          <w:cantSplit w:val="0"/>
          <w:trHeight w:val="27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F">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Interoperabilidad (BCRP)</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0">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normativa del BCRP permite transferencias inmediatas y fluidas entre distintas entidades y billeteras digitales.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1">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Reduce significativamente las barreras de cambio para el usuario y erosiona el efecto de red de los bancos más grandes.</w:t>
            </w:r>
          </w:p>
        </w:tc>
      </w:tr>
    </w:tbl>
    <w:p w:rsidR="00000000" w:rsidDel="00000000" w:rsidP="00000000" w:rsidRDefault="00000000" w:rsidRPr="00000000" w14:paraId="000000D2">
      <w:pPr>
        <w:spacing w:after="16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 con base en datos del sistema financiero y el desarrollo del ecosistema nacional de pagos.</w:t>
      </w:r>
      <w:r w:rsidDel="00000000" w:rsidR="00000000" w:rsidRPr="00000000">
        <w:rPr>
          <w:rtl w:val="0"/>
        </w:rPr>
      </w:r>
    </w:p>
    <w:p w:rsidR="00000000" w:rsidDel="00000000" w:rsidP="00000000" w:rsidRDefault="00000000" w:rsidRPr="00000000" w14:paraId="000000D3">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7l5gw78uxg99" w:id="7"/>
      <w:bookmarkEnd w:id="7"/>
      <w:r w:rsidDel="00000000" w:rsidR="00000000" w:rsidRPr="00000000">
        <w:rPr>
          <w:rFonts w:ascii="Times New Roman" w:cs="Times New Roman" w:eastAsia="Times New Roman" w:hAnsi="Times New Roman"/>
          <w:b w:val="1"/>
          <w:bCs w:val="1"/>
          <w:sz w:val="22"/>
          <w:szCs w:val="22"/>
          <w:rtl w:val="0"/>
        </w:rPr>
        <w:t xml:space="preserve">Sistemas existentes</w:t>
      </w:r>
    </w:p>
    <w:p w:rsidR="00000000" w:rsidDel="00000000" w:rsidP="00000000" w:rsidRDefault="00000000" w:rsidRPr="00000000" w14:paraId="000000D4">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ecosistema tecnológico de Banco BBVA Perú refleja una estrategia orientada hacia la adopción de canales digitales, la explotación de datos y la implementación de Inteligencia Artificial (IA) a nivel operativo y corporativo. Si bien la entidad cuenta con soluciones globales heredadas de su matriz, mantiene componentes locales integrados para su transaccionalidad.</w:t>
      </w:r>
    </w:p>
    <w:p w:rsidR="00000000" w:rsidDel="00000000" w:rsidP="00000000" w:rsidRDefault="00000000" w:rsidRPr="00000000" w14:paraId="000000D5">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se detalla el inventario de los principales sistemas y plataformas identificados en la operación del banco:</w:t>
      </w:r>
    </w:p>
    <w:p w:rsidR="00000000" w:rsidDel="00000000" w:rsidP="00000000" w:rsidRDefault="00000000" w:rsidRPr="00000000" w14:paraId="000000D6">
      <w:pPr>
        <w:spacing w:after="16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8</w:t>
      </w:r>
    </w:p>
    <w:p w:rsidR="00000000" w:rsidDel="00000000" w:rsidP="00000000" w:rsidRDefault="00000000" w:rsidRPr="00000000" w14:paraId="000000D7">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Principales sistemas de información y plataformas tecnológicas</w:t>
      </w:r>
      <w:r w:rsidDel="00000000" w:rsidR="00000000" w:rsidRPr="00000000">
        <w:rPr>
          <w:rtl w:val="0"/>
        </w:rPr>
      </w:r>
    </w:p>
    <w:tbl>
      <w:tblPr>
        <w:tblStyle w:val="Table8"/>
        <w:tblW w:w="8145.0" w:type="dxa"/>
        <w:jc w:val="left"/>
        <w:tblInd w:w="7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470"/>
        <w:gridCol w:w="4860"/>
        <w:tblGridChange w:id="0">
          <w:tblGrid>
            <w:gridCol w:w="1815"/>
            <w:gridCol w:w="1470"/>
            <w:gridCol w:w="4860"/>
          </w:tblGrid>
        </w:tblGridChange>
      </w:tblGrid>
      <w:tr>
        <w:trPr>
          <w:cantSplit w:val="0"/>
          <w:trHeight w:val="570"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D8">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Capa / Dominio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D9">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Sistema o elemento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DA">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Descripción y alcance</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B">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Datos e Inteligencia Artificial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 (Analytics, Data, AI)</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global del Grupo BBVA, desplegada en Perú en 2025. Habilita modelos analíticos complejos y agiliza la toma de decisiones.</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DE">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Productividad interna</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DF">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Workspace con Gemini</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E0">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Herramienta de IA generativa para colaboradores en uso generalizado, orientada a la mejora de la eficiencia operativa.</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1">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Canal móvil (Retail)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2">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BBVA Perú y Asistente Blue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 principal de interacción del cliente masivo; procesa más del 81% de las operaciones monetarias e integra al asistente virtual Blue.</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Banca Empresas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BBVA Net Cash</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especializada de </w:t>
            </w:r>
            <w:r w:rsidDel="00000000" w:rsidR="00000000" w:rsidRPr="00000000">
              <w:rPr>
                <w:rFonts w:ascii="Times New Roman" w:cs="Times New Roman" w:eastAsia="Times New Roman" w:hAnsi="Times New Roman"/>
                <w:i w:val="1"/>
                <w:iCs w:val="1"/>
                <w:rtl w:val="0"/>
              </w:rPr>
              <w:t xml:space="preserve">cash management</w:t>
            </w:r>
            <w:r w:rsidDel="00000000" w:rsidR="00000000" w:rsidRPr="00000000">
              <w:rPr>
                <w:rFonts w:ascii="Times New Roman" w:cs="Times New Roman" w:eastAsia="Times New Roman" w:hAnsi="Times New Roman"/>
                <w:rtl w:val="0"/>
              </w:rPr>
              <w:t xml:space="preserve"> para la gestión transaccional y liquidez de clientes jurídicos.</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Pagos y transferencias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Pagos al Toque y QR Plin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Ecosistema para transferencias instantáneas e interoperables, soportando altos volúmenes de transacciones digitales.</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Onboarding e Inversiones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Apertura digital y plataformas de inversión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alta de cliente en 4 minutos. Además, integra la comercialización de fondos mutuos y asesoría de inversión asistida por IA en la app.</w:t>
            </w:r>
          </w:p>
        </w:tc>
      </w:tr>
    </w:tbl>
    <w:p w:rsidR="00000000" w:rsidDel="00000000" w:rsidP="00000000" w:rsidRDefault="00000000" w:rsidRPr="00000000" w14:paraId="000000ED">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 con base en los sistemas y capacidades digitales declarados por la entidad financiera.</w:t>
      </w:r>
    </w:p>
    <w:p w:rsidR="00000000" w:rsidDel="00000000" w:rsidP="00000000" w:rsidRDefault="00000000" w:rsidRPr="00000000" w14:paraId="000000EE">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Supuesto metodológico sobre la arquitectura transaccional:</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No se identifica información pública oficial sobre el </w:t>
      </w:r>
      <w:r w:rsidDel="00000000" w:rsidR="00000000" w:rsidRPr="00000000">
        <w:rPr>
          <w:rFonts w:ascii="Times New Roman" w:cs="Times New Roman" w:eastAsia="Times New Roman" w:hAnsi="Times New Roman"/>
          <w:i w:val="1"/>
          <w:iCs w:val="1"/>
          <w:rtl w:val="0"/>
        </w:rPr>
        <w:t xml:space="preserve">core</w:t>
      </w:r>
      <w:r w:rsidDel="00000000" w:rsidR="00000000" w:rsidRPr="00000000">
        <w:rPr>
          <w:rFonts w:ascii="Times New Roman" w:cs="Times New Roman" w:eastAsia="Times New Roman" w:hAnsi="Times New Roman"/>
          <w:rtl w:val="0"/>
        </w:rPr>
        <w:t xml:space="preserve"> bancario, el motor de decisión crediticia, el CRM ni la plataforma central de prevención de fraude del banco. Para efectos del presente trabajo, se asume una arquitectura de </w:t>
      </w:r>
      <w:r w:rsidDel="00000000" w:rsidR="00000000" w:rsidRPr="00000000">
        <w:rPr>
          <w:rFonts w:ascii="Times New Roman" w:cs="Times New Roman" w:eastAsia="Times New Roman" w:hAnsi="Times New Roman"/>
          <w:i w:val="1"/>
          <w:iCs w:val="1"/>
          <w:rtl w:val="0"/>
        </w:rPr>
        <w:t xml:space="preserve">core</w:t>
      </w:r>
      <w:r w:rsidDel="00000000" w:rsidR="00000000" w:rsidRPr="00000000">
        <w:rPr>
          <w:rFonts w:ascii="Times New Roman" w:cs="Times New Roman" w:eastAsia="Times New Roman" w:hAnsi="Times New Roman"/>
          <w:rtl w:val="0"/>
        </w:rPr>
        <w:t xml:space="preserve"> transaccional moderno con una capa de servicios (API) e integración directa a la plataforma global de datos ADA.</w:t>
      </w:r>
      <w:r w:rsidDel="00000000" w:rsidR="00000000" w:rsidRPr="00000000">
        <w:rPr>
          <w:rtl w:val="0"/>
        </w:rPr>
      </w:r>
    </w:p>
    <w:p w:rsidR="00000000" w:rsidDel="00000000" w:rsidP="00000000" w:rsidRDefault="00000000" w:rsidRPr="00000000" w14:paraId="000000EF">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lw60c8p8frcr" w:id="8"/>
      <w:bookmarkEnd w:id="8"/>
      <w:r w:rsidDel="00000000" w:rsidR="00000000" w:rsidRPr="00000000">
        <w:rPr>
          <w:rFonts w:ascii="Times New Roman" w:cs="Times New Roman" w:eastAsia="Times New Roman" w:hAnsi="Times New Roman"/>
          <w:b w:val="1"/>
          <w:bCs w:val="1"/>
          <w:sz w:val="22"/>
          <w:szCs w:val="22"/>
          <w:rtl w:val="0"/>
        </w:rPr>
        <w:t xml:space="preserve">Business Model Canvas</w:t>
      </w:r>
    </w:p>
    <w:p w:rsidR="00000000" w:rsidDel="00000000" w:rsidP="00000000" w:rsidRDefault="00000000" w:rsidRPr="00000000" w14:paraId="000000F0">
      <w:pPr>
        <w:spacing w:after="1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Business Model Canvas permite sintetizar cómo la organización crea, entrega y captura valor mediante nueve bloques interrelacionados (Osterwalder &amp; Pigneur, 2010). En este caso, el elemento articulador es una propuesta de banca universal que combina escala, confianza regulatoria, cobertura omnicanal, capacidades globales y personalización basada en datos.</w:t>
      </w:r>
    </w:p>
    <w:p w:rsidR="00000000" w:rsidDel="00000000" w:rsidP="00000000" w:rsidRDefault="00000000" w:rsidRPr="00000000" w14:paraId="000000F1">
      <w:pPr>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9</w:t>
      </w:r>
    </w:p>
    <w:p w:rsidR="00000000" w:rsidDel="00000000" w:rsidP="00000000" w:rsidRDefault="00000000" w:rsidRPr="00000000" w14:paraId="000000F2">
      <w:pPr>
        <w:spacing w:after="10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Business Model Canvas de Banco BBVA Perú</w:t>
      </w:r>
    </w:p>
    <w:tbl>
      <w:tblPr>
        <w:tblStyle w:val="Table9"/>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60"/>
        <w:gridCol w:w="5250"/>
        <w:tblGridChange w:id="0">
          <w:tblGrid>
            <w:gridCol w:w="3060"/>
            <w:gridCol w:w="5250"/>
          </w:tblGrid>
        </w:tblGridChange>
      </w:tblGrid>
      <w:tr>
        <w:trPr>
          <w:cantSplit w:val="0"/>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F3">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Bloque</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F4">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Contenido aplicado a BBVA Perú</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Segmentos de clientes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Personas de mercado masivo y alto valor; pymes; empresas; grandes empresas; corporaciones; instituciones y clientes CIB.</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Propuesta de valor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Servicios financieros seguros y accesibles, resolución digital de necesidades cotidianas, asesoramiento especializado, cobertura física y capacidades de un grupo global.</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Canales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web, Plin/QR, Net Cash, oficinas, cajeros, Agentes Express, contact center y asistentes conversacionales.</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Relación con clientes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Autoservicio digital, personalización, gestores especializados, atención asistida, citas y gestión de satisfacción y reclamos.</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Fuentes de ingresos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Margen financiero; comisiones por pagos, tarjetas y servicios; gestión de activos; seguros; mercados; banca de inversión y soluciones transaccionales.</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F">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Recursos clave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00">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Licencia, capital, marca, base de clientes, talento, red física, core transaccional, canales, datos, modelos de riesgo y plataforma ADA.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Actividades clave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Captación; originación y administración de crédito; pagos; inversiones; gestión de riesgos; atención; cumplimiento; datos, tecnología y ciberseguridad.</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0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Socios clave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04">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Grupo BBVA, Grupo Breca, redes y esquemas de pago, corresponsales, proveedores tecnológicos, centrales de riesgo y organismos del ecosistema financiero.</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5">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Estructura de costos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red física, tecnología y nube, seguridad, riesgo de crédito, fondeo, cumplimiento, proveedores y operación continua.</w:t>
            </w:r>
          </w:p>
        </w:tc>
      </w:tr>
    </w:tbl>
    <w:p w:rsidR="00000000" w:rsidDel="00000000" w:rsidP="00000000" w:rsidRDefault="00000000" w:rsidRPr="00000000" w14:paraId="00000107">
      <w:pPr>
        <w:spacing w:after="160" w:before="4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según el modelo de Osterwalder y Pigneur (2010), con evidencia de Banco BBVA Perú (2026a, 2026b).</w:t>
      </w:r>
      <w:r w:rsidDel="00000000" w:rsidR="00000000" w:rsidRPr="00000000">
        <w:rPr>
          <w:rtl w:val="0"/>
        </w:rPr>
      </w:r>
    </w:p>
    <w:p w:rsidR="00000000" w:rsidDel="00000000" w:rsidP="00000000" w:rsidRDefault="00000000" w:rsidRPr="00000000" w14:paraId="00000108">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tqwlbgle03yu" w:id="9"/>
      <w:bookmarkEnd w:id="9"/>
      <w:r w:rsidDel="00000000" w:rsidR="00000000" w:rsidRPr="00000000">
        <w:rPr>
          <w:rFonts w:ascii="Times New Roman" w:cs="Times New Roman" w:eastAsia="Times New Roman" w:hAnsi="Times New Roman"/>
          <w:b w:val="1"/>
          <w:bCs w:val="1"/>
          <w:sz w:val="22"/>
          <w:szCs w:val="22"/>
          <w:rtl w:val="0"/>
        </w:rPr>
        <w:t xml:space="preserve">Objetivos estratégicos del negocio y procesos críticos</w:t>
      </w:r>
    </w:p>
    <w:p w:rsidR="00000000" w:rsidDel="00000000" w:rsidP="00000000" w:rsidRDefault="00000000" w:rsidRPr="00000000" w14:paraId="00000109">
      <w:pPr>
        <w:pStyle w:val="Heading2"/>
        <w:numPr>
          <w:ilvl w:val="1"/>
          <w:numId w:val="1"/>
        </w:numPr>
        <w:spacing w:before="200" w:lineRule="auto"/>
        <w:ind w:left="1440" w:hanging="360"/>
        <w:rPr>
          <w:rFonts w:ascii="Times New Roman" w:cs="Times New Roman" w:eastAsia="Times New Roman" w:hAnsi="Times New Roman"/>
          <w:b w:val="1"/>
          <w:bCs w:val="1"/>
          <w:sz w:val="22"/>
          <w:szCs w:val="22"/>
        </w:rPr>
      </w:pPr>
      <w:bookmarkStart w:colFirst="0" w:colLast="0" w:name="_49xqzspbsste" w:id="10"/>
      <w:bookmarkEnd w:id="10"/>
      <w:r w:rsidDel="00000000" w:rsidR="00000000" w:rsidRPr="00000000">
        <w:rPr>
          <w:rFonts w:ascii="Times New Roman" w:cs="Times New Roman" w:eastAsia="Times New Roman" w:hAnsi="Times New Roman"/>
          <w:b w:val="1"/>
          <w:bCs w:val="1"/>
          <w:sz w:val="22"/>
          <w:szCs w:val="22"/>
          <w:rtl w:val="0"/>
        </w:rPr>
        <w:t xml:space="preserve">Objetivos estratégicos</w:t>
      </w:r>
    </w:p>
    <w:p w:rsidR="00000000" w:rsidDel="00000000" w:rsidP="00000000" w:rsidRDefault="00000000" w:rsidRPr="00000000" w14:paraId="0000010A">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ciclo 2025-2029, BBVA organiza su estrategia alrededor de seis prioridades. El informe las adopta como marco corporativo y las traduce a la realidad peruana mediante descripciones operativas, indicadores candidatos y capacidades necesarias. Esta traducción es relevante porque un objetivo adquiere utilidad para la gestión de sistemas cuando puede relacionarse con procesos, información, responsables y resultados verificables (BBVA, 2025).</w:t>
      </w:r>
      <w:commentRangeStart w:id="3"/>
      <w:r w:rsidDel="00000000" w:rsidR="00000000" w:rsidRPr="00000000">
        <w:rPr>
          <w:rFonts w:ascii="Times New Roman" w:cs="Times New Roman" w:eastAsia="Times New Roman" w:hAnsi="Times New Roman"/>
          <w:rtl w:val="0"/>
        </w:rPr>
        <w:t xml:space="preserve"> Para que cada objetivo sea medible con precisión, la Tabla 10 incorpora la línea base numérica de BBVA Perú y una meta cuantitativa a 18 meses por objetivo, de modo que su avance pueda verificarse con datos públicos del banco.</w:t>
      </w:r>
      <w:commentRangeEnd w:id="3"/>
      <w:r>
        <w:rPr>
          <w:rStyle w:val="CommentReference"/>
        </w:rPr>
        <w:commentReference w:id="3"/>
      </w:r>
    </w:p>
    <w:p w:rsidR="00000000" w:rsidDel="00000000" w:rsidP="00000000" w:rsidRDefault="00000000" w:rsidRPr="00000000" w14:paraId="0000010B">
      <w:pPr>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10</w:t>
      </w:r>
    </w:p>
    <w:p w:rsidR="00000000" w:rsidDel="00000000" w:rsidP="00000000" w:rsidRDefault="00000000" w:rsidRPr="00000000" w14:paraId="0000010C">
      <w:pPr>
        <w:spacing w:after="100" w:lineRule="auto"/>
        <w:ind w:firstLine="720"/>
        <w:rPr>
          <w:rFonts w:ascii="Times New Roman" w:cs="Times New Roman" w:eastAsia="Times New Roman" w:hAnsi="Times New Roman"/>
          <w:i w:val="1"/>
          <w:iCs w:val="1"/>
        </w:rPr>
      </w:pPr>
      <w:commentRangeStart w:id="4"/>
      <w:r w:rsidDel="00000000" w:rsidR="00000000" w:rsidRPr="00000000">
        <w:rPr>
          <w:rFonts w:ascii="Times New Roman" w:cs="Times New Roman" w:eastAsia="Times New Roman" w:hAnsi="Times New Roman"/>
          <w:i w:val="1"/>
          <w:iCs w:val="1"/>
          <w:rtl w:val="0"/>
        </w:rPr>
        <w:t>Objetivos estratégicos, indicadores, línea base, metas y capacidades requeridas</w:t>
      </w:r>
      <w:commentRangeEnd w:id="4"/>
      <w:r>
        <w:rPr>
          <w:rStyle w:val="CommentReference"/>
        </w:rPr>
        <w:commentReference w:id="4"/>
      </w:r>
    </w:p>
    <w:tbl>
      <w:tblPr>
        <w:tblStyle w:val="Table10"/>
        <w:tblW w:w="8295"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50"/>
        <w:gridCol w:w="1650"/>
        <w:gridCol w:w="1900"/>
        <w:gridCol w:w="1900"/>
        <w:gridCol w:w="1595"/>
        <w:tblGridChange w:id="0">
          <w:tblGrid>
            <w:gridCol w:w="1920"/>
            <w:gridCol w:w="2880"/>
            <w:gridCol w:w="3495"/>
          </w:tblGrid>
        </w:tblGridChange>
      </w:tblGrid>
      <w:tr>
        <w:trPr>
          <w:cantSplit w:val="0"/>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0D">
            <w:pP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Objetivo estratégico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0E">
            <w:pP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Descripción operativa</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0F">
            <w:pP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Indicadores candidatos y capacidades</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pPr>
              <w:rPr>
                <w:rFonts w:ascii="Times New Roman" w:cs="Times New Roman" w:eastAsia="Times New Roman" w:hAnsi="Times New Roman"/>
                <w:b w:val="1"/>
                <w:bCs w:val="1"/>
                <w:color w:val="ffffff"/>
                <w:sz w:val="18"/>
                <w:szCs w:val="18"/>
              </w:rPr>
            </w:pPr>
            <w:commentRangeStart w:id="5"/>
            <w:r w:rsidDel="00000000" w:rsidR="00000000" w:rsidRPr="00000000">
              <w:rPr>
                <w:rFonts w:ascii="Times New Roman" w:cs="Times New Roman" w:eastAsia="Times New Roman" w:hAnsi="Times New Roman"/>
                <w:b w:val="1"/>
                <w:bCs w:val="1"/>
                <w:color w:val="ffffff"/>
                <w:sz w:val="18"/>
                <w:szCs w:val="18"/>
                <w:rtl w:val="0"/>
              </w:rPr>
              <w:t xml:space="preserve">Línea base (BBVA Perú)</w:t>
            </w:r>
            <w:commentRangeEnd w:id="5"/>
            <w:r>
              <w:rPr>
                <w:rStyle w:val="CommentReference"/>
              </w:rPr>
              <w:commentReference w:id="5"/>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pPr>
              <w:rPr>
                <w:rFonts w:ascii="Times New Roman" w:cs="Times New Roman" w:eastAsia="Times New Roman" w:hAnsi="Times New Roman"/>
                <w:b w:val="1"/>
                <w:bCs w:val="1"/>
                <w:color w:val="ffffff"/>
                <w:sz w:val="18"/>
                <w:szCs w:val="18"/>
              </w:rPr>
            </w:pPr>
            <w:commentRangeStart w:id="6"/>
            <w:r w:rsidDel="00000000" w:rsidR="00000000" w:rsidRPr="00000000">
              <w:rPr>
                <w:rFonts w:ascii="Times New Roman" w:cs="Times New Roman" w:eastAsia="Times New Roman" w:hAnsi="Times New Roman"/>
                <w:b w:val="1"/>
                <w:bCs w:val="1"/>
                <w:color w:val="ffffff"/>
                <w:sz w:val="18"/>
                <w:szCs w:val="18"/>
                <w:rtl w:val="0"/>
              </w:rPr>
              <w:t xml:space="preserve">Meta cuantitativa a 18 meses (propuesta)</w:t>
            </w:r>
            <w:commentRangeEnd w:id="6"/>
            <w:r>
              <w:rPr>
                <w:rStyle w:val="CommentReference"/>
              </w:rPr>
              <w:commentReference w:id="6"/>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0">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OE1. “Incorporar radicalmente la perspectiva del cliente”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1">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Rediseñar journeys y decisiones desde las necesidades del cliente; asegurar una experiencia coherente, disponible y contextual en todos los canales.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2">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NPS, resolución en primer contacto, tiempo de ciclo, conversión y abandono. Capacidades: visión 360°, analítica de journeys, personalización, orquestación omnicanal y voz del cliente.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7"/>
            <w:r w:rsidDel="00000000" w:rsidR="00000000" w:rsidRPr="00000000">
              <w:rPr>
                <w:rFonts w:ascii="Times New Roman" w:cs="Times New Roman" w:eastAsia="Times New Roman" w:hAnsi="Times New Roman"/>
                <w:sz w:val="18"/>
                <w:szCs w:val="18"/>
                <w:rtl w:val="0"/>
              </w:rPr>
              <w:t xml:space="preserve">NPS Retail 52.57% y NPS Pyme 33.6% en 2025; brecha de 18.97 puntos (Banco BBVA Perú, 2026b, p. 26). Resolución en primer contacto, tiempo de ciclo, conversión y abandono: NO HAY FUENTES EN INTERNET DISPONIBLES.</w:t>
            </w:r>
            <w:commentRangeEnd w:id="7"/>
            <w:r>
              <w:rPr>
                <w:rStyle w:val="CommentReference"/>
              </w:rPr>
              <w:commentReference w:id="7"/>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8"/>
            <w:r w:rsidDel="00000000" w:rsidR="00000000" w:rsidRPr="00000000">
              <w:rPr>
                <w:rFonts w:ascii="Times New Roman" w:cs="Times New Roman" w:eastAsia="Times New Roman" w:hAnsi="Times New Roman"/>
                <w:sz w:val="18"/>
                <w:szCs w:val="18"/>
                <w:rtl w:val="0"/>
              </w:rPr>
              <w:t xml:space="preserve">NPS Pyme ≥ 43.0% a 18 meses (nivel actual de Banca de Empresas e Instituciones, 43.6%), con brecha frente a Retail ≤ 9.6 puntos, y NPS Retail ≥ 52.57%. Instrumentar los demás indicadores en los primeros 6 meses.</w:t>
            </w:r>
            <w:commentRangeEnd w:id="8"/>
            <w:r>
              <w:rPr>
                <w:rStyle w:val="CommentReference"/>
              </w:rPr>
              <w:commentReference w:id="8"/>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3">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OE2. “Impulsar la sostenibilidad como motor de crecimiento”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4">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Integrar criterios ambientales y sociales en la propuesta, la originación, el riesgo, el asesoramiento y el seguimiento, no solo en el reporte.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5">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negocio sostenible movilizado, cartera elegible, tiempo de evaluación y calidad del dato ESG. Capacidades: taxonomía, trazabilidad, datos ESG, reglas de elegibilidad y reporting.</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9"/>
            <w:r w:rsidDel="00000000" w:rsidR="00000000" w:rsidRPr="00000000">
              <w:rPr>
                <w:rFonts w:ascii="Times New Roman" w:cs="Times New Roman" w:eastAsia="Times New Roman" w:hAnsi="Times New Roman"/>
                <w:sz w:val="18"/>
                <w:szCs w:val="18"/>
                <w:rtl w:val="0"/>
              </w:rPr>
              <w:t xml:space="preserve">Colocaciones sostenibles cercanas a S/ 16.5 mil millones y 115% de cumplimiento de la meta de facturación sostenible en 2025 (Banco BBVA Perú, 2026b); facturación sostenible movilizada de S/ 8,989 millones al 1S 2026 (Banco BBVA Perú, 2026a). Tiempo de evaluación y calidad del dato ESG: NO HAY FUENTES EN INTERNET DISPONIBLES.</w:t>
            </w:r>
            <w:commentRangeEnd w:id="9"/>
            <w:r>
              <w:rPr>
                <w:rStyle w:val="CommentReference"/>
              </w:rPr>
              <w:commentReference w:id="9"/>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0"/>
            <w:r w:rsidDel="00000000" w:rsidR="00000000" w:rsidRPr="00000000">
              <w:rPr>
                <w:rFonts w:ascii="Times New Roman" w:cs="Times New Roman" w:eastAsia="Times New Roman" w:hAnsi="Times New Roman"/>
                <w:sz w:val="18"/>
                <w:szCs w:val="18"/>
                <w:rtl w:val="0"/>
              </w:rPr>
              <w:t xml:space="preserve">Colocaciones sostenibles ≥ S/ 20 mil millones (≈ +21%) y cumplimiento ≥ 100% de la meta anual de facturación sostenible a 18 meses. Instrumentar tiempo de evaluación y calidad del dato ESG en los primeros 6 meses.</w:t>
            </w:r>
            <w:commentRangeEnd w:id="10"/>
            <w:r>
              <w:rPr>
                <w:rStyle w:val="CommentReference"/>
              </w:rPr>
              <w:commentReference w:id="10"/>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6">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OE3. “Crecer en todos los segmentos de empresas”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7">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Expandir la relación con pymes, empresas, instituciones y corporaciones mediante asesoramiento, rapidez de respuesta y soluciones transaccionales integrales.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8">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cuota, clientes activos, vinculación, ingresos transaccionales, conversión y tiempo de aprobación. Capacidades: onboarding empresarial, cash management, scoring, integración y visión sectorial.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1"/>
            <w:r w:rsidDel="00000000" w:rsidR="00000000" w:rsidRPr="00000000">
              <w:rPr>
                <w:rFonts w:ascii="Times New Roman" w:cs="Times New Roman" w:eastAsia="Times New Roman" w:hAnsi="Times New Roman"/>
                <w:sz w:val="18"/>
                <w:szCs w:val="18"/>
                <w:rtl w:val="0"/>
              </w:rPr>
              <w:t xml:space="preserve">Cuota de colocaciones vigentes 22.09% y de depósitos 20.90% en 2025; cuota en pymes 21.5%, gran empresa 29.9% y corporativo 19.6% (Banco BBVA Perú, 2026b, p. 12). Clientes activos, vinculación y tiempo de aprobación: NO HAY FUENTES EN INTERNET DISPONIBLES.</w:t>
            </w:r>
            <w:commentRangeEnd w:id="11"/>
            <w:r>
              <w:rPr>
                <w:rStyle w:val="CommentReference"/>
              </w:rPr>
              <w:commentReference w:id="11"/>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2"/>
            <w:r w:rsidDel="00000000" w:rsidR="00000000" w:rsidRPr="00000000">
              <w:rPr>
                <w:rFonts w:ascii="Times New Roman" w:cs="Times New Roman" w:eastAsia="Times New Roman" w:hAnsi="Times New Roman"/>
                <w:sz w:val="18"/>
                <w:szCs w:val="18"/>
                <w:rtl w:val="0"/>
              </w:rPr>
              <w:t xml:space="preserve">Cuota de colocaciones vigentes ≥ 22.5% (+0.4 puntos) y cuota en pymes ≥ 22.5% (+1.0 punto) a 18 meses. Instrumentar tiempo de aprobación en los primeros 6 meses.</w:t>
            </w:r>
            <w:commentRangeEnd w:id="12"/>
            <w:r>
              <w:rPr>
                <w:rStyle w:val="CommentReference"/>
              </w:rPr>
              <w:commentReference w:id="12"/>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9">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OE4. “Promover una mentalidad de creación de valor y capital</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A">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Orientar crecimiento, precios y asignación de recursos a rentabilidad ajustada por riesgo y uso eficiente del capital.</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B">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ROE, RORWA, eficiencia, costo de riesgo y rentabilidad por cliente/producto. Capacidades: rentabilidad granular, pricing, modelos de riesgo, automatización y gestión de portafolio.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3"/>
            <w:r w:rsidDel="00000000" w:rsidR="00000000" w:rsidRPr="00000000">
              <w:rPr>
                <w:rFonts w:ascii="Times New Roman" w:cs="Times New Roman" w:eastAsia="Times New Roman" w:hAnsi="Times New Roman"/>
                <w:sz w:val="18"/>
                <w:szCs w:val="18"/>
                <w:rtl w:val="0"/>
              </w:rPr>
              <w:t xml:space="preserve">ROE 17.21% (2025) y 18.7% (2T 2026), frente a 20.1% del sistema; ratio de eficiencia 35.9% (2025) y 40.0% (2T 2026); mora 2.69% frente a 2.8% del sistema (2T 2026) (Banco BBVA Perú, 2026a, 2026b). RORWA y costo de riesgo: NO HAY FUENTES EN INTERNET DISPONIBLES.</w:t>
            </w:r>
            <w:commentRangeEnd w:id="13"/>
            <w:r>
              <w:rPr>
                <w:rStyle w:val="CommentReference"/>
              </w:rPr>
              <w:commentReference w:id="13"/>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4"/>
            <w:r w:rsidDel="00000000" w:rsidR="00000000" w:rsidRPr="00000000">
              <w:rPr>
                <w:rFonts w:ascii="Times New Roman" w:cs="Times New Roman" w:eastAsia="Times New Roman" w:hAnsi="Times New Roman"/>
                <w:sz w:val="18"/>
                <w:szCs w:val="18"/>
                <w:rtl w:val="0"/>
              </w:rPr>
              <w:t xml:space="preserve">ROE ≥ 19.5% (reduce en más de la mitad la brecha de 1.4 puntos con el sistema), ratio de eficiencia ≤ 40.0% y mora ≤ 2.69% a 18 meses. Instrumentar RORWA y costo de riesgo en los primeros 6 meses.</w:t>
            </w:r>
            <w:commentRangeEnd w:id="14"/>
            <w:r>
              <w:rPr>
                <w:rStyle w:val="CommentReference"/>
              </w:rPr>
              <w:commentReference w:id="14"/>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C">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OE5. “Maximizar IA, innovación, datos y tecnologías Next Gen”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D">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Escalar datos e IA desde pilotos hacia decisiones, interacciones y automatizaciones gobernadas a lo largo de la cadena de valor.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E">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casos en producción, adopción, tiempo de despliegue, calidad de datos, impacto económico y desempeño de modelos. Capacidades: ADA, MLOps, APIs, datos gobernados, seguridad y observabilidad.</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5"/>
            <w:r w:rsidDel="00000000" w:rsidR="00000000" w:rsidRPr="00000000">
              <w:rPr>
                <w:rFonts w:ascii="Times New Roman" w:cs="Times New Roman" w:eastAsia="Times New Roman" w:hAnsi="Times New Roman"/>
                <w:sz w:val="18"/>
                <w:szCs w:val="18"/>
                <w:rtl w:val="0"/>
              </w:rPr>
              <w:t xml:space="preserve">Ventas digitales 79.57% y más de 3 millones de usuarios activos en la app (2T 2026) (Banco BBVA Perú, 2026a); más del 81% de las operaciones realizadas por la app y despliegue de ADA en 2025 (Banco BBVA Perú, 2026b). Casos en producción y tiempo de despliegue: NO HAY FUENTES EN INTERNET DISPONIBLES.</w:t>
            </w:r>
            <w:commentRangeEnd w:id="15"/>
            <w:r>
              <w:rPr>
                <w:rStyle w:val="CommentReference"/>
              </w:rPr>
              <w:commentReference w:id="15"/>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6"/>
            <w:r w:rsidDel="00000000" w:rsidR="00000000" w:rsidRPr="00000000">
              <w:rPr>
                <w:rFonts w:ascii="Times New Roman" w:cs="Times New Roman" w:eastAsia="Times New Roman" w:hAnsi="Times New Roman"/>
                <w:sz w:val="18"/>
                <w:szCs w:val="18"/>
                <w:rtl w:val="0"/>
              </w:rPr>
              <w:t xml:space="preserve">Ventas digitales ≥ 85% (+5.4 puntos) y al menos tres casos de IA priorizados en producción con impacto económico medido a 18 meses. Definir la línea base de casos y de tiempo de despliegue en los primeros 6 meses.</w:t>
            </w:r>
            <w:commentRangeEnd w:id="16"/>
            <w:r>
              <w:rPr>
                <w:rStyle w:val="CommentReference"/>
              </w:rPr>
              <w:commentReference w:id="16"/>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F">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OE6. “Fortalecer nuestra empatía, triunfar como un equipo ganador”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20">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Mejorar los procesos internos de la empresa, para maximizar el bienestar de los empleados y aumentar las capacidades digitales internas.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21">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Nivel de productividad, tiempo de mejora de implementación de automatizaciones, calidad de datos y desempeño de la estrategia de mejora.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7"/>
            <w:r w:rsidDel="00000000" w:rsidR="00000000" w:rsidRPr="00000000">
              <w:rPr>
                <w:rFonts w:ascii="Times New Roman" w:cs="Times New Roman" w:eastAsia="Times New Roman" w:hAnsi="Times New Roman"/>
                <w:sz w:val="18"/>
                <w:szCs w:val="18"/>
                <w:rtl w:val="0"/>
              </w:rPr>
              <w:t xml:space="preserve">Índice de compromiso de colaboradores 93/100 en 2025 (Banco BBVA Perú, 2026b, p. 12) y adopción interna de Blue Buddy del 90% en junio de 2026 (Banco BBVA Perú, 2026a). Productividad, tiempo de implementación de automatizaciones y calidad de datos: NO HAY FUENTES EN INTERNET DISPONIBLES.</w:t>
            </w:r>
            <w:commentRangeEnd w:id="17"/>
            <w:r>
              <w:rPr>
                <w:rStyle w:val="CommentReference"/>
              </w:rPr>
              <w:commentReference w:id="17"/>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8"/>
            <w:r w:rsidDel="00000000" w:rsidR="00000000" w:rsidRPr="00000000">
              <w:rPr>
                <w:rFonts w:ascii="Times New Roman" w:cs="Times New Roman" w:eastAsia="Times New Roman" w:hAnsi="Times New Roman"/>
                <w:sz w:val="18"/>
                <w:szCs w:val="18"/>
                <w:rtl w:val="0"/>
              </w:rPr>
              <w:t xml:space="preserve">Índice de compromiso ≥ 93/100 y adopción interna de Blue Buddy ≥ 95% a 18 meses. Definir la línea base de productividad y de automatizaciones en los primeros 6 meses.</w:t>
            </w:r>
            <w:commentRangeEnd w:id="18"/>
            <w:r>
              <w:rPr>
                <w:rStyle w:val="CommentReference"/>
              </w:rPr>
              <w:commentReference w:id="18"/>
            </w:r>
          </w:p>
        </w:tc>
      </w:tr>
    </w:tbl>
    <w:p w:rsidR="00000000" w:rsidDel="00000000" w:rsidP="00000000" w:rsidRDefault="00000000" w:rsidRPr="00000000" w14:paraId="00000122">
      <w:pPr>
        <w:spacing w:after="160" w:before="4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commentRangeStart w:id="19"/>
      <w:r w:rsidDel="00000000" w:rsidR="00000000" w:rsidRPr="00000000">
        <w:rPr>
          <w:rFonts w:ascii="Times New Roman" w:cs="Times New Roman" w:eastAsia="Times New Roman" w:hAnsi="Times New Roman"/>
          <w:rtl w:val="0"/>
        </w:rPr>
        <w:t>Elaboración propia con base en Banco BBVA Perú (2026a, 2026b) y BBVA (2025). Las líneas base corresponden a datos públicos del periodo indicado; las metas a 18 meses son propuestas del equipo, pendientes de validación con la entidad. La frase “NO HAY FUENTES EN INTERNET DISPONIBLES” señala indicadores sin dato público, que deberán instrumentarse como parte de la meta.</w:t>
      </w:r>
      <w:commentRangeEnd w:id="19"/>
      <w:r>
        <w:rPr>
          <w:rStyle w:val="CommentReference"/>
        </w:rPr>
        <w:commentReference w:id="19"/>
      </w:r>
    </w:p>
    <w:p w:rsidR="00000000" w:rsidDel="00000000" w:rsidP="00000000" w:rsidRDefault="00000000" w:rsidRPr="00000000" w14:paraId="00000123">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tosgnrhasqtx" w:id="11"/>
      <w:bookmarkEnd w:id="11"/>
      <w:r w:rsidDel="00000000" w:rsidR="00000000" w:rsidRPr="00000000">
        <w:rPr>
          <w:rFonts w:ascii="Times New Roman" w:cs="Times New Roman" w:eastAsia="Times New Roman" w:hAnsi="Times New Roman"/>
          <w:b w:val="1"/>
          <w:bCs w:val="1"/>
          <w:sz w:val="22"/>
          <w:szCs w:val="22"/>
          <w:rtl w:val="0"/>
        </w:rPr>
        <w:t xml:space="preserve">Inventarios de procesos</w:t>
      </w:r>
    </w:p>
    <w:p w:rsidR="00000000" w:rsidDel="00000000" w:rsidP="00000000" w:rsidRDefault="00000000" w:rsidRPr="00000000" w14:paraId="00000124">
      <w:pPr>
        <w:spacing w:before="200" w:lineRule="auto"/>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operación tecnológica del Banco combina plataformas transaccionales de alta disponibilidad, canales digitales que concentran la mayor parte de la actividad del cliente y una capa de datos y analítica en despliegue. A ello se suman procesos de control cuya forma responde a la regulación prudencial más que a decisiones internas, lo que permite especificarlos con mayor precisión que al resto.</w:t>
      </w:r>
    </w:p>
    <w:p w:rsidR="00000000" w:rsidDel="00000000" w:rsidP="00000000" w:rsidRDefault="00000000" w:rsidRPr="00000000" w14:paraId="00000125">
      <w:pPr>
        <w:spacing w:before="200" w:lineRule="auto"/>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11</w:t>
      </w:r>
    </w:p>
    <w:p w:rsidR="00000000" w:rsidDel="00000000" w:rsidP="00000000" w:rsidRDefault="00000000" w:rsidRPr="00000000" w14:paraId="00000126">
      <w:pPr>
        <w:spacing w:after="10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Inventario de procesos</w:t>
      </w:r>
      <w:r w:rsidDel="00000000" w:rsidR="00000000" w:rsidRPr="00000000">
        <w:rPr>
          <w:rtl w:val="0"/>
        </w:rPr>
      </w:r>
    </w:p>
    <w:tbl>
      <w:tblPr>
        <w:tblStyle w:val="Table11"/>
        <w:tblW w:w="8376.377952755905"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3.8488766885794"/>
        <w:gridCol w:w="3016.2645380336635"/>
        <w:gridCol w:w="3016.2645380336635"/>
        <w:tblGridChange w:id="0">
          <w:tblGrid>
            <w:gridCol w:w="2343.8488766885794"/>
            <w:gridCol w:w="3016.2645380336635"/>
            <w:gridCol w:w="3016.2645380336635"/>
          </w:tblGrid>
        </w:tblGridChange>
      </w:tblGrid>
      <w:tr>
        <w:trPr>
          <w:cantSplit w:val="0"/>
          <w:tblHeader w:val="0"/>
        </w:trPr>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afbfc"/>
              </w:rPr>
            </w:pPr>
            <w:r w:rsidDel="00000000" w:rsidR="00000000" w:rsidRPr="00000000">
              <w:rPr>
                <w:rFonts w:ascii="Times New Roman" w:cs="Times New Roman" w:eastAsia="Times New Roman" w:hAnsi="Times New Roman"/>
                <w:b w:val="1"/>
                <w:bCs w:val="1"/>
                <w:color w:val="fafbfc"/>
                <w:rtl w:val="0"/>
              </w:rPr>
              <w:t xml:space="preserve">Macroproceso</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b w:val="1"/>
                <w:bCs w:val="1"/>
                <w:color w:val="fafbfc"/>
              </w:rPr>
            </w:pPr>
            <w:r w:rsidDel="00000000" w:rsidR="00000000" w:rsidRPr="00000000">
              <w:rPr>
                <w:rFonts w:ascii="Times New Roman" w:cs="Times New Roman" w:eastAsia="Times New Roman" w:hAnsi="Times New Roman"/>
                <w:b w:val="1"/>
                <w:bCs w:val="1"/>
                <w:color w:val="fafbfc"/>
                <w:rtl w:val="0"/>
              </w:rPr>
              <w:t xml:space="preserve">Procesos</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b w:val="1"/>
                <w:bCs w:val="1"/>
                <w:color w:val="fafbfc"/>
              </w:rPr>
            </w:pPr>
            <w:r w:rsidDel="00000000" w:rsidR="00000000" w:rsidRPr="00000000">
              <w:rPr>
                <w:rFonts w:ascii="Times New Roman" w:cs="Times New Roman" w:eastAsia="Times New Roman" w:hAnsi="Times New Roman"/>
                <w:b w:val="1"/>
                <w:bCs w:val="1"/>
                <w:color w:val="fafbfc"/>
                <w:rtl w:val="0"/>
              </w:rPr>
              <w:t xml:space="preserve">Clasificación según cadena de valor</w:t>
            </w:r>
          </w:p>
        </w:tc>
      </w:tr>
      <w:tr>
        <w:trPr>
          <w:cantSplit w:val="0"/>
          <w:trHeight w:val="150" w:hRule="atLeast"/>
          <w:tblHeader w:val="0"/>
        </w:trPr>
        <w:tc>
          <w:tcPr>
            <w:vMerge w:val="restart"/>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Desarrollo de soluciones digitales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y desarrollo de soluciones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de plataformas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Calidad y pruebas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Operación de canales y servicios digitales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del core transaccional</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Primaria</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de canales digitales</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Primaria</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y atención de incidentes</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Primaria</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Gestión de datos, analítica e inteligencia artificial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Gobierno de datos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de la plataforma de datos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y operación de modelos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Seguridad de la información y ciberseguridad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gestión de seguridad de la información</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Identidades y accesos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Monitoreo y respuesta a incidentes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vulnerabilidades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Continuidad del negocio y resiliencia operacional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Análisis de impacto en el negocio</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Estrategias de continuidad</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y simulacros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proveedores tecnológicos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bl>
    <w:p w:rsidR="00000000" w:rsidDel="00000000" w:rsidP="00000000" w:rsidRDefault="00000000" w:rsidRPr="00000000" w14:paraId="0000015D">
      <w:pPr>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w:t>
      </w:r>
      <w:r w:rsidDel="00000000" w:rsidR="00000000" w:rsidRPr="00000000">
        <w:rPr>
          <w:rtl w:val="0"/>
        </w:rPr>
      </w:r>
    </w:p>
    <w:p w:rsidR="00000000" w:rsidDel="00000000" w:rsidP="00000000" w:rsidRDefault="00000000" w:rsidRPr="00000000" w14:paraId="0000015E">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frsmtn7zpxyg" w:id="12"/>
      <w:bookmarkEnd w:id="12"/>
      <w:r w:rsidDel="00000000" w:rsidR="00000000" w:rsidRPr="00000000">
        <w:rPr>
          <w:rFonts w:ascii="Times New Roman" w:cs="Times New Roman" w:eastAsia="Times New Roman" w:hAnsi="Times New Roman"/>
          <w:b w:val="1"/>
          <w:bCs w:val="1"/>
          <w:sz w:val="22"/>
          <w:szCs w:val="22"/>
          <w:rtl w:val="0"/>
        </w:rPr>
        <w:t xml:space="preserve">Procesos críticos</w:t>
      </w:r>
    </w:p>
    <w:p w:rsidR="00000000" w:rsidDel="00000000" w:rsidP="00000000" w:rsidRDefault="00000000" w:rsidRPr="00000000" w14:paraId="0000015F">
      <w:pPr>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proceso se considera crítico cuando su falla impide alcanzar un objetivo estratégico declarado, genera pérdida económica material o expone al Banco a incumplimiento regulatorio. La evaluación pondera cinco criterios: contribución a las prioridades del ciclo 2025-2029, impacto económico, exposición regulatoria, volumen de ejecución y dependencia de los demás procesos. El criterio regulatorio recoge la orientación reciente del supervisor, que trasladó la exigencia de resiliencia operacional hacia los servicios prestados por canales digitales (SBS, 2025).</w:t>
      </w:r>
      <w:commentRangeStart w:id="20"/>
      <w:r w:rsidDel="00000000" w:rsidR="00000000" w:rsidRPr="00000000">
        <w:rPr>
          <w:rFonts w:ascii="Times New Roman" w:cs="Times New Roman" w:eastAsia="Times New Roman" w:hAnsi="Times New Roman"/>
          <w:rtl w:val="0"/>
        </w:rPr>
        <w:t xml:space="preserve"> Además, la criticidad se verifica contra la totalidad de los objetivos de la Tabla 10: cada macroproceso crítico se asocia de forma explícita con los objetivos que habilita, de modo que OE1 a OE6 queden cubiertos.</w:t>
      </w:r>
      <w:commentRangeEnd w:id="20"/>
      <w:r>
        <w:rPr>
          <w:rStyle w:val="CommentReference"/>
        </w:rPr>
        <w:commentReference w:id="20"/>
      </w:r>
    </w:p>
    <w:p w:rsidR="00000000" w:rsidDel="00000000" w:rsidP="00000000" w:rsidRDefault="00000000" w:rsidRPr="00000000" w14:paraId="00000160">
      <w:pPr>
        <w:spacing w:before="200" w:lineRule="auto"/>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12</w:t>
      </w:r>
    </w:p>
    <w:p w:rsidR="00000000" w:rsidDel="00000000" w:rsidP="00000000" w:rsidRDefault="00000000" w:rsidRPr="00000000" w14:paraId="00000161">
      <w:pPr>
        <w:spacing w:after="100" w:lineRule="auto"/>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Macroprocesos y procesos críticos</w:t>
      </w:r>
    </w:p>
    <w:tbl>
      <w:tblPr>
        <w:tblStyle w:val="Table12"/>
        <w:tblW w:w="8385"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3600"/>
        <w:gridCol w:w="2785"/>
        <w:tblGridChange w:id="0">
          <w:tblGrid>
            <w:gridCol w:w="3285"/>
            <w:gridCol w:w="5100"/>
          </w:tblGrid>
        </w:tblGridChange>
      </w:tblGrid>
      <w:tr>
        <w:trPr>
          <w:cantSplit w:val="0"/>
          <w:tblHeader w:val="1"/>
        </w:trPr>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afbfc"/>
                <w:sz w:val="18"/>
                <w:szCs w:val="18"/>
              </w:rPr>
            </w:pPr>
            <w:r w:rsidDel="00000000" w:rsidR="00000000" w:rsidRPr="00000000">
              <w:rPr>
                <w:rFonts w:ascii="Times New Roman" w:cs="Times New Roman" w:eastAsia="Times New Roman" w:hAnsi="Times New Roman"/>
                <w:color w:val="fafbfc"/>
                <w:sz w:val="18"/>
                <w:szCs w:val="18"/>
                <w:rtl w:val="0"/>
              </w:rPr>
              <w:t xml:space="preserve">Macroproceso </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afbfc"/>
                <w:sz w:val="18"/>
                <w:szCs w:val="18"/>
              </w:rPr>
            </w:pPr>
            <w:r w:rsidDel="00000000" w:rsidR="00000000" w:rsidRPr="00000000">
              <w:rPr>
                <w:rFonts w:ascii="Times New Roman" w:cs="Times New Roman" w:eastAsia="Times New Roman" w:hAnsi="Times New Roman"/>
                <w:color w:val="fafbfc"/>
                <w:sz w:val="18"/>
                <w:szCs w:val="18"/>
                <w:rtl w:val="0"/>
              </w:rPr>
              <w:t xml:space="preserve">Fundamento de la criticidad </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afbfc"/>
                <w:sz w:val="18"/>
                <w:szCs w:val="18"/>
              </w:rPr>
            </w:pPr>
            <w:commentRangeStart w:id="21"/>
            <w:r w:rsidDel="00000000" w:rsidR="00000000" w:rsidRPr="00000000">
              <w:rPr>
                <w:rFonts w:ascii="Times New Roman" w:cs="Times New Roman" w:eastAsia="Times New Roman" w:hAnsi="Times New Roman"/>
                <w:color w:val="fafbfc"/>
                <w:sz w:val="18"/>
                <w:szCs w:val="18"/>
                <w:rtl w:val="0"/>
              </w:rPr>
              <w:t xml:space="preserve">Objetivos estratégicos que habilita</w:t>
            </w:r>
            <w:commentRangeEnd w:id="21"/>
            <w:r>
              <w:rPr>
                <w:rStyle w:val="CommentReference"/>
              </w:rPr>
              <w:commentReference w:id="21"/>
            </w:r>
          </w:p>
        </w:tc>
      </w:tr>
      <w:tr>
        <w:trPr>
          <w:cantSplit w:val="0"/>
          <w:tblHeader w:val="0"/>
        </w:trPr>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Operación de canales y servicios digitales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Procesa 581.7 millones de transacciones digitales anuales y más del 81% de las operaciones del Banco. La norma de continuidad exige priorizar los servicios prestados por canales digitales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commentRangeStart w:id="22"/>
            <w:r w:rsidDel="00000000" w:rsidR="00000000" w:rsidRPr="00000000">
              <w:rPr>
                <w:rFonts w:ascii="Times New Roman" w:cs="Times New Roman" w:eastAsia="Times New Roman" w:hAnsi="Times New Roman"/>
                <w:sz w:val="18"/>
                <w:szCs w:val="18"/>
                <w:rtl w:val="0"/>
              </w:rPr>
              <w:t xml:space="preserve">OE1: sostiene la experiencia omnicanal y el NPS (retail 52.57%; pyme 33.6%). OE3: soporta el onboarding y las soluciones transaccionales de empresas (cash management). OE4: concentra el volumen operativo que determina el ratio de eficiencia (40.0% al 2T 2026).</w:t>
            </w:r>
            <w:commentRangeEnd w:id="22"/>
            <w:r>
              <w:rPr>
                <w:rStyle w:val="CommentReference"/>
              </w:rPr>
              <w:commentReference w:id="22"/>
            </w:r>
          </w:p>
        </w:tc>
      </w:tr>
      <w:tr>
        <w:trPr>
          <w:cantSplit w:val="0"/>
          <w:tblHeader w:val="0"/>
        </w:trPr>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Gestión de datos, analítica e inteligencia artificial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Materializa el objetivo OE5, que declara la disponibilidad de datos y las tecnologías de nueva generación como prioridad estratégica. Sustenta la plataforma corporativa de datos desplegada en 2025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commentRangeStart w:id="23"/>
            <w:r w:rsidDel="00000000" w:rsidR="00000000" w:rsidRPr="00000000">
              <w:rPr>
                <w:rFonts w:ascii="Times New Roman" w:cs="Times New Roman" w:eastAsia="Times New Roman" w:hAnsi="Times New Roman"/>
                <w:sz w:val="18"/>
                <w:szCs w:val="18"/>
                <w:rtl w:val="0"/>
              </w:rPr>
              <w:t xml:space="preserve">OE5: objetivo directo. OE2: aloja la taxonomía, la trazabilidad y los datos ESG con que se mide y reporta la facturación sostenible (S/ 8,989 millones al 1S 2026). OE4: aporta rentabilidad por cliente, pricing y modelos de riesgo que sustentan el ROE (18.7%) y la mora (2.69%). OE6: calidad de datos y automatizaciones internas.</w:t>
            </w:r>
            <w:commentRangeEnd w:id="23"/>
            <w:r>
              <w:rPr>
                <w:rStyle w:val="CommentReference"/>
              </w:rPr>
              <w:commentReference w:id="23"/>
            </w:r>
          </w:p>
        </w:tc>
      </w:tr>
      <w:tr>
        <w:trPr>
          <w:cantSplit w:val="0"/>
          <w:tblHeader w:val="0"/>
        </w:trPr>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Seguridad de la información y ciberseguridad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Único macroproceso sujeto a régimen normativo con sanciones propias, construido sobre estándares NIST e ISO/IEC. Protege la operación digital y los datos de 9,465,848 clientes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commentRangeStart w:id="24"/>
            <w:r w:rsidDel="00000000" w:rsidR="00000000" w:rsidRPr="00000000">
              <w:rPr>
                <w:rFonts w:ascii="Times New Roman" w:cs="Times New Roman" w:eastAsia="Times New Roman" w:hAnsi="Times New Roman"/>
                <w:sz w:val="18"/>
                <w:szCs w:val="18"/>
                <w:rtl w:val="0"/>
              </w:rPr>
              <w:t xml:space="preserve">Habilitador transversal: protege los datos y la continuidad que requieren todos los objetivos. OE1: confianza del cliente. OE2: integridad del dato ESG reportado. OE5: datos gobernados, seguridad y observabilidad (Tabla 10).</w:t>
            </w:r>
            <w:commentRangeEnd w:id="24"/>
            <w:r>
              <w:rPr>
                <w:rStyle w:val="CommentReference"/>
              </w:rPr>
              <w:commentReference w:id="24"/>
            </w:r>
          </w:p>
        </w:tc>
      </w:tr>
    </w:tbl>
    <w:p w:rsidR="00000000" w:rsidDel="00000000" w:rsidP="00000000" w:rsidRDefault="00000000" w:rsidRPr="00000000" w14:paraId="0000016A">
      <w:pPr>
        <w:ind w:left="1440" w:firstLine="0"/>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Nota.</w:t>
      </w:r>
      <w:commentRangeStart w:id="25"/>
      <w:r w:rsidDel="00000000" w:rsidR="00000000" w:rsidRPr="00000000">
        <w:rPr>
          <w:rFonts w:ascii="Times New Roman" w:cs="Times New Roman" w:eastAsia="Times New Roman" w:hAnsi="Times New Roman"/>
          <w:rtl w:val="0"/>
        </w:rPr>
        <w:t xml:space="preserve"> Elaboración propia con base en la Tabla 10. Cobertura: OE1, OE3 y OE4 por la operación de canales; OE2, OE4, OE5 y OE6 por la gestión de datos, analítica e IA; y seguridad como habilitador transversal. Cada objetivo cuenta con al menos un macroproceso crítico.</w:t>
      </w:r>
      <w:commentRangeEnd w:id="25"/>
      <w:r>
        <w:rPr>
          <w:rStyle w:val="CommentReference"/>
        </w:rPr>
        <w:commentReference w:id="25"/>
      </w:r>
    </w:p>
    <w:p w:rsidR="00000000" w:rsidDel="00000000" w:rsidP="00000000" w:rsidRDefault="00000000" w:rsidRPr="00000000" w14:paraId="0000016B">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at2p2npcubj4" w:id="13"/>
      <w:bookmarkEnd w:id="13"/>
      <w:r w:rsidDel="00000000" w:rsidR="00000000" w:rsidRPr="00000000">
        <w:rPr>
          <w:rFonts w:ascii="Times New Roman" w:cs="Times New Roman" w:eastAsia="Times New Roman" w:hAnsi="Times New Roman"/>
          <w:b w:val="1"/>
          <w:bCs w:val="1"/>
          <w:sz w:val="22"/>
          <w:szCs w:val="22"/>
          <w:rtl w:val="0"/>
        </w:rPr>
        <w:t xml:space="preserve">Análisis de competitividad</w:t>
      </w:r>
    </w:p>
    <w:p w:rsidR="00000000" w:rsidDel="00000000" w:rsidP="00000000" w:rsidRDefault="00000000" w:rsidRPr="00000000" w14:paraId="0000016C">
      <w:pPr>
        <w:ind w:left="566.92913385826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acuerdo a lo analizado en los dos puntos anteriores, se procede a realizar una análisis de competitividad, en base al modelo de las 5 fuerzas de Porter.</w:t>
      </w:r>
    </w:p>
    <w:p w:rsidR="00000000" w:rsidDel="00000000" w:rsidP="00000000" w:rsidRDefault="00000000" w:rsidRPr="00000000" w14:paraId="0000016D">
      <w:pPr>
        <w:ind w:left="566.9291338582675"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E">
      <w:pPr>
        <w:spacing w:after="100" w:lineRule="auto"/>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13</w:t>
      </w:r>
    </w:p>
    <w:p w:rsidR="00000000" w:rsidDel="00000000" w:rsidP="00000000" w:rsidRDefault="00000000" w:rsidRPr="00000000" w14:paraId="0000016F">
      <w:pPr>
        <w:spacing w:after="100" w:lineRule="auto"/>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Analisis de Fuerzas de Porter</w:t>
      </w:r>
    </w:p>
    <w:tbl>
      <w:tblPr>
        <w:tblStyle w:val="Table13"/>
        <w:tblW w:w="8295.0"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265"/>
        <w:gridCol w:w="1110"/>
        <w:tblGridChange w:id="0">
          <w:tblGrid>
            <w:gridCol w:w="1920"/>
            <w:gridCol w:w="5265"/>
            <w:gridCol w:w="1110"/>
          </w:tblGrid>
        </w:tblGridChange>
      </w:tblGrid>
      <w:tr>
        <w:trPr>
          <w:cantSplit w:val="0"/>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70">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Fuerza</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71">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Análisis</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72">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Grado de relevancia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Rivalidad entre competidores existentes </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4">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w:t>
            </w:r>
            <w:r w:rsidDel="00000000" w:rsidR="00000000" w:rsidRPr="00000000">
              <w:rPr>
                <w:rFonts w:ascii="Times New Roman" w:cs="Times New Roman" w:eastAsia="Times New Roman" w:hAnsi="Times New Roman"/>
                <w:rtl w:val="0"/>
              </w:rPr>
              <w:t xml:space="preserve">l Banco BBVA Perú compite de manera agresiva frente a otras entidades de primer nivel por el liderazgo de los segmentos clave, registrando al cierre del segundo trimestre de 2026 colocaciones netas por S/ 82,194 millones (+10.4% interanual) y obligaciones con el público por S/ 87,202 millones (+14.5% interanual), impulsadas por los portafolios minorista, corporativo y pyme (Banco BBVA Perú, 2026). Al cierre del ejercicio 2025, el banco consolidó una cuota de mercado del 22.09% en colocaciones vigentes —liderando la banca de personas con un 22.7% de participación y los préstamos de consumo con un 19.7%— y un 20.90% en depósitos totales (Banco BBVA Perú, 2025)</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6">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Amenaza de nuevos competidores </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7">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marco regulatorio exige a las empresas del Régimen General cumplir con estrictos requerimientos mínimos de solvencia patrimonial, que incluyen límites globales de capital del 10% y el mantenimiento de niveles de Capital Ordinario de Nivel 1 (CET1) por encima de ciertos umbrales (como el requerimiento específico mayor al 10% para el BBVA Perú) (Banco BBVA Perú, 2026). Adicionalmente, la rigurosa y especializada normativa emitida por la Superintendencia de Banca, Seguros y AFP (SBS), reflejada en el Reglamento para la Gestión de la Seguridad de la Información y la Ciberseguridad (Resolución SBS N° 504-2021) y el Reglamento para la Gestión de la Continuidad del Negocio (Resolución SBS N° 877-2020), impone altos estándares y costosos sistemas de control tecnológico y ciberseguridad, lo que restringe significativamente la posibilidad de ingreso de nuevos intermediarios tradicionales (Superintendencia de Banca, Seguros y AFP, 2020, 2021).</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9">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Amenaza de productos o servicios sustitutos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A">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amenaza de productos sustitutos en el mercado financiero peruano proviene principalmente de la rápida expansión de plataformas de tecnología financiera (fintech), cooperativas de ahorro y crédito, y billeteras digitales móviles de transacciones cotidianas que simplifican el flujo del dinero (Banco BBVA Perú, 2025). Para contrarrestar esta amenaza de desvío digital, el banco ha integrado a su propuesta comercial soluciones móviles de alta adopción inmediata como Plin y cobros inmediatos mediante códigos QR, promoviendo iniciativas de gamificación como "Raspa y gana" para incentivar la retención de flujos y fondos de destino (BBVA Perú, s.f.; Banco BBVA Perú, 2025). De igual manera, el fomento del autoservicio y la digitalización integral, como la apertura de cuentas de manera 100% digital "E2E" desde la App en un promedio de cuatro minutos, permiten mitigar el abandono de los clientes tradicionales frente a competidores ágiles independientes (BBVA Perú, s.f.; Banco BBVA Perú, 2025).</w:t>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C">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Poder de negociación de los clientes </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D">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fin de contrarrestar este poder y evitar la fuga de usuarios, BBVA Perú se enfoca activamente en la estrategia "RCP" (Radical Client Perspective) para colocar la visión del cliente en el centro de todas las decisiones corporativas mediante principios de excelencia operativa, propuestas diferenciadas e hiperpersonalización basada en inteligencia artificial (IA) (Banco BBVA Perú, 2025)</w:t>
            </w:r>
          </w:p>
          <w:p w:rsidR="00000000" w:rsidDel="00000000" w:rsidP="00000000" w:rsidRDefault="00000000" w:rsidRPr="00000000" w14:paraId="0000017E">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Gracias a este enfoque de fidelización y a herramientas digitales de salud financiera, el banco logró registrar al cierre del 2025 una destacada tasa de retención de clientes del 83% en número y del 86% en monto, sustentada por un Net Promoter Score (NPS) retail sobresaliente del 52.57%, el cual superó en +241 puntos básicos al segundo banco de la competencia (Banco BBVA Perú, 2025)</w:t>
            </w:r>
          </w:p>
          <w:p w:rsidR="00000000" w:rsidDel="00000000" w:rsidP="00000000" w:rsidRDefault="00000000" w:rsidRPr="00000000" w14:paraId="0000017F">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Asimismo, el desarrollo de funcionalidades de autoservicio para reprogramaciones y refinanciaciones digitales rápidas coadyuva a disminuir la fricción y a elevar el costo de cambio del cliente bancario (Banco BBVA Perú, 2025)</w:t>
            </w:r>
          </w:p>
          <w:p w:rsidR="00000000" w:rsidDel="00000000" w:rsidP="00000000" w:rsidRDefault="00000000" w:rsidRPr="00000000" w14:paraId="00000180">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81">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82">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Poder de negociación de los proveedores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83">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poder de negociación de los proveedores en la banca peruana recae principalmente en empresas de telecomunicaciones y tecnologías de procesamiento de datos e infraestructura en la nube global (como Amazon Web Services [AWS] y Google Cloud, que soportan plataformas centrales del banco como ADA) (Banco BBVA Perú, 2026; BBVA, 2025)</w:t>
            </w:r>
          </w:p>
          <w:p w:rsidR="00000000" w:rsidDel="00000000" w:rsidP="00000000" w:rsidRDefault="00000000" w:rsidRPr="00000000" w14:paraId="00000184">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 obstante, este poder se ve mitigado y controlado por la rigurosa gobernanza de compras responsables y Vendor Risk Management (VRM) del banco, la cual evalúa a los proveedores bajo un módulo estandarizado de ocho categorías de riesgo, que incluyen ciberseguridad, reputación, sostenibilidad y protección de datos (Banco BBVA Perú, 2025)</w:t>
            </w:r>
          </w:p>
          <w:p w:rsidR="00000000" w:rsidDel="00000000" w:rsidP="00000000" w:rsidRDefault="00000000" w:rsidRPr="00000000" w14:paraId="00000185">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 igual forma, las directrices de la SBS (Resolución SBS N° 504-2021) acotan fuertemente este poder al obligar formalmente al banco a evidenciar anualmente certificaciones de seguridad vigentes de sus proveedores (como ISO 27001, ISO 27017, ISO 27018, y reportes SOC 2) y a establecer contractualmente "estrategias de salida" claras para migrar la información sin comprometer la continuidad (Superintendencia de Banca, Seguros y AFP, 2021)</w:t>
            </w:r>
          </w:p>
          <w:p w:rsidR="00000000" w:rsidDel="00000000" w:rsidP="00000000" w:rsidRDefault="00000000" w:rsidRPr="00000000" w14:paraId="00000186">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87">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bl>
    <w:p w:rsidR="00000000" w:rsidDel="00000000" w:rsidP="00000000" w:rsidRDefault="00000000" w:rsidRPr="00000000" w14:paraId="00000188">
      <w:pPr>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w:t>
      </w:r>
      <w:r w:rsidDel="00000000" w:rsidR="00000000" w:rsidRPr="00000000">
        <w:rPr>
          <w:rtl w:val="0"/>
        </w:rPr>
      </w:r>
    </w:p>
    <w:p w:rsidR="00000000" w:rsidDel="00000000" w:rsidP="00000000" w:rsidRDefault="00000000" w:rsidRPr="00000000" w14:paraId="00000189">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uipuv34bifbe" w:id="14"/>
      <w:bookmarkEnd w:id="14"/>
      <w:r w:rsidDel="00000000" w:rsidR="00000000" w:rsidRPr="00000000">
        <w:rPr>
          <w:rFonts w:ascii="Times New Roman" w:cs="Times New Roman" w:eastAsia="Times New Roman" w:hAnsi="Times New Roman"/>
          <w:b w:val="1"/>
          <w:bCs w:val="1"/>
          <w:sz w:val="22"/>
          <w:szCs w:val="22"/>
          <w:rtl w:val="0"/>
        </w:rPr>
        <w:t xml:space="preserve">Referencias bibliográficas</w:t>
      </w:r>
      <w:r w:rsidDel="00000000" w:rsidR="00000000" w:rsidRPr="00000000">
        <w:rPr>
          <w:rtl w:val="0"/>
        </w:rPr>
      </w:r>
    </w:p>
    <w:p w:rsidR="00000000" w:rsidDel="00000000" w:rsidP="00000000" w:rsidRDefault="00000000" w:rsidRPr="00000000" w14:paraId="0000018A">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Banco BBVA Perú. (2026a). </w:t>
      </w:r>
      <w:r w:rsidDel="00000000" w:rsidR="00000000" w:rsidRPr="00000000">
        <w:rPr>
          <w:rFonts w:ascii="Times New Roman" w:cs="Times New Roman" w:eastAsia="Times New Roman" w:hAnsi="Times New Roman"/>
          <w:i w:val="1"/>
          <w:iCs w:val="1"/>
          <w:rtl w:val="0"/>
        </w:rPr>
        <w:t xml:space="preserve">Informe de gestión 2T 2026</w:t>
      </w:r>
      <w:r w:rsidDel="00000000" w:rsidR="00000000" w:rsidRPr="00000000">
        <w:rPr>
          <w:rFonts w:ascii="Times New Roman" w:cs="Times New Roman" w:eastAsia="Times New Roman" w:hAnsi="Times New Roman"/>
          <w:rtl w:val="0"/>
        </w:rPr>
        <w:t xml:space="preserve">.</w:t>
      </w:r>
      <w:hyperlink r:id="rId13">
        <w:r w:rsidDel="00000000" w:rsidR="00000000" w:rsidRPr="00000000">
          <w:rPr>
            <w:rFonts w:ascii="Times New Roman" w:cs="Times New Roman" w:eastAsia="Times New Roman" w:hAnsi="Times New Roman"/>
            <w:rtl w:val="0"/>
          </w:rPr>
          <w:t xml:space="preserve"> </w:t>
        </w:r>
      </w:hyperlink>
      <w:hyperlink r:id="rId14">
        <w:r w:rsidDel="00000000" w:rsidR="00000000" w:rsidRPr="00000000">
          <w:rPr>
            <w:rFonts w:ascii="Times New Roman" w:cs="Times New Roman" w:eastAsia="Times New Roman" w:hAnsi="Times New Roman"/>
            <w:color w:val="0563c1"/>
            <w:u w:val="single"/>
            <w:rtl w:val="0"/>
          </w:rPr>
          <w:t xml:space="preserve">https://www.bbva.pe/content/dam/public-web/peru/documents/prefooter/informacion-financiera/informacion-anual/2026/informe-de-gestion-2T2026.pdf</w:t>
        </w:r>
      </w:hyperlink>
      <w:r w:rsidDel="00000000" w:rsidR="00000000" w:rsidRPr="00000000">
        <w:rPr>
          <w:rtl w:val="0"/>
        </w:rPr>
      </w:r>
    </w:p>
    <w:p w:rsidR="00000000" w:rsidDel="00000000" w:rsidP="00000000" w:rsidRDefault="00000000" w:rsidRPr="00000000" w14:paraId="0000018B">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Banco BBVA Perú. (2026b). </w:t>
      </w:r>
      <w:r w:rsidDel="00000000" w:rsidR="00000000" w:rsidRPr="00000000">
        <w:rPr>
          <w:rFonts w:ascii="Times New Roman" w:cs="Times New Roman" w:eastAsia="Times New Roman" w:hAnsi="Times New Roman"/>
          <w:i w:val="1"/>
          <w:iCs w:val="1"/>
          <w:rtl w:val="0"/>
        </w:rPr>
        <w:t xml:space="preserve">Memoria anual 2025: ¿Avanzamos? Informe integrado</w:t>
      </w:r>
      <w:r w:rsidDel="00000000" w:rsidR="00000000" w:rsidRPr="00000000">
        <w:rPr>
          <w:rFonts w:ascii="Times New Roman" w:cs="Times New Roman" w:eastAsia="Times New Roman" w:hAnsi="Times New Roman"/>
          <w:rtl w:val="0"/>
        </w:rPr>
        <w:t xml:space="preserve">.</w:t>
      </w:r>
      <w:hyperlink r:id="rId15">
        <w:r w:rsidDel="00000000" w:rsidR="00000000" w:rsidRPr="00000000">
          <w:rPr>
            <w:rFonts w:ascii="Times New Roman" w:cs="Times New Roman" w:eastAsia="Times New Roman" w:hAnsi="Times New Roman"/>
            <w:rtl w:val="0"/>
          </w:rPr>
          <w:t xml:space="preserve"> </w:t>
        </w:r>
      </w:hyperlink>
      <w:hyperlink r:id="rId16">
        <w:r w:rsidDel="00000000" w:rsidR="00000000" w:rsidRPr="00000000">
          <w:rPr>
            <w:rFonts w:ascii="Times New Roman" w:cs="Times New Roman" w:eastAsia="Times New Roman" w:hAnsi="Times New Roman"/>
            <w:color w:val="0563c1"/>
            <w:u w:val="single"/>
            <w:rtl w:val="0"/>
          </w:rPr>
          <w:t xml:space="preserve">https://www.bbva.pe/content/dam/public-web/peru/documents/personas/investor-relations/vii-Memoria-Anual-2025.pdf</w:t>
        </w:r>
      </w:hyperlink>
      <w:r w:rsidDel="00000000" w:rsidR="00000000" w:rsidRPr="00000000">
        <w:rPr>
          <w:rtl w:val="0"/>
        </w:rPr>
      </w:r>
    </w:p>
    <w:p w:rsidR="00000000" w:rsidDel="00000000" w:rsidP="00000000" w:rsidRDefault="00000000" w:rsidRPr="00000000" w14:paraId="0000018C">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BBVA. (2025, 30 de abril). </w:t>
      </w:r>
      <w:r w:rsidDel="00000000" w:rsidR="00000000" w:rsidRPr="00000000">
        <w:rPr>
          <w:rFonts w:ascii="Times New Roman" w:cs="Times New Roman" w:eastAsia="Times New Roman" w:hAnsi="Times New Roman"/>
          <w:i w:val="1"/>
          <w:iCs w:val="1"/>
          <w:rtl w:val="0"/>
        </w:rPr>
        <w:t xml:space="preserve">Prioridades estratégicas</w:t>
      </w:r>
      <w:r w:rsidDel="00000000" w:rsidR="00000000" w:rsidRPr="00000000">
        <w:rPr>
          <w:rFonts w:ascii="Times New Roman" w:cs="Times New Roman" w:eastAsia="Times New Roman" w:hAnsi="Times New Roman"/>
          <w:rtl w:val="0"/>
        </w:rPr>
        <w:t xml:space="preserve">.</w:t>
      </w:r>
      <w:hyperlink r:id="rId17">
        <w:r w:rsidDel="00000000" w:rsidR="00000000" w:rsidRPr="00000000">
          <w:rPr>
            <w:rFonts w:ascii="Times New Roman" w:cs="Times New Roman" w:eastAsia="Times New Roman" w:hAnsi="Times New Roman"/>
            <w:rtl w:val="0"/>
          </w:rPr>
          <w:t xml:space="preserve"> </w:t>
        </w:r>
      </w:hyperlink>
      <w:hyperlink r:id="rId18">
        <w:r w:rsidDel="00000000" w:rsidR="00000000" w:rsidRPr="00000000">
          <w:rPr>
            <w:rFonts w:ascii="Times New Roman" w:cs="Times New Roman" w:eastAsia="Times New Roman" w:hAnsi="Times New Roman"/>
            <w:color w:val="0563c1"/>
            <w:u w:val="single"/>
            <w:rtl w:val="0"/>
          </w:rPr>
          <w:t xml:space="preserve">https://accionistaseinversores.bbva.com/grupo-bbva/estrategia-la-transformacion-en-bbva/prioridades-estrategicas/</w:t>
        </w:r>
      </w:hyperlink>
      <w:r w:rsidDel="00000000" w:rsidR="00000000" w:rsidRPr="00000000">
        <w:rPr>
          <w:rtl w:val="0"/>
        </w:rPr>
      </w:r>
    </w:p>
    <w:p w:rsidR="00000000" w:rsidDel="00000000" w:rsidP="00000000" w:rsidRDefault="00000000" w:rsidRPr="00000000" w14:paraId="0000018D">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BBVA. (2026, 12 de enero). </w:t>
      </w:r>
      <w:r w:rsidDel="00000000" w:rsidR="00000000" w:rsidRPr="00000000">
        <w:rPr>
          <w:rFonts w:ascii="Times New Roman" w:cs="Times New Roman" w:eastAsia="Times New Roman" w:hAnsi="Times New Roman"/>
          <w:i w:val="1"/>
          <w:iCs w:val="1"/>
          <w:rtl w:val="0"/>
        </w:rPr>
        <w:t xml:space="preserve">BBVA completes its global move to the cloud with a single data and artificial intelligence platform</w:t>
      </w:r>
      <w:r w:rsidDel="00000000" w:rsidR="00000000" w:rsidRPr="00000000">
        <w:rPr>
          <w:rFonts w:ascii="Times New Roman" w:cs="Times New Roman" w:eastAsia="Times New Roman" w:hAnsi="Times New Roman"/>
          <w:rtl w:val="0"/>
        </w:rPr>
        <w:t xml:space="preserve">.</w:t>
      </w:r>
      <w:hyperlink r:id="rId19">
        <w:r w:rsidDel="00000000" w:rsidR="00000000" w:rsidRPr="00000000">
          <w:rPr>
            <w:rFonts w:ascii="Times New Roman" w:cs="Times New Roman" w:eastAsia="Times New Roman" w:hAnsi="Times New Roman"/>
            <w:rtl w:val="0"/>
          </w:rPr>
          <w:t xml:space="preserve"> </w:t>
        </w:r>
      </w:hyperlink>
      <w:hyperlink r:id="rId20">
        <w:r w:rsidDel="00000000" w:rsidR="00000000" w:rsidRPr="00000000">
          <w:rPr>
            <w:rFonts w:ascii="Times New Roman" w:cs="Times New Roman" w:eastAsia="Times New Roman" w:hAnsi="Times New Roman"/>
            <w:color w:val="0563c1"/>
            <w:u w:val="single"/>
            <w:rtl w:val="0"/>
          </w:rPr>
          <w:t xml:space="preserve">https://www.bbva.com/en/innovation/bbva-completes-its-global-move-to-the-cloud-with-a-single-data-and-artificial-intelligence-platform/</w:t>
        </w:r>
      </w:hyperlink>
      <w:r w:rsidDel="00000000" w:rsidR="00000000" w:rsidRPr="00000000">
        <w:rPr>
          <w:rtl w:val="0"/>
        </w:rPr>
      </w:r>
    </w:p>
    <w:p w:rsidR="00000000" w:rsidDel="00000000" w:rsidP="00000000" w:rsidRDefault="00000000" w:rsidRPr="00000000" w14:paraId="0000018E">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BBVA Perú. (s. f.). </w:t>
      </w:r>
      <w:r w:rsidDel="00000000" w:rsidR="00000000" w:rsidRPr="00000000">
        <w:rPr>
          <w:rFonts w:ascii="Times New Roman" w:cs="Times New Roman" w:eastAsia="Times New Roman" w:hAnsi="Times New Roman"/>
          <w:i w:val="1"/>
          <w:iCs w:val="1"/>
          <w:rtl w:val="0"/>
        </w:rPr>
        <w:t xml:space="preserve">BBVA Perú: El BBVA te da la bienvenida</w:t>
      </w:r>
      <w:r w:rsidDel="00000000" w:rsidR="00000000" w:rsidRPr="00000000">
        <w:rPr>
          <w:rFonts w:ascii="Times New Roman" w:cs="Times New Roman" w:eastAsia="Times New Roman" w:hAnsi="Times New Roman"/>
          <w:rtl w:val="0"/>
        </w:rPr>
        <w:t xml:space="preserve">.</w:t>
      </w:r>
      <w:hyperlink r:id="rId21">
        <w:r w:rsidDel="00000000" w:rsidR="00000000" w:rsidRPr="00000000">
          <w:rPr>
            <w:rFonts w:ascii="Times New Roman" w:cs="Times New Roman" w:eastAsia="Times New Roman" w:hAnsi="Times New Roman"/>
            <w:rtl w:val="0"/>
          </w:rPr>
          <w:t xml:space="preserve"> </w:t>
        </w:r>
      </w:hyperlink>
      <w:hyperlink r:id="rId22">
        <w:r w:rsidDel="00000000" w:rsidR="00000000" w:rsidRPr="00000000">
          <w:rPr>
            <w:rFonts w:ascii="Times New Roman" w:cs="Times New Roman" w:eastAsia="Times New Roman" w:hAnsi="Times New Roman"/>
            <w:color w:val="0563c1"/>
            <w:u w:val="single"/>
            <w:rtl w:val="0"/>
          </w:rPr>
          <w:t xml:space="preserve">https://www.bbva.pe/personas.html</w:t>
        </w:r>
      </w:hyperlink>
      <w:r w:rsidDel="00000000" w:rsidR="00000000" w:rsidRPr="00000000">
        <w:rPr>
          <w:rtl w:val="0"/>
        </w:rPr>
      </w:r>
    </w:p>
    <w:p w:rsidR="00000000" w:rsidDel="00000000" w:rsidP="00000000" w:rsidRDefault="00000000" w:rsidRPr="00000000" w14:paraId="0000018F">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Osterwalder, A., &amp; Pigneur, Y. (2010). </w:t>
      </w:r>
      <w:r w:rsidDel="00000000" w:rsidR="00000000" w:rsidRPr="00000000">
        <w:rPr>
          <w:rFonts w:ascii="Times New Roman" w:cs="Times New Roman" w:eastAsia="Times New Roman" w:hAnsi="Times New Roman"/>
          <w:i w:val="1"/>
          <w:iCs w:val="1"/>
          <w:rtl w:val="0"/>
        </w:rPr>
        <w:t xml:space="preserve">Business model generation: A handbook for visionaries, game changers, and challengers</w:t>
      </w:r>
      <w:r w:rsidDel="00000000" w:rsidR="00000000" w:rsidRPr="00000000">
        <w:rPr>
          <w:rFonts w:ascii="Times New Roman" w:cs="Times New Roman" w:eastAsia="Times New Roman" w:hAnsi="Times New Roman"/>
          <w:rtl w:val="0"/>
        </w:rPr>
        <w:t xml:space="preserve">. John Wiley &amp; Sons.</w:t>
      </w:r>
      <w:hyperlink r:id="rId23">
        <w:r w:rsidDel="00000000" w:rsidR="00000000" w:rsidRPr="00000000">
          <w:rPr>
            <w:rFonts w:ascii="Times New Roman" w:cs="Times New Roman" w:eastAsia="Times New Roman" w:hAnsi="Times New Roman"/>
            <w:rtl w:val="0"/>
          </w:rPr>
          <w:t xml:space="preserve"> </w:t>
        </w:r>
      </w:hyperlink>
      <w:hyperlink r:id="rId24">
        <w:r w:rsidDel="00000000" w:rsidR="00000000" w:rsidRPr="00000000">
          <w:rPr>
            <w:rFonts w:ascii="Times New Roman" w:cs="Times New Roman" w:eastAsia="Times New Roman" w:hAnsi="Times New Roman"/>
            <w:color w:val="0563c1"/>
            <w:u w:val="single"/>
            <w:rtl w:val="0"/>
          </w:rPr>
          <w:t xml:space="preserve">https://www.wiley.com/en-us/Business%2BModel%2BGeneration%3A%2BA%2BHandbook%2Bfor%2BVisionaries%2C%2BGame%2BChangers%2C%2Band%2BChallengers-p-9780470876411</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Superintendencia de Banca, Seguros y AFP. (2021). </w:t>
      </w:r>
      <w:r w:rsidDel="00000000" w:rsidR="00000000" w:rsidRPr="00000000">
        <w:rPr>
          <w:rFonts w:ascii="Times New Roman" w:cs="Times New Roman" w:eastAsia="Times New Roman" w:hAnsi="Times New Roman"/>
          <w:i w:val="1"/>
          <w:iCs w:val="1"/>
          <w:rtl w:val="0"/>
        </w:rPr>
        <w:t xml:space="preserve">Resolución S.B.S. N° 504-2021. Reglamento para la Gestión de la Seguridad de la Información y la Ciberseguridad.</w:t>
      </w:r>
      <w:hyperlink r:id="rId25">
        <w:r w:rsidDel="00000000" w:rsidR="00000000" w:rsidRPr="00000000">
          <w:rPr>
            <w:rFonts w:ascii="Times New Roman" w:cs="Times New Roman" w:eastAsia="Times New Roman" w:hAnsi="Times New Roman"/>
            <w:i w:val="1"/>
            <w:iCs w:val="1"/>
            <w:rtl w:val="0"/>
          </w:rPr>
          <w:t xml:space="preserve"> </w:t>
        </w:r>
      </w:hyperlink>
      <w:hyperlink r:id="rId26">
        <w:r w:rsidDel="00000000" w:rsidR="00000000" w:rsidRPr="00000000">
          <w:rPr>
            <w:rFonts w:ascii="Times New Roman" w:cs="Times New Roman" w:eastAsia="Times New Roman" w:hAnsi="Times New Roman"/>
            <w:color w:val="0563c1"/>
            <w:u w:val="single"/>
            <w:rtl w:val="0"/>
          </w:rPr>
          <w:t xml:space="preserve">https://intranet2.sbs.gob.pe/dv_int_cn/2046/v2.0/Adjuntos/504-2021.R.pdf</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Superintendencia de Banca, Seguros y AFP. (2020). </w:t>
      </w:r>
      <w:r w:rsidDel="00000000" w:rsidR="00000000" w:rsidRPr="00000000">
        <w:rPr>
          <w:rFonts w:ascii="Times New Roman" w:cs="Times New Roman" w:eastAsia="Times New Roman" w:hAnsi="Times New Roman"/>
          <w:i w:val="1"/>
          <w:iCs w:val="1"/>
          <w:rtl w:val="0"/>
        </w:rPr>
        <w:t xml:space="preserve">Resolución S.B.S. N° 877-2020. Reglamento para la Gestión de la Continuidad del Negocio</w:t>
      </w:r>
      <w:r w:rsidDel="00000000" w:rsidR="00000000" w:rsidRPr="00000000">
        <w:rPr>
          <w:rFonts w:ascii="Times New Roman" w:cs="Times New Roman" w:eastAsia="Times New Roman" w:hAnsi="Times New Roman"/>
          <w:rtl w:val="0"/>
        </w:rPr>
        <w:t xml:space="preserve">.</w:t>
      </w:r>
      <w:hyperlink r:id="rId27">
        <w:r w:rsidDel="00000000" w:rsidR="00000000" w:rsidRPr="00000000">
          <w:rPr>
            <w:rFonts w:ascii="Times New Roman" w:cs="Times New Roman" w:eastAsia="Times New Roman" w:hAnsi="Times New Roman"/>
            <w:rtl w:val="0"/>
          </w:rPr>
          <w:t xml:space="preserve"> </w:t>
        </w:r>
      </w:hyperlink>
      <w:hyperlink r:id="rId28">
        <w:r w:rsidDel="00000000" w:rsidR="00000000" w:rsidRPr="00000000">
          <w:rPr>
            <w:rFonts w:ascii="Times New Roman" w:cs="Times New Roman" w:eastAsia="Times New Roman" w:hAnsi="Times New Roman"/>
            <w:color w:val="1155cc"/>
            <w:u w:val="single"/>
            <w:rtl w:val="0"/>
          </w:rPr>
          <w:t xml:space="preserve">https://intranet2.sbs.gob.pe/dv_int_cn/1894/v1.0/Adjuntos/877-2020.R.pdf</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Superintendencia de Banca, Seguros y AFP. (2025). </w:t>
      </w:r>
      <w:r w:rsidDel="00000000" w:rsidR="00000000" w:rsidRPr="00000000">
        <w:rPr>
          <w:rFonts w:ascii="Times New Roman" w:cs="Times New Roman" w:eastAsia="Times New Roman" w:hAnsi="Times New Roman"/>
          <w:i w:val="1"/>
          <w:iCs w:val="1"/>
          <w:rtl w:val="0"/>
        </w:rPr>
        <w:t xml:space="preserve">Resolución S.B.S. N° 00814-2025. Modifican el Reglamento para la Gestión de la Continuidad del Negocio y el Reglamento de Infracciones y Sanciones</w:t>
      </w:r>
      <w:r w:rsidDel="00000000" w:rsidR="00000000" w:rsidRPr="00000000">
        <w:rPr>
          <w:rFonts w:ascii="Times New Roman" w:cs="Times New Roman" w:eastAsia="Times New Roman" w:hAnsi="Times New Roman"/>
          <w:rtl w:val="0"/>
        </w:rPr>
        <w:t xml:space="preserve">.</w:t>
      </w:r>
      <w:hyperlink r:id="rId29">
        <w:r w:rsidDel="00000000" w:rsidR="00000000" w:rsidRPr="00000000">
          <w:rPr>
            <w:rFonts w:ascii="Times New Roman" w:cs="Times New Roman" w:eastAsia="Times New Roman" w:hAnsi="Times New Roman"/>
            <w:rtl w:val="0"/>
          </w:rPr>
          <w:t xml:space="preserve"> </w:t>
        </w:r>
      </w:hyperlink>
      <w:hyperlink r:id="rId30">
        <w:r w:rsidDel="00000000" w:rsidR="00000000" w:rsidRPr="00000000">
          <w:rPr>
            <w:rFonts w:ascii="Times New Roman" w:cs="Times New Roman" w:eastAsia="Times New Roman" w:hAnsi="Times New Roman"/>
            <w:color w:val="1155cc"/>
            <w:u w:val="single"/>
            <w:rtl w:val="0"/>
          </w:rPr>
          <w:t xml:space="preserve">https://vlex.com.pe/vid/resolucion-sbs-n-00814-1073736902</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sectPr>
      <w:pgSz w:h="16834" w:w="11909" w:orient="portrait"/>
      <w:pgMar w:bottom="1440" w:top="1440" w:left="1440" w:right="1399.133858267717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rge Josue Chamorro Cayetano" w:id="0" w:date="2026-09-24T01:36:33Z">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tenemos que aplicar las correcciones en base al feedback del JP para el entregable parcial</w:t>
      </w:r>
    </w:p>
  </w:comment>
  <w:comment w:id="1" w:author="Jorge Chamorro" w:initials="JC" w:date="2026-10-03T16:24:52Z">
    <w:p>
      <w:pPr>
        <w:pStyle w:val="CommentText"/>
      </w:pPr>
      <w:r>
        <w:rPr>
          <w:rStyle w:val="CommentReference"/>
        </w:rPr>
        <w:annotationRef/>
      </w:r>
      <w:r>
        <w:t>Corrección Práctica 1, criterio 1 (Descripción de la Empresa): el docente pidió profundizar la brecha NPS Retail 52.57% vs. Pyme 33.6%. Se cuantifica la brecha (52.57 − 33.6 = 18.97 puntos; 33.6 / 52.57 ≈ 0.64) y se agrega un tercer referente verificable, el NPS de Banca de Empresas e Instituciones (43.6%). Datos tomados de la Memoria anual 2025, pp. 26 y 29 (Banco BBVA Perú, 2026b).</w:t>
      </w:r>
    </w:p>
  </w:comment>
  <w:comment w:id="2" w:author="Jorge Chamorro" w:initials="JC" w:date="2026-10-03T16:24:52Z">
    <w:p>
      <w:pPr>
        <w:pStyle w:val="CommentText"/>
      </w:pPr>
      <w:r>
        <w:rPr>
          <w:rStyle w:val="CommentReference"/>
        </w:rPr>
        <w:annotationRef/>
      </w:r>
      <w:r>
        <w:t>Corrección Práctica 1, criterio 1: nuevo párrafo que operacionaliza la brecha de satisfacción (brecha absoluta, razón Pyme/Retail y distancia frente a BEI), como pidió el docente para sustentar las iniciativas de TI y los dolores de negocio de las siguientes prácticas. Se declara explícitamente que no se identificó un referente competitivo público del NPS Pyme (no se inventa dato). La meta de NPS Pyme ≥ 43.0% es una propuesta del equipo, pendiente de validación con la entidad.</w:t>
      </w:r>
    </w:p>
  </w:comment>
  <w:comment w:id="3" w:author="Jorge Chamorro" w:initials="JC" w:date="2026-10-03T16:24:52Z">
    <w:p>
      <w:pPr>
        <w:pStyle w:val="CommentText"/>
      </w:pPr>
      <w:r>
        <w:rPr>
          <w:rStyle w:val="CommentReference"/>
        </w:rPr>
        <w:annotationRef/>
      </w:r>
      <w:r>
        <w:t>Corrección Práctica 1, criterio 2 (Objetivos estratégicos, 2/3): el docente indicó que los objetivos deben ser plenamente cuantificables y que faltaban la línea base numérica del banco en el país y la meta cuantitativa concreta. Esta oración presenta las dos columnas nuevas de la Tabla 10.</w:t>
      </w:r>
    </w:p>
  </w:comment>
  <w:comment w:id="4" w:author="Jorge Chamorro" w:initials="JC" w:date="2026-10-03T16:24:52Z">
    <w:p>
      <w:pPr>
        <w:pStyle w:val="CommentText"/>
      </w:pPr>
      <w:r>
        <w:rPr>
          <w:rStyle w:val="CommentReference"/>
        </w:rPr>
        <w:annotationRef/>
      </w:r>
      <w:r>
        <w:t>Corrección Práctica 1, criterio 2: se actualiza el título de la Tabla 10 porque ahora incluye línea base y meta cuantitativa por objetivo. El número de tabla no cambia para no alterar la numeración de los demás entregables.</w:t>
      </w:r>
    </w:p>
  </w:comment>
  <w:comment w:id="5" w:author="Jorge Chamorro" w:initials="JC" w:date="2026-10-03T16:24:52Z">
    <w:p>
      <w:pPr>
        <w:pStyle w:val="CommentText"/>
      </w:pPr>
      <w:r>
        <w:rPr>
          <w:rStyle w:val="CommentReference"/>
        </w:rPr>
        <w:annotationRef/>
      </w:r>
      <w:r>
        <w:t>Corrección Práctica 1, criterio 2: columna nueva con la línea base numérica del banco en el país para cada objetivo, como exigió el docente. Se reduce a 9 pt el tamaño de letra de la Tabla 10 para que quepan las 5 columnas en el ancho de página.</w:t>
      </w:r>
    </w:p>
  </w:comment>
  <w:comment w:id="6" w:author="Jorge Chamorro" w:initials="JC" w:date="2026-10-03T16:24:52Z">
    <w:p>
      <w:pPr>
        <w:pStyle w:val="CommentText"/>
      </w:pPr>
      <w:r>
        <w:rPr>
          <w:rStyle w:val="CommentReference"/>
        </w:rPr>
        <w:annotationRef/>
      </w:r>
      <w:r>
        <w:t>Corrección Práctica 1, criterio 2: columna nueva con la meta cuantitativa concreta por objetivo. Horizonte de 18 meses, igual al de las metas de los demás entregables.</w:t>
      </w:r>
    </w:p>
  </w:comment>
  <w:comment w:id="7" w:author="Jorge Chamorro" w:initials="JC" w:date="2026-10-03T16:24:52Z">
    <w:p>
      <w:pPr>
        <w:pStyle w:val="CommentText"/>
      </w:pPr>
      <w:r>
        <w:rPr>
          <w:rStyle w:val="CommentReference"/>
        </w:rPr>
        <w:annotationRef/>
      </w:r>
      <w:r>
        <w:t>Línea base de OE1: NPS Retail y Pyme de la Memoria anual 2025 (p. 26). Los indicadores sin dato público se declaran con la frase NO HAY FUENTES EN INTERNET DISPONIBLES en lugar de inventar cifras.</w:t>
      </w:r>
    </w:p>
  </w:comment>
  <w:comment w:id="8" w:author="Jorge Chamorro" w:initials="JC" w:date="2026-10-03T16:24:52Z">
    <w:p>
      <w:pPr>
        <w:pStyle w:val="CommentText"/>
      </w:pPr>
      <w:r>
        <w:rPr>
          <w:rStyle w:val="CommentReference"/>
        </w:rPr>
        <w:annotationRef/>
      </w:r>
      <w:r>
        <w:t>Meta de OE1: propuesta del equipo (pendiente de validación con la entidad). Se fija igualar el NPS actual de Banca de Empresas e Instituciones (43.6%), lo que reduce la brecha con Retail a la mitad (≈ 9.6 puntos). Es coherente con la operacionalización de la brecha en la sección 1.6.</w:t>
      </w:r>
    </w:p>
  </w:comment>
  <w:comment w:id="9" w:author="Jorge Chamorro" w:initials="JC" w:date="2026-10-03T16:24:52Z">
    <w:p>
      <w:pPr>
        <w:pStyle w:val="CommentText"/>
      </w:pPr>
      <w:r>
        <w:rPr>
          <w:rStyle w:val="CommentReference"/>
        </w:rPr>
        <w:annotationRef/>
      </w:r>
      <w:r>
        <w:t>Línea base de OE2: colocaciones sostenibles y cumplimiento de la meta (Memoria anual 2025) y facturación sostenible movilizada al 1S 2026 (Informe de gestión 2T 2026). Tiempo de evaluación y calidad del dato ESG no tienen dato público.</w:t>
      </w:r>
    </w:p>
  </w:comment>
  <w:comment w:id="10" w:author="Jorge Chamorro" w:initials="JC" w:date="2026-10-03T16:24:52Z">
    <w:p>
      <w:pPr>
        <w:pStyle w:val="CommentText"/>
      </w:pPr>
      <w:r>
        <w:rPr>
          <w:rStyle w:val="CommentReference"/>
        </w:rPr>
        <w:annotationRef/>
      </w:r>
      <w:r>
        <w:t>Meta de OE2: propuesta del equipo (pendiente de validación). +21% sobre S/ 16.5 mil millones ≈ S/ 20 mil millones; es conservadora frente al crecimiento de la facturación sostenible reportado (+65% en 2025).</w:t>
      </w:r>
    </w:p>
  </w:comment>
  <w:comment w:id="11" w:author="Jorge Chamorro" w:initials="JC" w:date="2026-10-03T16:24:52Z">
    <w:p>
      <w:pPr>
        <w:pStyle w:val="CommentText"/>
      </w:pPr>
      <w:r>
        <w:rPr>
          <w:rStyle w:val="CommentReference"/>
        </w:rPr>
        <w:annotationRef/>
      </w:r>
      <w:r>
        <w:t>Línea base de OE3: cuotas de mercado por segmento de la Memoria anual 2025 (p. 12) y las cuotas totales ya citadas en la sección 3. Los demás indicadores no tienen dato público.</w:t>
      </w:r>
    </w:p>
  </w:comment>
  <w:comment w:id="12" w:author="Jorge Chamorro" w:initials="JC" w:date="2026-10-03T16:24:52Z">
    <w:p>
      <w:pPr>
        <w:pStyle w:val="CommentText"/>
      </w:pPr>
      <w:r>
        <w:rPr>
          <w:rStyle w:val="CommentReference"/>
        </w:rPr>
        <w:annotationRef/>
      </w:r>
      <w:r>
        <w:t>Meta de OE3: propuesta del equipo (pendiente de validación). +0.4 puntos en colocaciones es inferior al avance de +0.62 puntos de la banca de personas en 2025; +1.0 punto en pymes es la brecha de mayor margen, dado el NPS Pyme más bajo.</w:t>
      </w:r>
    </w:p>
  </w:comment>
  <w:comment w:id="13" w:author="Jorge Chamorro" w:initials="JC" w:date="2026-10-03T16:24:52Z">
    <w:p>
      <w:pPr>
        <w:pStyle w:val="CommentText"/>
      </w:pPr>
      <w:r>
        <w:rPr>
          <w:rStyle w:val="CommentReference"/>
        </w:rPr>
        <w:annotationRef/>
      </w:r>
      <w:r>
        <w:t>Línea base de OE4: ROE, eficiencia y mora del Informe de gestión 2T 2026 y la Memoria anual 2025, comparados con el sistema. Los periodos y bases de cálculo de ambos reportes difieren (p. ej., eficiencia 35.9% vs. 40.0%), por eso se rotula el periodo. RORWA y costo de riesgo no tienen dato público.</w:t>
      </w:r>
    </w:p>
  </w:comment>
  <w:comment w:id="14" w:author="Jorge Chamorro" w:initials="JC" w:date="2026-10-03T16:24:52Z">
    <w:p>
      <w:pPr>
        <w:pStyle w:val="CommentText"/>
      </w:pPr>
      <w:r>
        <w:rPr>
          <w:rStyle w:val="CommentReference"/>
        </w:rPr>
        <w:annotationRef/>
      </w:r>
      <w:r>
        <w:t>Meta de OE4: propuesta del equipo (pendiente de validación). ROE 19.5% reduce más de la mitad la brecha de 1.4 puntos con el sistema (20.1%); eficiencia y mora se fijan como niveles a no deteriorar frente al 2T 2026.</w:t>
      </w:r>
    </w:p>
  </w:comment>
  <w:comment w:id="15" w:author="Jorge Chamorro" w:initials="JC" w:date="2026-10-03T16:24:52Z">
    <w:p>
      <w:pPr>
        <w:pStyle w:val="CommentText"/>
      </w:pPr>
      <w:r>
        <w:rPr>
          <w:rStyle w:val="CommentReference"/>
        </w:rPr>
        <w:annotationRef/>
      </w:r>
      <w:r>
        <w:t>Línea base de OE5: ventas digitales y usuarios activos de la app (Informe 2T 2026), operaciones por la app y ADA (Memoria 2025). Casos en producción y tiempo de despliegue no tienen dato público.</w:t>
      </w:r>
    </w:p>
  </w:comment>
  <w:comment w:id="16" w:author="Jorge Chamorro" w:initials="JC" w:date="2026-10-03T16:24:52Z">
    <w:p>
      <w:pPr>
        <w:pStyle w:val="CommentText"/>
      </w:pPr>
      <w:r>
        <w:rPr>
          <w:rStyle w:val="CommentReference"/>
        </w:rPr>
        <w:annotationRef/>
      </w:r>
      <w:r>
        <w:t>Meta de OE5: propuesta del equipo (pendiente de validación). 85% de ventas digitales es +5.4 puntos sobre la base de 79.57%; tres casos de IA corresponden a las tres iniciativas que se priorizarán en los siguientes entregables.</w:t>
      </w:r>
    </w:p>
  </w:comment>
  <w:comment w:id="17" w:author="Jorge Chamorro" w:initials="JC" w:date="2026-10-03T16:24:52Z">
    <w:p>
      <w:pPr>
        <w:pStyle w:val="CommentText"/>
      </w:pPr>
      <w:r>
        <w:rPr>
          <w:rStyle w:val="CommentReference"/>
        </w:rPr>
        <w:annotationRef/>
      </w:r>
      <w:r>
        <w:t>Línea base de OE6: índice de compromiso (Memoria 2025, p. 12) y adopción interna de Blue Buddy (Informe 2T 2026). Productividad y automatizaciones no tienen dato público.</w:t>
      </w:r>
    </w:p>
  </w:comment>
  <w:comment w:id="18" w:author="Jorge Chamorro" w:initials="JC" w:date="2026-10-03T16:24:52Z">
    <w:p>
      <w:pPr>
        <w:pStyle w:val="CommentText"/>
      </w:pPr>
      <w:r>
        <w:rPr>
          <w:rStyle w:val="CommentReference"/>
        </w:rPr>
        <w:annotationRef/>
      </w:r>
      <w:r>
        <w:t>Meta de OE6: propuesta del equipo (pendiente de validación). Se busca sostener el compromiso de 93/100 y elevar la adopción interna de Blue Buddy de 90% a 95%.</w:t>
      </w:r>
    </w:p>
  </w:comment>
  <w:comment w:id="19" w:author="Jorge Chamorro" w:initials="JC" w:date="2026-10-03T16:24:52Z">
    <w:p>
      <w:pPr>
        <w:pStyle w:val="CommentText"/>
      </w:pPr>
      <w:r>
        <w:rPr>
          <w:rStyle w:val="CommentReference"/>
        </w:rPr>
        <w:annotationRef/>
      </w:r>
      <w:r>
        <w:t>Corrección Práctica 1, criterios 2 y 4: la nota ahora declara las fuentes de las líneas base, el carácter propuesto de las metas y el significado de NO HAY FUENTES EN INTERNET DISPONIBLES, para que la tabla se pueda sustentar y verificar.</w:t>
      </w:r>
    </w:p>
  </w:comment>
  <w:comment w:id="20" w:author="Jorge Chamorro" w:initials="JC" w:date="2026-10-03T16:24:52Z">
    <w:p>
      <w:pPr>
        <w:pStyle w:val="CommentText"/>
      </w:pPr>
      <w:r>
        <w:rPr>
          <w:rStyle w:val="CommentReference"/>
        </w:rPr>
        <w:annotationRef/>
      </w:r>
      <w:r>
        <w:t>Corrección Práctica 1, criterio 3 (Procesos críticos, 1/2): el docente señaló que la criticidad atendía sobre todo al OE5 y a la resiliencia de canales, sin cobertura explícita de OE2 y OE4, y que debe cubrir la totalidad de los objetivos. Esta oración fija ese criterio de cobertura.</w:t>
      </w:r>
    </w:p>
  </w:comment>
  <w:comment w:id="21" w:author="Jorge Chamorro" w:initials="JC" w:date="2026-10-03T16:24:52Z">
    <w:p>
      <w:pPr>
        <w:pStyle w:val="CommentText"/>
      </w:pPr>
      <w:r>
        <w:rPr>
          <w:rStyle w:val="CommentReference"/>
        </w:rPr>
        <w:annotationRef/>
      </w:r>
      <w:r>
        <w:t>Corrección Práctica 1, criterio 3: columna nueva de trazabilidad entre cada macroproceso crítico y los objetivos estratégicos de la Tabla 10. Se reduce a 9 pt el tamaño de letra de la Tabla 12 para acomodar la columna.</w:t>
      </w:r>
    </w:p>
  </w:comment>
  <w:comment w:id="22" w:author="Jorge Chamorro" w:initials="JC" w:date="2026-10-03T16:24:52Z">
    <w:p>
      <w:pPr>
        <w:pStyle w:val="CommentText"/>
      </w:pPr>
      <w:r>
        <w:rPr>
          <w:rStyle w:val="CommentReference"/>
        </w:rPr>
        <w:annotationRef/>
      </w:r>
      <w:r>
        <w:t>Trazabilidad de Operación de canales: se explicita su aporte a OE1 (experiencia y NPS), OE3 (soluciones transaccionales para empresas) y OE4 (eficiencia por volumen), además de la resiliencia ya justificada. Evita que la criticidad se lea solo como resiliencia de canales, observación del docente.</w:t>
      </w:r>
    </w:p>
  </w:comment>
  <w:comment w:id="23" w:author="Jorge Chamorro" w:initials="JC" w:date="2026-10-03T16:24:52Z">
    <w:p>
      <w:pPr>
        <w:pStyle w:val="CommentText"/>
      </w:pPr>
      <w:r>
        <w:rPr>
          <w:rStyle w:val="CommentReference"/>
        </w:rPr>
        <w:annotationRef/>
      </w:r>
      <w:r>
        <w:t>Trazabilidad de Datos, analítica e IA: además de OE5 se explicita OE2 (taxonomía, trazabilidad y datos ESG, capacidades listadas en la Tabla 10) y OE4 (rentabilidad granular, pricing y modelos de riesgo), los dos objetivos sin cobertura señalados por el docente; también OE6 (calidad de datos y automatizaciones).</w:t>
      </w:r>
    </w:p>
  </w:comment>
  <w:comment w:id="24" w:author="Jorge Chamorro" w:initials="JC" w:date="2026-10-03T16:24:52Z">
    <w:p>
      <w:pPr>
        <w:pStyle w:val="CommentText"/>
      </w:pPr>
      <w:r>
        <w:rPr>
          <w:rStyle w:val="CommentReference"/>
        </w:rPr>
        <w:annotationRef/>
      </w:r>
      <w:r>
        <w:t>Trazabilidad de Seguridad: se explicita su rol de habilitador transversal y su vínculo con OE1, OE2 y OE5, para que la criticidad no dependa solo del régimen normativo.</w:t>
      </w:r>
    </w:p>
  </w:comment>
  <w:comment w:id="25" w:author="Jorge Chamorro" w:initials="JC" w:date="2026-10-03T16:24:52Z">
    <w:p>
      <w:pPr>
        <w:pStyle w:val="CommentText"/>
      </w:pPr>
      <w:r>
        <w:rPr>
          <w:rStyle w:val="CommentReference"/>
        </w:rPr>
        <w:annotationRef/>
      </w:r>
      <w:r>
        <w:t>Corrección Práctica 1, criterio 3: la nota resume la cobertura de OE1 a OE6 por los macroprocesos críticos, para que la trazabilidad exigida por el docente sea verificable de un vistazo.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93"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24T01:36:33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193" w16cid:durableId="00000001"/>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566.9291338582675" w:hanging="359.99999999999994"/>
      </w:pPr>
      <w:rPr>
        <w:sz w:val="28"/>
        <w:szCs w:val="28"/>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bbva.com/en/innovation/bbva-completes-its-global-move-to-the-cloud-with-a-single-data-and-artificial-intelligence-platform/" TargetMode="External"/><Relationship Id="rId22" Type="http://schemas.openxmlformats.org/officeDocument/2006/relationships/hyperlink" Target="https://www.bbva.pe/personas.html" TargetMode="External"/><Relationship Id="rId21" Type="http://schemas.openxmlformats.org/officeDocument/2006/relationships/hyperlink" Target="https://www.bbva.pe/personas.html" TargetMode="External"/><Relationship Id="rId24" Type="http://schemas.openxmlformats.org/officeDocument/2006/relationships/hyperlink" Target="https://www.wiley.com/en-us/Business%2BModel%2BGeneration%3A%2BA%2BHandbook%2Bfor%2BVisionaries%2C%2BGame%2BChangers%2C%2Band%2BChallengers-p-9780470876411" TargetMode="External"/><Relationship Id="rId23" Type="http://schemas.openxmlformats.org/officeDocument/2006/relationships/hyperlink" Target="https://www.wiley.com/en-us/Business%2BModel%2BGeneration%3A%2BA%2BHandbook%2Bfor%2BVisionaries%2C%2BGame%2BChangers%2C%2Band%2BChallengers-p-9780470876411"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26" Type="http://schemas.openxmlformats.org/officeDocument/2006/relationships/hyperlink" Target="https://intranet2.sbs.gob.pe/dv_int_cn/2046/v2.0/Adjuntos/504-2021.R.pdf" TargetMode="External"/><Relationship Id="rId25" Type="http://schemas.openxmlformats.org/officeDocument/2006/relationships/hyperlink" Target="https://intranet2.sbs.gob.pe/dv_int_cn/2046/v2.0/Adjuntos/504-2021.R.pdf" TargetMode="External"/><Relationship Id="rId28" Type="http://schemas.openxmlformats.org/officeDocument/2006/relationships/hyperlink" Target="https://intranet2.sbs.gob.pe/dv_int_cn/1894/v1.0/Adjuntos/877-2020.R.pdf" TargetMode="External"/><Relationship Id="rId27" Type="http://schemas.openxmlformats.org/officeDocument/2006/relationships/hyperlink" Target="https://intranet2.sbs.gob.pe/dv_int_cn/1894/v1.0/Adjuntos/877-2020.R.pdf"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vlex.com.pe/vid/resolucion-sbs-n-00814-1073736902" TargetMode="External"/><Relationship Id="rId7" Type="http://schemas.microsoft.com/office/2011/relationships/commentsExtended" Target="commentsExtended.xml"/><Relationship Id="rId8" Type="http://schemas.microsoft.com/office/2018/08/relationships/commentsExtensible" Target="commentsExtensible.xml"/><Relationship Id="rId30" Type="http://schemas.openxmlformats.org/officeDocument/2006/relationships/hyperlink" Target="https://vlex.com.pe/vid/resolucion-sbs-n-00814-1073736902" TargetMode="External"/><Relationship Id="rId11" Type="http://schemas.openxmlformats.org/officeDocument/2006/relationships/image" Target="media/image3.png"/><Relationship Id="rId10" Type="http://schemas.openxmlformats.org/officeDocument/2006/relationships/image" Target="media/image1.png"/><Relationship Id="rId13" Type="http://schemas.openxmlformats.org/officeDocument/2006/relationships/hyperlink" Target="https://www.bbva.pe/content/dam/public-web/peru/documents/prefooter/informacion-financiera/informacion-anual/2026/informe-de-gestion-2T2026.pdf" TargetMode="External"/><Relationship Id="rId12" Type="http://schemas.openxmlformats.org/officeDocument/2006/relationships/image" Target="media/image2.png"/><Relationship Id="rId15" Type="http://schemas.openxmlformats.org/officeDocument/2006/relationships/hyperlink" Target="https://www.bbva.pe/content/dam/public-web/peru/documents/personas/investor-relations/vii-Memoria-Anual-2025.pdf" TargetMode="External"/><Relationship Id="rId14" Type="http://schemas.openxmlformats.org/officeDocument/2006/relationships/hyperlink" Target="https://www.bbva.pe/content/dam/public-web/peru/documents/prefooter/informacion-financiera/informacion-anual/2026/informe-de-gestion-2T2026.pdf" TargetMode="External"/><Relationship Id="rId17" Type="http://schemas.openxmlformats.org/officeDocument/2006/relationships/hyperlink" Target="https://accionistaseinversores.bbva.com/grupo-bbva/estrategia-la-transformacion-en-bbva/prioridades-estrategicas/" TargetMode="External"/><Relationship Id="rId16" Type="http://schemas.openxmlformats.org/officeDocument/2006/relationships/hyperlink" Target="https://www.bbva.pe/content/dam/public-web/peru/documents/personas/investor-relations/vii-Memoria-Anual-2025.pdf" TargetMode="External"/><Relationship Id="rId19" Type="http://schemas.openxmlformats.org/officeDocument/2006/relationships/hyperlink" Target="https://www.bbva.com/en/innovation/bbva-completes-its-global-move-to-the-cloud-with-a-single-data-and-artificial-intelligence-platform/" TargetMode="External"/><Relationship Id="rId18" Type="http://schemas.openxmlformats.org/officeDocument/2006/relationships/hyperlink" Target="https://accionistaseinversores.bbva.com/grupo-bbva/estrategia-la-transformacion-en-bbva/prioridades-estrategic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