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2"/>
          <w:szCs w:val="22"/>
        </w:rPr>
        <w:t xml:space="preserve">PONTIFICIA UNIVERSIDAD CATÓLICA DEL PERÚ</w:t>
      </w:r>
    </w:p>
    <w:p>
      <w:pPr>
        <w:spacing w:line="480" w:lineRule="auto"/>
        <w:jc w:val="center"/>
      </w:pPr>
      <w:r>
        <w:rPr>
          <w:rFonts w:ascii="Times New Roman" w:cs="Times New Roman" w:eastAsia="Times New Roman" w:hAnsi="Times New Roman"/>
          <w:b/>
          <w:bCs/>
          <w:sz w:val="22"/>
          <w:szCs w:val="22"/>
        </w:rPr>
        <w:t xml:space="preserve">FACULTAD DE CIENCIAS E INGENIERÍA</w:t>
      </w:r>
    </w:p>
    <w:p>
      <w:pPr>
        <w:spacing w:after="200"/>
      </w:pPr>
    </w:p>
    <w:p>
      <w:pPr>
        <w:spacing w:line="480" w:lineRule="auto"/>
        <w:jc w:val="center"/>
      </w:pPr>
      <w:r>
        <w:rPr>
          <w:rFonts w:ascii="Times New Roman" w:cs="Times New Roman" w:eastAsia="Times New Roman" w:hAnsi="Times New Roman"/>
          <w:b/>
          <w:bCs/>
          <w:sz w:val="22"/>
          <w:szCs w:val="22"/>
        </w:rPr>
        <w:t xml:space="preserve">ESTRATEGIAS Y GESTIÓN DE SISTEMAS DE INFORMACIÓN</w:t>
      </w:r>
    </w:p>
    <w:p>
      <w:pPr>
        <w:spacing w:line="480" w:lineRule="auto"/>
        <w:jc w:val="center"/>
      </w:pPr>
      <w:r>
        <w:rPr>
          <w:rFonts w:ascii="Times New Roman" w:cs="Times New Roman" w:eastAsia="Times New Roman" w:hAnsi="Times New Roman"/>
          <w:b/>
          <w:bCs/>
          <w:sz w:val="22"/>
          <w:szCs w:val="22"/>
        </w:rPr>
        <w:t xml:space="preserve">Práctica 3: Hipótesis de iniciativas y descripción As Is de los dolores priorizados</w:t>
      </w:r>
    </w:p>
    <w:p>
      <w:pPr>
        <w:spacing w:after="200"/>
      </w:pPr>
    </w:p>
    <w:p>
      <w:r>
        <w:rPr>
          <w:rFonts w:ascii="Times New Roman" w:cs="Times New Roman" w:eastAsia="Times New Roman" w:hAnsi="Times New Roman"/>
          <w:b/>
          <w:bCs/>
          <w:sz w:val="22"/>
          <w:szCs w:val="22"/>
        </w:rPr>
        <w:t xml:space="preserve">AUTORES:</w:t>
      </w:r>
    </w:p>
    <w:p>
      <w:r>
        <w:rPr>
          <w:rFonts w:ascii="Times New Roman" w:cs="Times New Roman" w:eastAsia="Times New Roman" w:hAnsi="Times New Roman"/>
          <w:sz w:val="22"/>
          <w:szCs w:val="22"/>
        </w:rPr>
        <w:t xml:space="preserve">SALAS COHAILA, Gabriel Lucio - 20200606</w:t>
      </w:r>
    </w:p>
    <w:p>
      <w:r>
        <w:rPr>
          <w:rFonts w:ascii="Times New Roman" w:cs="Times New Roman" w:eastAsia="Times New Roman" w:hAnsi="Times New Roman"/>
          <w:sz w:val="22"/>
          <w:szCs w:val="22"/>
        </w:rPr>
        <w:t xml:space="preserve">CHAMORRO CAYETANO, Jorge Josue - 20206234</w:t>
      </w:r>
    </w:p>
    <w:p>
      <w:r>
        <w:rPr>
          <w:rFonts w:ascii="Times New Roman" w:cs="Times New Roman" w:eastAsia="Times New Roman" w:hAnsi="Times New Roman"/>
          <w:sz w:val="22"/>
          <w:szCs w:val="22"/>
        </w:rPr>
        <w:t xml:space="preserve">SANCHEZ PASTOR, Rodrigo Alonso - 20201230</w:t>
      </w:r>
    </w:p>
    <w:p>
      <w:r>
        <w:rPr>
          <w:rFonts w:ascii="Times New Roman" w:cs="Times New Roman" w:eastAsia="Times New Roman" w:hAnsi="Times New Roman"/>
          <w:sz w:val="22"/>
          <w:szCs w:val="22"/>
        </w:rPr>
        <w:t xml:space="preserve">SANTILLÁN HUAMÁN, Aarón Ulises - 20200445</w:t>
      </w:r>
    </w:p>
    <w:p>
      <w:r>
        <w:rPr>
          <w:rFonts w:ascii="Times New Roman" w:cs="Times New Roman" w:eastAsia="Times New Roman" w:hAnsi="Times New Roman"/>
          <w:sz w:val="22"/>
          <w:szCs w:val="22"/>
        </w:rPr>
        <w:t xml:space="preserve">ORIHUELA MONTERO, Johnny Fabricio - 20211000</w:t>
      </w:r>
    </w:p>
    <w:p>
      <w:pPr>
        <w:spacing w:after="200"/>
      </w:pPr>
    </w:p>
    <w:p>
      <w:r>
        <w:rPr>
          <w:rFonts w:ascii="Times New Roman" w:cs="Times New Roman" w:eastAsia="Times New Roman" w:hAnsi="Times New Roman"/>
          <w:b/>
          <w:bCs/>
          <w:sz w:val="22"/>
          <w:szCs w:val="22"/>
        </w:rPr>
        <w:t xml:space="preserve">PROFESOR:</w:t>
      </w:r>
    </w:p>
    <w:p>
      <w:r>
        <w:rPr>
          <w:rFonts w:ascii="Times New Roman" w:cs="Times New Roman" w:eastAsia="Times New Roman" w:hAnsi="Times New Roman"/>
          <w:sz w:val="22"/>
          <w:szCs w:val="22"/>
        </w:rPr>
        <w:t xml:space="preserve">MORALES BARRERA, LUIS ALBERTO</w:t>
      </w:r>
    </w:p>
    <w:p>
      <w:pPr>
        <w:spacing w:after="200"/>
      </w:pPr>
    </w:p>
    <w:p>
      <w:r>
        <w:rPr>
          <w:rFonts w:ascii="Times New Roman" w:cs="Times New Roman" w:eastAsia="Times New Roman" w:hAnsi="Times New Roman"/>
          <w:sz w:val="22"/>
          <w:szCs w:val="22"/>
        </w:rPr>
        <w:t xml:space="preserve">Lima, setiembre, 2026</w:t>
      </w:r>
    </w:p>
    <w:p>
      <w:pPr>
        <w:pageBreakBefore/>
        <w:spacing w:after="200"/>
      </w:pPr>
    </w:p>
    <w:p>
      <w:pPr>
        <w:spacing w:after="200" w:before="0" w:line="360" w:lineRule="auto"/>
        <w:jc w:val="both"/>
      </w:pPr>
      <w:r>
        <w:rPr>
          <w:rFonts w:ascii="Times New Roman" w:cs="Times New Roman" w:eastAsia="Times New Roman" w:hAnsi="Times New Roman"/>
          <w:b/>
          <w:bCs/>
          <w:sz w:val="22"/>
          <w:szCs w:val="22"/>
        </w:rPr>
        <w:t xml:space="preserve">Nota sobre la numeración.</w:t>
      </w:r>
      <w:r>
        <w:rPr>
          <w:rFonts w:ascii="Times New Roman" w:cs="Times New Roman" w:eastAsia="Times New Roman" w:hAnsi="Times New Roman"/>
          <w:sz w:val="22"/>
          <w:szCs w:val="22"/>
        </w:rPr>
        <w:t xml:space="preserve"> Este documento da continuidad al Entregable 1 y al Entregable 2, que cerraron en la sección 4.4 y en la Tabla 26. Por ello, la numeración de tablas se reanuda en la Tabla 27 y las secciones nuevas se numeran como "5." y "6.", de modo que los tres avances puedan integrarse en un solo documento sin renumerar. Los dolores críticos se citan con la codificación DC1 a DC3 establecida en la Tabla 21 del Entregable 2, y los objetivos estratégicos con la codificación OE1 a OE6 de la Tabla 10 del Entregable 1.</w:t>
      </w:r>
    </w:p>
    <w:p>
      <w:pPr>
        <w:pStyle w:val="Heading1"/>
        <w:spacing w:after="200" w:before="320" w:line="360" w:lineRule="auto"/>
      </w:pPr>
      <w:r>
        <w:rPr>
          <w:rFonts w:ascii="Times New Roman" w:cs="Times New Roman" w:eastAsia="Times New Roman" w:hAnsi="Times New Roman"/>
          <w:b/>
          <w:bCs/>
          <w:color w:val="1f3864"/>
          <w:sz w:val="26"/>
          <w:szCs w:val="26"/>
        </w:rPr>
        <w:t xml:space="preserve">5. Hipótesis de las iniciativas a ser desarrolladas</w:t>
      </w:r>
    </w:p>
    <w:p>
      <w:pPr>
        <w:pStyle w:val="Heading2"/>
        <w:spacing w:after="160" w:before="260" w:line="360" w:lineRule="auto"/>
      </w:pPr>
      <w:r>
        <w:rPr>
          <w:rFonts w:ascii="Times New Roman" w:cs="Times New Roman" w:eastAsia="Times New Roman" w:hAnsi="Times New Roman"/>
          <w:b/>
          <w:bCs/>
          <w:color w:val="1f3864"/>
          <w:sz w:val="24"/>
          <w:szCs w:val="24"/>
        </w:rPr>
        <w:t xml:space="preserve">5.1. Enfoque metodológico para la formulación de hipótesis</w:t>
      </w:r>
    </w:p>
    <w:p>
      <w:pPr>
        <w:spacing w:after="200" w:before="0" w:line="360" w:lineRule="auto"/>
        <w:jc w:val="both"/>
      </w:pPr>
      <w:r>
        <w:rPr>
          <w:rFonts w:ascii="Times New Roman" w:cs="Times New Roman" w:eastAsia="Times New Roman" w:hAnsi="Times New Roman"/>
          <w:sz w:val="22"/>
          <w:szCs w:val="22"/>
        </w:rPr>
        <w:t xml:space="preserve">Las hipótesis que siguen atienden los tres dolores críticos seleccionados en el Entregable 2 —DC1 (baja digitalización de la originación de crédito Pyme), DC2 (tiempo de resolución y exposición sancionatoria por operaciones no reconocidas) y DC3 (penetración digital dispar en la contratación de productos)— aplicando el criterio establecido en el enunciado del trabajo: priorizar agentes de inteligencia artificial como tecnología habilitante, sin que ello excluya otras tecnologías disruptivas cuando la evidencia lo justifique.</w:t>
      </w:r>
    </w:p>
    <w:p>
      <w:pPr>
        <w:spacing w:after="200" w:before="0" w:line="360" w:lineRule="auto"/>
        <w:jc w:val="both"/>
      </w:pPr>
      <w:r>
        <w:rPr>
          <w:rFonts w:ascii="Times New Roman" w:cs="Times New Roman" w:eastAsia="Times New Roman" w:hAnsi="Times New Roman"/>
          <w:sz w:val="22"/>
          <w:szCs w:val="22"/>
        </w:rPr>
        <w:t xml:space="preserve">Cada hipótesis se somete a la misma prueba. Primero, se sustenta con evidencia de mercado verificable sobre el estado del arte de agentes de IA en banca, incluyendo, cuando existe, el comportamiento de competidores directos en el mercado peruano. Segundo, se traduce en una matriz Eliminar-Reducir-Elevar-Crear (ERRC), instrumento propuesto por </w:t>
      </w:r>
      <w:r>
        <w:rPr>
          <w:rFonts w:ascii="Times New Roman" w:cs="Times New Roman" w:eastAsia="Times New Roman" w:hAnsi="Times New Roman"/>
          <w:i/>
          <w:iCs/>
          <w:sz w:val="22"/>
          <w:szCs w:val="22"/>
        </w:rPr>
        <w:t xml:space="preserve">Kim y Mauborgne (2005)</w:t>
      </w:r>
      <w:r>
        <w:rPr>
          <w:rFonts w:ascii="Times New Roman" w:cs="Times New Roman" w:eastAsia="Times New Roman" w:hAnsi="Times New Roman"/>
          <w:sz w:val="22"/>
          <w:szCs w:val="22"/>
        </w:rPr>
        <w:t xml:space="preserve"> para sistematizar el tránsito de un océano rojo —donde las entidades compiten por los mismos atributos— hacia un océano azul, en el que la propuesta de valor deja de ser comparable punto a punto con la competencia (Blue Ocean Strategy, s. f.). Tercero, se vincula con un indicador de éxito ya definido en las Tablas 23 a 25 del Entregable 2, de modo que la iniciativa no introduce una métrica nueva y desconectada del diagnóstico previo, sino que reutiliza la línea base y la meta ya declaradas.</w:t>
      </w:r>
    </w:p>
    <w:p>
      <w:pPr>
        <w:spacing w:after="200" w:before="0" w:line="360" w:lineRule="auto"/>
        <w:jc w:val="both"/>
      </w:pPr>
      <w:r>
        <w:rPr>
          <w:rFonts w:ascii="Times New Roman" w:cs="Times New Roman" w:eastAsia="Times New Roman" w:hAnsi="Times New Roman"/>
          <w:b/>
          <w:bCs/>
          <w:sz w:val="22"/>
          <w:szCs w:val="22"/>
        </w:rPr>
        <w:t xml:space="preserve">Advertencia sobre el estado de la competencia.</w:t>
      </w:r>
      <w:r>
        <w:rPr>
          <w:rFonts w:ascii="Times New Roman" w:cs="Times New Roman" w:eastAsia="Times New Roman" w:hAnsi="Times New Roman"/>
          <w:sz w:val="22"/>
          <w:szCs w:val="22"/>
        </w:rPr>
        <w:t xml:space="preserve"> La evidencia recogida muestra que el mercado peruano ya no es un espacio inexplorado en materia de agentes conversacionales: Mibanco desplegó en julio de 2026 un agente de IA agéntica de AWS sobre WhatsApp que abre cuentas de ahorro, desembolsa créditos y ejecuta transferencias de forma autónoma, con más de 357,000 interacciones y S/ 10.6 millones desembolsados en sus primeros meses (PressPerú, 2026); y el BCP opera desde 2024 un voicebot que atiende el 30 % de las llamadas de su call center, aunque circunscrito a consultas informativas (Mestanza Arquiñigo, 2024). Un agente conversacional genérico ya no constituye, por sí solo, una propuesta de océano azul: sería imitar una jugada que la competencia ya hizo pública. Por ello, cada hipótesis identifica específicamente qué elemento del proceso BBVA puede elevar o crear que sus competidores locales, hasta la fecha de esta entrega, no ofrecen.</w:t>
      </w:r>
    </w:p>
    <w:p>
      <w:pPr>
        <w:spacing w:after="200" w:before="0" w:line="360" w:lineRule="auto"/>
        <w:jc w:val="both"/>
      </w:pPr>
      <w:r>
        <w:rPr>
          <w:rFonts w:ascii="Times New Roman" w:cs="Times New Roman" w:eastAsia="Times New Roman" w:hAnsi="Times New Roman"/>
          <w:b/>
          <w:bCs/>
          <w:sz w:val="22"/>
          <w:szCs w:val="22"/>
        </w:rPr>
        <w:t xml:space="preserve">Advertencia regulatoria.</w:t>
      </w:r>
      <w:r>
        <w:rPr>
          <w:rFonts w:ascii="Times New Roman" w:cs="Times New Roman" w:eastAsia="Times New Roman" w:hAnsi="Times New Roman"/>
          <w:sz w:val="22"/>
          <w:szCs w:val="22"/>
        </w:rPr>
        <w:t xml:space="preserve"> Toda hipótesis que involucre decisiones crediticias automatizadas debe diseñarse bajo el marco que la Superintendencia de Banca, Seguros y AFP exige a partir del 10 de setiembre de 2026 a las entidades que emplean IA en decisiones de crédito: explicar al cliente los elementos principales que sustentan una decisión desfavorable, mantener mecanismos de supervisión humana con capacidad de intervención, y contar con controles de gobernanza para detectar sesgos algorítmicos (Ramírez Huancayo, 2026). Esta exigencia no es un obstáculo lateral: se incorpora como condición de diseño en la hipótesis del DC1 y, por prudencia, en la del DC2.</w:t>
      </w:r>
    </w:p>
    <w:p>
      <w:pPr>
        <w:pStyle w:val="Heading2"/>
        <w:spacing w:after="160" w:before="260" w:line="360" w:lineRule="auto"/>
      </w:pPr>
      <w:r>
        <w:rPr>
          <w:rFonts w:ascii="Times New Roman" w:cs="Times New Roman" w:eastAsia="Times New Roman" w:hAnsi="Times New Roman"/>
          <w:b/>
          <w:bCs/>
          <w:color w:val="1f3864"/>
          <w:sz w:val="24"/>
          <w:szCs w:val="24"/>
        </w:rPr>
        <w:t xml:space="preserve">5.2. Hipótesis de iniciativa para DC1: agente de preclasificación crediticia Pyme</w:t>
      </w:r>
    </w:p>
    <w:p>
      <w:pPr>
        <w:spacing w:after="200" w:before="0" w:line="360" w:lineRule="auto"/>
        <w:jc w:val="both"/>
      </w:pPr>
      <w:r>
        <w:rPr>
          <w:rFonts w:ascii="Times New Roman" w:cs="Times New Roman" w:eastAsia="Times New Roman" w:hAnsi="Times New Roman"/>
          <w:b/>
          <w:bCs/>
          <w:sz w:val="22"/>
          <w:szCs w:val="22"/>
        </w:rPr>
        <w:t xml:space="preserve">Nombre de la hipótesis.</w:t>
      </w:r>
      <w:r>
        <w:rPr>
          <w:rFonts w:ascii="Times New Roman" w:cs="Times New Roman" w:eastAsia="Times New Roman" w:hAnsi="Times New Roman"/>
          <w:sz w:val="22"/>
          <w:szCs w:val="22"/>
        </w:rPr>
        <w:t xml:space="preserve"> Agente de preclasificación y acompañamiento conversacional para el crédito Pyme, integrado a la app BBVA Empresas 2.0 y accesible por canal de mensajería.</w:t>
      </w:r>
    </w:p>
    <w:p>
      <w:pPr>
        <w:spacing w:after="200" w:before="0" w:line="360" w:lineRule="auto"/>
        <w:jc w:val="both"/>
      </w:pPr>
      <w:r>
        <w:rPr>
          <w:rFonts w:ascii="Times New Roman" w:cs="Times New Roman" w:eastAsia="Times New Roman" w:hAnsi="Times New Roman"/>
          <w:b/>
          <w:bCs/>
          <w:sz w:val="22"/>
          <w:szCs w:val="22"/>
        </w:rPr>
        <w:t xml:space="preserve">Formulación.</w:t>
      </w:r>
      <w:r>
        <w:rPr>
          <w:rFonts w:ascii="Times New Roman" w:cs="Times New Roman" w:eastAsia="Times New Roman" w:hAnsi="Times New Roman"/>
          <w:sz w:val="22"/>
          <w:szCs w:val="22"/>
        </w:rPr>
        <w:t xml:space="preserve"> Si BBVA Perú despliega un agente de IA que conversa con el empresario Pyme antes de que este inicie el trámite formal, interpreta su información de negocio en lenguaje natural —incluyendo documentación no estructurada, como fotografías de comprobantes de venta— y la contrasta contra la transaccionalidad ya registrada en el ecosistema del banco (cuenta corriente, Openpay, QR Empresas), entonces el empresario puede conocer en la misma conversación para qué producto precalifica y bajo qué condiciones, sin necesidad de producir primero la documentación financiera estructurada que hoy no posee </w:t>
      </w:r>
      <w:r>
        <w:rPr>
          <w:rFonts w:ascii="Times New Roman" w:cs="Times New Roman" w:eastAsia="Times New Roman" w:hAnsi="Times New Roman"/>
          <w:i/>
          <w:iCs/>
          <w:sz w:val="22"/>
          <w:szCs w:val="22"/>
        </w:rPr>
        <w:t xml:space="preserve">(Melo, 2026)</w:t>
      </w:r>
      <w:r>
        <w:rPr>
          <w:rFonts w:ascii="Times New Roman" w:cs="Times New Roman" w:eastAsia="Times New Roman" w:hAnsi="Times New Roman"/>
          <w:sz w:val="22"/>
          <w:szCs w:val="22"/>
        </w:rPr>
        <w:t xml:space="preserve">. Esto ataca simultáneamente el dolor D1 —la brecha entre una ruta digital que resuelve el crédito en tres minutos y una ruta asistida que concentra dos tercios de las colocaciones— y el dolor D3 —la dependencia de información financiera que la microempresa no produce de forma estructurada—, ambos integrados en DC1.</w:t>
      </w:r>
    </w:p>
    <w:p>
      <w:pPr>
        <w:spacing w:after="200" w:before="0" w:line="360" w:lineRule="auto"/>
        <w:jc w:val="both"/>
      </w:pPr>
      <w:r>
        <w:rPr>
          <w:rFonts w:ascii="Times New Roman" w:cs="Times New Roman" w:eastAsia="Times New Roman" w:hAnsi="Times New Roman"/>
          <w:b/>
          <w:bCs/>
          <w:sz w:val="22"/>
          <w:szCs w:val="22"/>
        </w:rPr>
        <w:t xml:space="preserve">Sustento de mercado.</w:t>
      </w:r>
      <w:r>
        <w:rPr>
          <w:rFonts w:ascii="Times New Roman" w:cs="Times New Roman" w:eastAsia="Times New Roman" w:hAnsi="Times New Roman"/>
          <w:sz w:val="22"/>
          <w:szCs w:val="22"/>
        </w:rPr>
        <w:t xml:space="preserve"> La literatura especializada documenta que los agentes de IA ya son capaces de "tomar decisiones financieras complejas a nivel de cliente" y que las Pyme "ya están aprovechando la automatización de tesorería basada en APIs para optimizar el manejo de efectivo" </w:t>
      </w:r>
      <w:r>
        <w:rPr>
          <w:rFonts w:ascii="Times New Roman" w:cs="Times New Roman" w:eastAsia="Times New Roman" w:hAnsi="Times New Roman"/>
          <w:i/>
          <w:iCs/>
          <w:sz w:val="22"/>
          <w:szCs w:val="22"/>
        </w:rPr>
        <w:t xml:space="preserve">(Sundararajan y Jeenah, 2025)</w:t>
      </w:r>
      <w:r>
        <w:rPr>
          <w:rFonts w:ascii="Times New Roman" w:cs="Times New Roman" w:eastAsia="Times New Roman" w:hAnsi="Times New Roman"/>
          <w:sz w:val="22"/>
          <w:szCs w:val="22"/>
        </w:rPr>
        <w:t xml:space="preserve">. En mercados con reporte de resultados agregados, la automatización de la suscripción crediticia con IA se asocia a una mejora de 30 % en el tiempo de respuesta crediticia y a un incremento de 25 % en la tasa de aprobación sin incremento del riesgo </w:t>
      </w:r>
      <w:r>
        <w:rPr>
          <w:rFonts w:ascii="Times New Roman" w:cs="Times New Roman" w:eastAsia="Times New Roman" w:hAnsi="Times New Roman"/>
          <w:i/>
          <w:iCs/>
          <w:sz w:val="22"/>
          <w:szCs w:val="22"/>
        </w:rPr>
        <w:t xml:space="preserve">(Stealth Agents, 2026, con base en McKinsey y Zest AI)</w:t>
      </w:r>
      <w:r>
        <w:rPr>
          <w:rFonts w:ascii="Times New Roman" w:cs="Times New Roman" w:eastAsia="Times New Roman" w:hAnsi="Times New Roman"/>
          <w:sz w:val="22"/>
          <w:szCs w:val="22"/>
        </w:rPr>
        <w:t xml:space="preserve">; otra fuente reporta una reducción de 70 % en el tiempo de procesamiento y de 35 % en el abandono de solicitudes para casos de procesamiento documental de préstamos </w:t>
      </w:r>
      <w:r>
        <w:rPr>
          <w:rFonts w:ascii="Times New Roman" w:cs="Times New Roman" w:eastAsia="Times New Roman" w:hAnsi="Times New Roman"/>
          <w:i/>
          <w:iCs/>
          <w:sz w:val="22"/>
          <w:szCs w:val="22"/>
        </w:rPr>
        <w:t xml:space="preserve">(Kore.ai, 2026)</w:t>
      </w:r>
      <w:r>
        <w:rPr>
          <w:rFonts w:ascii="Times New Roman" w:cs="Times New Roman" w:eastAsia="Times New Roman" w:hAnsi="Times New Roman"/>
          <w:sz w:val="22"/>
          <w:szCs w:val="22"/>
        </w:rPr>
        <w:t xml:space="preserve">. Estas cifras corresponden a mercados desarrollados y no son extrapolables directamente al segmento Pyme peruano; se citan como referencia del orden de magnitud del beneficio esperado, no como proyección propia de BBVA Perú.</w:t>
      </w:r>
    </w:p>
    <w:p>
      <w:pPr>
        <w:spacing w:after="200" w:before="0" w:line="360" w:lineRule="auto"/>
        <w:jc w:val="both"/>
      </w:pPr>
      <w:r>
        <w:rPr>
          <w:rFonts w:ascii="Times New Roman" w:cs="Times New Roman" w:eastAsia="Times New Roman" w:hAnsi="Times New Roman"/>
          <w:b/>
          <w:bCs/>
          <w:sz w:val="22"/>
          <w:szCs w:val="22"/>
        </w:rPr>
        <w:t xml:space="preserve">Diferenciación frente a la competencia local.</w:t>
      </w:r>
      <w:r>
        <w:rPr>
          <w:rFonts w:ascii="Times New Roman" w:cs="Times New Roman" w:eastAsia="Times New Roman" w:hAnsi="Times New Roman"/>
          <w:sz w:val="22"/>
          <w:szCs w:val="22"/>
        </w:rPr>
        <w:t xml:space="preserve"> El agente de Mibanco ya ejecuta desembolsos conversacionales por WhatsApp </w:t>
      </w:r>
      <w:r>
        <w:rPr>
          <w:rFonts w:ascii="Times New Roman" w:cs="Times New Roman" w:eastAsia="Times New Roman" w:hAnsi="Times New Roman"/>
          <w:i/>
          <w:iCs/>
          <w:sz w:val="22"/>
          <w:szCs w:val="22"/>
        </w:rPr>
        <w:t xml:space="preserve">(PressPerú, 2026)</w:t>
      </w:r>
      <w:r>
        <w:rPr>
          <w:rFonts w:ascii="Times New Roman" w:cs="Times New Roman" w:eastAsia="Times New Roman" w:hAnsi="Times New Roman"/>
          <w:sz w:val="22"/>
          <w:szCs w:val="22"/>
        </w:rPr>
        <w:t xml:space="preserve">, por lo que replicar solo esa función no genera océano azul. La propuesta diferencial de BBVA Perú es anticipar la precalificación —antes del trámite, no en reemplazo de él— usando datos transaccionales propios del ecosistema del banco que un competidor sin la misma base de clientes empresariales no puede replicar con la misma profundidad.</w:t>
      </w:r>
    </w:p>
    <w:p>
      <w:pPr>
        <w:spacing w:after="0" w:before="200" w:line="240" w:lineRule="auto"/>
      </w:pPr>
      <w:r>
        <w:rPr>
          <w:rFonts w:ascii="Times New Roman" w:cs="Times New Roman" w:eastAsia="Times New Roman" w:hAnsi="Times New Roman"/>
          <w:b/>
          <w:bCs/>
          <w:sz w:val="22"/>
          <w:szCs w:val="22"/>
        </w:rPr>
        <w:t xml:space="preserve">Tabla 27</w:t>
      </w:r>
    </w:p>
    <w:p>
      <w:pPr>
        <w:spacing w:after="120" w:before="0" w:line="240" w:lineRule="auto"/>
      </w:pPr>
      <w:r>
        <w:rPr>
          <w:rFonts w:ascii="Times New Roman" w:cs="Times New Roman" w:eastAsia="Times New Roman" w:hAnsi="Times New Roman"/>
          <w:i/>
          <w:iCs/>
          <w:sz w:val="22"/>
          <w:szCs w:val="22"/>
        </w:rPr>
        <w:t xml:space="preserve">Matriz ERRC — Agente de preclasificación crediticia Pyme</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1600"/>
        <w:gridCol w:w="8300"/>
      </w:tblGrid>
      <w:tr>
        <w:trPr>
          <w:tblHeader/>
        </w:trPr>
        <w:tc>
          <w:tcPr>
            <w:tcW w:type="dxa" w:w="1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Acción</w:t>
            </w:r>
          </w:p>
        </w:tc>
        <w:tc>
          <w:tcPr>
            <w:tcW w:type="dxa" w:w="8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Descripción</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Eliminar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exigencia de presentar, como primer paso, documentación financiera estructurada que la microempresa no produce de forma habitual (Melo, 2026).</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Reducir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El tiempo en que el empresario permanece sin visibilidad del estado de su solicitud durante la evaluación crediticia (etapa 3 del recorrido, Tabla 15); la proporción de colocaciones que se originan exclusivamente por canal asistido.</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Elevar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transparencia de la decisión preliminar, explicando al cliente los factores que sustentan su precalificación, conforme a la exigencia de la SBS vigente desde el 10 de setiembre de 2026 (Ramírez Huancayo, 2026); la disponibilidad del acompañamiento a un canal conversacional ya validado por el mercado peruano.</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Crear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Una precalificación conversacional previa al trámite formal, construida sobre datos transaccionales propios del ecosistema BBVA (cuenta corriente, Openpay, QR Empresas), que ningún competidor sin esa base de clientes empresariales puede replicar con la misma profundidad.</w:t>
            </w:r>
          </w:p>
        </w:tc>
      </w:tr>
    </w:tbl>
    <w:p>
      <w:pPr>
        <w:spacing w:after="200"/>
      </w:pPr>
    </w:p>
    <w:p>
      <w:pPr>
        <w:spacing w:after="200" w:before="0" w:line="360" w:lineRule="auto"/>
        <w:jc w:val="both"/>
      </w:pPr>
      <w:r>
        <w:rPr>
          <w:rFonts w:ascii="Times New Roman" w:cs="Times New Roman" w:eastAsia="Times New Roman" w:hAnsi="Times New Roman"/>
          <w:b/>
          <w:bCs/>
          <w:sz w:val="22"/>
          <w:szCs w:val="22"/>
        </w:rPr>
        <w:t xml:space="preserve">Indicador de éxito esperado.</w:t>
      </w:r>
      <w:r>
        <w:rPr>
          <w:rFonts w:ascii="Times New Roman" w:cs="Times New Roman" w:eastAsia="Times New Roman" w:hAnsi="Times New Roman"/>
          <w:sz w:val="22"/>
          <w:szCs w:val="22"/>
        </w:rPr>
        <w:t xml:space="preserve"> Tasa de originación digital Pyme (línea base 33 %, meta 60 % en dieciocho meses) y tiempo de ciclo de la ruta asistida, hoy sin línea base pública y que el propio agente permitiría instrumentar por primera vez, conforme a la Tabla 23 del Entregable 2.</w:t>
      </w:r>
    </w:p>
    <w:p>
      <w:pPr>
        <w:pStyle w:val="Heading2"/>
        <w:spacing w:after="160" w:before="260" w:line="360" w:lineRule="auto"/>
      </w:pPr>
      <w:r>
        <w:rPr>
          <w:rFonts w:ascii="Times New Roman" w:cs="Times New Roman" w:eastAsia="Times New Roman" w:hAnsi="Times New Roman"/>
          <w:b/>
          <w:bCs/>
          <w:color w:val="1f3864"/>
          <w:sz w:val="24"/>
          <w:szCs w:val="24"/>
        </w:rPr>
        <w:t xml:space="preserve">5.3. Hipótesis de iniciativa para DC2: agente de investigación asistida de reclamos</w:t>
      </w:r>
    </w:p>
    <w:p>
      <w:pPr>
        <w:spacing w:after="200" w:before="0" w:line="360" w:lineRule="auto"/>
        <w:jc w:val="both"/>
      </w:pPr>
      <w:r>
        <w:rPr>
          <w:rFonts w:ascii="Times New Roman" w:cs="Times New Roman" w:eastAsia="Times New Roman" w:hAnsi="Times New Roman"/>
          <w:b/>
          <w:bCs/>
          <w:sz w:val="22"/>
          <w:szCs w:val="22"/>
        </w:rPr>
        <w:t xml:space="preserve">Nombre de la hipótesis.</w:t>
      </w:r>
      <w:r>
        <w:rPr>
          <w:rFonts w:ascii="Times New Roman" w:cs="Times New Roman" w:eastAsia="Times New Roman" w:hAnsi="Times New Roman"/>
          <w:sz w:val="22"/>
          <w:szCs w:val="22"/>
        </w:rPr>
        <w:t xml:space="preserve"> Extensión del asistente Blue Buddy hacia un agente de investigación de casos para reclamos por operaciones no reconocidas.</w:t>
      </w:r>
    </w:p>
    <w:p>
      <w:pPr>
        <w:spacing w:after="200" w:before="0" w:line="360" w:lineRule="auto"/>
        <w:jc w:val="both"/>
      </w:pPr>
      <w:r>
        <w:rPr>
          <w:rFonts w:ascii="Times New Roman" w:cs="Times New Roman" w:eastAsia="Times New Roman" w:hAnsi="Times New Roman"/>
          <w:b/>
          <w:bCs/>
          <w:sz w:val="22"/>
          <w:szCs w:val="22"/>
        </w:rPr>
        <w:t xml:space="preserve">Formulación.</w:t>
      </w:r>
      <w:r>
        <w:rPr>
          <w:rFonts w:ascii="Times New Roman" w:cs="Times New Roman" w:eastAsia="Times New Roman" w:hAnsi="Times New Roman"/>
          <w:sz w:val="22"/>
          <w:szCs w:val="22"/>
        </w:rPr>
        <w:t xml:space="preserve"> Blue Buddy ya opera como herramienta de soporte interno con 90 % de adopción entre la red de atención de BBVA Perú </w:t>
      </w:r>
      <w:r>
        <w:rPr>
          <w:rFonts w:ascii="Times New Roman" w:cs="Times New Roman" w:eastAsia="Times New Roman" w:hAnsi="Times New Roman"/>
          <w:i/>
          <w:iCs/>
          <w:sz w:val="22"/>
          <w:szCs w:val="22"/>
        </w:rPr>
        <w:t xml:space="preserve">(Banco BBVA Perú, 2026a, p. 4, según Tabla 16 y su nota)</w:t>
      </w:r>
      <w:r>
        <w:rPr>
          <w:rFonts w:ascii="Times New Roman" w:cs="Times New Roman" w:eastAsia="Times New Roman" w:hAnsi="Times New Roman"/>
          <w:sz w:val="22"/>
          <w:szCs w:val="22"/>
        </w:rPr>
        <w:t xml:space="preserve">, pero su función actual es informativa: muestra al asesor el ciclo de vida del caso, no lo investiga. Si esa capacidad se extiende a un agente que cruza automáticamente las trazas transaccionales, las señales de comportamiento y el historial de casos similares entre los sistemas de fraude, operaciones y atención, y produce un expediente estructurado con una recomendación preliminar —proceder con abono provisional o escalar a revisión especializada—, entonces el analista humano deja de ejecutar manualmente la "revisión de las trazas de la operación y consulta de su ciclo de vida mediante las herramientas internas" que hoy describe la capa de soporte no visible del </w:t>
      </w:r>
      <w:r>
        <w:rPr>
          <w:rFonts w:ascii="Times New Roman" w:cs="Times New Roman" w:eastAsia="Times New Roman" w:hAnsi="Times New Roman"/>
          <w:i/>
          <w:iCs/>
          <w:sz w:val="22"/>
          <w:szCs w:val="22"/>
        </w:rPr>
        <w:t xml:space="preserve">service blueprint</w:t>
      </w:r>
      <w:r>
        <w:rPr>
          <w:rFonts w:ascii="Times New Roman" w:cs="Times New Roman" w:eastAsia="Times New Roman" w:hAnsi="Times New Roman"/>
          <w:sz w:val="22"/>
          <w:szCs w:val="22"/>
        </w:rPr>
        <w:t xml:space="preserve"> (Tabla 16) y pasa a validar una propuesta ya construida. Esto ataca de forma directa el dolor D7 —el tiempo promedio ponderado de absolución de 11.29 días frente al promedio general de la entidad de 8.02 días— sin renunciar a la decisión humana final, dado que el reglamento de la SBS exige que la entidad sustente la procedencia del reclamo (SBS, 2022).</w:t>
      </w:r>
    </w:p>
    <w:p>
      <w:pPr>
        <w:spacing w:after="200" w:before="0" w:line="360" w:lineRule="auto"/>
        <w:jc w:val="both"/>
      </w:pPr>
      <w:r>
        <w:rPr>
          <w:rFonts w:ascii="Times New Roman" w:cs="Times New Roman" w:eastAsia="Times New Roman" w:hAnsi="Times New Roman"/>
          <w:b/>
          <w:bCs/>
          <w:sz w:val="22"/>
          <w:szCs w:val="22"/>
        </w:rPr>
        <w:t xml:space="preserve">Sustento de mercado.</w:t>
      </w:r>
      <w:r>
        <w:rPr>
          <w:rFonts w:ascii="Times New Roman" w:cs="Times New Roman" w:eastAsia="Times New Roman" w:hAnsi="Times New Roman"/>
          <w:sz w:val="22"/>
          <w:szCs w:val="22"/>
        </w:rPr>
        <w:t xml:space="preserve"> En el segmento de disputas y contracargos, la automatización con IA permite reducir la recopilación de evidencia de veinte o treinta minutos a menos de dos, y llevar la resolución de casos simples de semanas a horas, resolviendo de forma autónoma entre 70 % y 80 % de los casos cuando los hechos son claros </w:t>
      </w:r>
      <w:r>
        <w:rPr>
          <w:rFonts w:ascii="Times New Roman" w:cs="Times New Roman" w:eastAsia="Times New Roman" w:hAnsi="Times New Roman"/>
          <w:i/>
          <w:iCs/>
          <w:sz w:val="22"/>
          <w:szCs w:val="22"/>
        </w:rPr>
        <w:t xml:space="preserve">(Backbase, 2026)</w:t>
      </w:r>
      <w:r>
        <w:rPr>
          <w:rFonts w:ascii="Times New Roman" w:cs="Times New Roman" w:eastAsia="Times New Roman" w:hAnsi="Times New Roman"/>
          <w:sz w:val="22"/>
          <w:szCs w:val="22"/>
        </w:rPr>
        <w:t xml:space="preserve">. Otra fuente reporta hasta 60 % de reducción en la carga de trabajo del analista y 40 % de reducción en el tiempo total de procesamiento de la disputa </w:t>
      </w:r>
      <w:r>
        <w:rPr>
          <w:rFonts w:ascii="Times New Roman" w:cs="Times New Roman" w:eastAsia="Times New Roman" w:hAnsi="Times New Roman"/>
          <w:i/>
          <w:iCs/>
          <w:sz w:val="22"/>
          <w:szCs w:val="22"/>
        </w:rPr>
        <w:t xml:space="preserve">(Kore.ai, 2026)</w:t>
      </w:r>
      <w:r>
        <w:rPr>
          <w:rFonts w:ascii="Times New Roman" w:cs="Times New Roman" w:eastAsia="Times New Roman" w:hAnsi="Times New Roman"/>
          <w:sz w:val="22"/>
          <w:szCs w:val="22"/>
        </w:rPr>
        <w:t xml:space="preserve">. Ambas cifras provienen de mercados con volúmenes de disputas muy superiores al de BBVA Perú y no constituyen una proyección propia de la entidad; se emplean como referencia del orden de magnitud alcanzable, no como meta comprometida.</w:t>
      </w:r>
    </w:p>
    <w:p>
      <w:pPr>
        <w:spacing w:after="200" w:before="0" w:line="360" w:lineRule="auto"/>
        <w:jc w:val="both"/>
      </w:pPr>
      <w:r>
        <w:rPr>
          <w:rFonts w:ascii="Times New Roman" w:cs="Times New Roman" w:eastAsia="Times New Roman" w:hAnsi="Times New Roman"/>
          <w:b/>
          <w:bCs/>
          <w:sz w:val="22"/>
          <w:szCs w:val="22"/>
        </w:rPr>
        <w:t xml:space="preserve">Por qué es océano azul y no una imitación.</w:t>
      </w:r>
      <w:r>
        <w:rPr>
          <w:rFonts w:ascii="Times New Roman" w:cs="Times New Roman" w:eastAsia="Times New Roman" w:hAnsi="Times New Roman"/>
          <w:sz w:val="22"/>
          <w:szCs w:val="22"/>
        </w:rPr>
        <w:t xml:space="preserve"> La exposición sancionatoria por este tipo de reclamos es un problema de todo el sector —el 90 % de las sanciones de Indecopi por esta materia recayó en el sistema financiero entre 2021 y marzo de 2025 (Andina, 2025)— y BBVA fue identificado entre las cinco entidades con mayor número de infracciones (Alarcón, 2023). Ningún competidor peruano ha hecho pública una mejora sustantiva en el tiempo de resolución de este tipo específico de reclamo; convertir un centro de costo regulatorio en una ventaja de experiencia —ser la entidad que resuelve de forma consistente más cerca de su propio promedio general que del plazo regulatorio máximo— es un atributo que hoy nadie en el mercado peruano reclama para sí.</w:t>
      </w:r>
    </w:p>
    <w:p>
      <w:pPr>
        <w:spacing w:after="0" w:before="200" w:line="240" w:lineRule="auto"/>
      </w:pPr>
      <w:r>
        <w:rPr>
          <w:rFonts w:ascii="Times New Roman" w:cs="Times New Roman" w:eastAsia="Times New Roman" w:hAnsi="Times New Roman"/>
          <w:b/>
          <w:bCs/>
          <w:sz w:val="22"/>
          <w:szCs w:val="22"/>
        </w:rPr>
        <w:t xml:space="preserve">Tabla 28</w:t>
      </w:r>
    </w:p>
    <w:p>
      <w:pPr>
        <w:spacing w:after="120" w:before="0" w:line="240" w:lineRule="auto"/>
      </w:pPr>
      <w:r>
        <w:rPr>
          <w:rFonts w:ascii="Times New Roman" w:cs="Times New Roman" w:eastAsia="Times New Roman" w:hAnsi="Times New Roman"/>
          <w:i/>
          <w:iCs/>
          <w:sz w:val="22"/>
          <w:szCs w:val="22"/>
        </w:rPr>
        <w:t xml:space="preserve">Matriz ERRC — Agente de investigación asistida de reclamos</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1600"/>
        <w:gridCol w:w="8300"/>
      </w:tblGrid>
      <w:tr>
        <w:trPr>
          <w:tblHeader/>
        </w:trPr>
        <w:tc>
          <w:tcPr>
            <w:tcW w:type="dxa" w:w="1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Acción</w:t>
            </w:r>
          </w:p>
        </w:tc>
        <w:tc>
          <w:tcPr>
            <w:tcW w:type="dxa" w:w="8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Descripción</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Eliminar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revisión manual y secuencial de trazas transaccionales dispersas entre los sistemas de fraude, operaciones y atención al cliente durante la etapa de investigación (Tabla 16).</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Reducir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El tiempo en que el cliente permanece sin visibilidad del estado de su caso; la intervención humana de primer nivel en los reclamos de bajo riesgo y hechos claramente verificables.</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Elevar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trazabilidad del caso para el cliente, extendiendo a la interacción con el cliente la lógica de Blue Buddy ya validada internamente; la proximidad del tiempo de resolución de esta materia (11.29 días) al promedio general de la entidad (8.02 días).</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Crear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Un expediente de caso generado automáticamente por el agente, con recomendación explicable y veedor humano obligatorio antes de la resolución final, como resguardo prudencial frente al estándar de supervisión humana que la SBS exige para decisiones basadas en IA (Ramírez Huancayo, 2026), aplicado aquí por prudencia aunque la norma referida rige directamente decisiones de crédito.</w:t>
            </w:r>
          </w:p>
        </w:tc>
      </w:tr>
    </w:tbl>
    <w:p>
      <w:pPr>
        <w:spacing w:after="200"/>
      </w:pPr>
    </w:p>
    <w:p>
      <w:pPr>
        <w:spacing w:after="200" w:before="0" w:line="360" w:lineRule="auto"/>
        <w:jc w:val="both"/>
      </w:pPr>
      <w:r>
        <w:rPr>
          <w:rFonts w:ascii="Times New Roman" w:cs="Times New Roman" w:eastAsia="Times New Roman" w:hAnsi="Times New Roman"/>
          <w:b/>
          <w:bCs/>
          <w:sz w:val="22"/>
          <w:szCs w:val="22"/>
        </w:rPr>
        <w:t xml:space="preserve">Indicador de éxito esperado.</w:t>
      </w:r>
      <w:r>
        <w:rPr>
          <w:rFonts w:ascii="Times New Roman" w:cs="Times New Roman" w:eastAsia="Times New Roman" w:hAnsi="Times New Roman"/>
          <w:sz w:val="22"/>
          <w:szCs w:val="22"/>
        </w:rPr>
        <w:t xml:space="preserve"> Tiempo promedio de absolución (línea base 11.29 días, meta converger al promedio general de la entidad de 8.02 días) e incidencia de reclamos de la materia por cada cien mil operaciones, conforme a la Tabla 24 del Entregable 2.</w:t>
      </w:r>
    </w:p>
    <w:p>
      <w:pPr>
        <w:pStyle w:val="Heading2"/>
        <w:spacing w:after="160" w:before="260" w:line="360" w:lineRule="auto"/>
      </w:pPr>
      <w:r>
        <w:rPr>
          <w:rFonts w:ascii="Times New Roman" w:cs="Times New Roman" w:eastAsia="Times New Roman" w:hAnsi="Times New Roman"/>
          <w:b/>
          <w:bCs/>
          <w:color w:val="1f3864"/>
          <w:sz w:val="24"/>
          <w:szCs w:val="24"/>
        </w:rPr>
        <w:t xml:space="preserve">5.4. Hipótesis de iniciativa para DC3: agente de verificación progresiva en la contratación digital</w:t>
      </w:r>
    </w:p>
    <w:p>
      <w:pPr>
        <w:spacing w:after="200" w:before="0" w:line="360" w:lineRule="auto"/>
        <w:jc w:val="both"/>
      </w:pPr>
      <w:r>
        <w:rPr>
          <w:rFonts w:ascii="Times New Roman" w:cs="Times New Roman" w:eastAsia="Times New Roman" w:hAnsi="Times New Roman"/>
          <w:b/>
          <w:bCs/>
          <w:sz w:val="22"/>
          <w:szCs w:val="22"/>
        </w:rPr>
        <w:t xml:space="preserve">Nombre de la hipótesis.</w:t>
      </w:r>
      <w:r>
        <w:rPr>
          <w:rFonts w:ascii="Times New Roman" w:cs="Times New Roman" w:eastAsia="Times New Roman" w:hAnsi="Times New Roman"/>
          <w:sz w:val="22"/>
          <w:szCs w:val="22"/>
        </w:rPr>
        <w:t xml:space="preserve"> Agente conversacional de contratación con verificación de identidad progresiva y asíncrona, integrado al proceso 100 % digital ya lanzado por BBVA Perú a inicios de 2026.</w:t>
      </w:r>
    </w:p>
    <w:p>
      <w:pPr>
        <w:spacing w:after="200" w:before="0" w:line="360" w:lineRule="auto"/>
        <w:jc w:val="both"/>
      </w:pPr>
      <w:r>
        <w:rPr>
          <w:rFonts w:ascii="Times New Roman" w:cs="Times New Roman" w:eastAsia="Times New Roman" w:hAnsi="Times New Roman"/>
          <w:b/>
          <w:bCs/>
          <w:sz w:val="22"/>
          <w:szCs w:val="22"/>
        </w:rPr>
        <w:t xml:space="preserve">Formulación.</w:t>
      </w:r>
      <w:r>
        <w:rPr>
          <w:rFonts w:ascii="Times New Roman" w:cs="Times New Roman" w:eastAsia="Times New Roman" w:hAnsi="Times New Roman"/>
          <w:sz w:val="22"/>
          <w:szCs w:val="22"/>
        </w:rPr>
        <w:t xml:space="preserve"> El proceso íntegramente digital descrito en el Anexo B permite a una persona no cliente contratar en menos de cinco minutos, pero se interrumpe por completo —con derivación a oficina física— cuando el solicitante es menor de edad o presenta carné de extranjería </w:t>
      </w:r>
      <w:r>
        <w:rPr>
          <w:rFonts w:ascii="Times New Roman" w:cs="Times New Roman" w:eastAsia="Times New Roman" w:hAnsi="Times New Roman"/>
          <w:i/>
          <w:iCs/>
          <w:sz w:val="22"/>
          <w:szCs w:val="22"/>
        </w:rPr>
        <w:t xml:space="preserve">(A. Moquillaza, comunicación personal, 11 de setiembre de 2026)</w:t>
      </w:r>
      <w:r>
        <w:rPr>
          <w:rFonts w:ascii="Times New Roman" w:cs="Times New Roman" w:eastAsia="Times New Roman" w:hAnsi="Times New Roman"/>
          <w:sz w:val="22"/>
          <w:szCs w:val="22"/>
        </w:rPr>
        <w:t xml:space="preserve">. Si en lugar de interrumpir el flujo el agente conversacional gestiona la verificación adicional que ese perfil requiere de forma progresiva y asíncrona dentro del mismo canal —por ejemplo, solicitando el documento o la autorización faltante sin cerrar la conversación ni exigir presencialidad inmediata—, entonces una proporción del 67 % de cuentas hoy contratadas por canal asistido podría completarse íntegramente en digital. Esto ataca el dolor D9 —la penetración digital de 33 % en cuentas, con retroceso frente al cierre de 2025— y el dolor D11 —la interrupción del flujo ante perfiles no contemplados—, ambos integrados en DC3.</w:t>
      </w:r>
    </w:p>
    <w:p>
      <w:pPr>
        <w:spacing w:after="200" w:before="0" w:line="360" w:lineRule="auto"/>
        <w:jc w:val="both"/>
      </w:pPr>
      <w:r>
        <w:rPr>
          <w:rFonts w:ascii="Times New Roman" w:cs="Times New Roman" w:eastAsia="Times New Roman" w:hAnsi="Times New Roman"/>
          <w:b/>
          <w:bCs/>
          <w:sz w:val="22"/>
          <w:szCs w:val="22"/>
        </w:rPr>
        <w:t xml:space="preserve">Sustento de mercado.</w:t>
      </w:r>
      <w:r>
        <w:rPr>
          <w:rFonts w:ascii="Times New Roman" w:cs="Times New Roman" w:eastAsia="Times New Roman" w:hAnsi="Times New Roman"/>
          <w:sz w:val="22"/>
          <w:szCs w:val="22"/>
        </w:rPr>
        <w:t xml:space="preserve"> La automatización conversacional del onboarding bancario reduce el abandono de solicitudes hasta en 18 % y disminuye la carga manual de verificación de identidad </w:t>
      </w:r>
      <w:r>
        <w:rPr>
          <w:rFonts w:ascii="Times New Roman" w:cs="Times New Roman" w:eastAsia="Times New Roman" w:hAnsi="Times New Roman"/>
          <w:i/>
          <w:iCs/>
          <w:sz w:val="22"/>
          <w:szCs w:val="22"/>
        </w:rPr>
        <w:t xml:space="preserve">(Kore.ai, 2026)</w:t>
      </w:r>
      <w:r>
        <w:rPr>
          <w:rFonts w:ascii="Times New Roman" w:cs="Times New Roman" w:eastAsia="Times New Roman" w:hAnsi="Times New Roman"/>
          <w:sz w:val="22"/>
          <w:szCs w:val="22"/>
        </w:rPr>
        <w:t xml:space="preserve">. En Perú, Mibanco ya opera un agente de IA agéntica sobre WhatsApp capaz de abrir cuentas de ahorro de forma autónoma, con el 80 % de sus usuarios siendo clientes nuevos sin cuenta previa y un tiempo promedio de dos minutos por transacción </w:t>
      </w:r>
      <w:r>
        <w:rPr>
          <w:rFonts w:ascii="Times New Roman" w:cs="Times New Roman" w:eastAsia="Times New Roman" w:hAnsi="Times New Roman"/>
          <w:i/>
          <w:iCs/>
          <w:sz w:val="22"/>
          <w:szCs w:val="22"/>
        </w:rPr>
        <w:t xml:space="preserve">(PressPerú, 2026)</w:t>
      </w:r>
      <w:r>
        <w:rPr>
          <w:rFonts w:ascii="Times New Roman" w:cs="Times New Roman" w:eastAsia="Times New Roman" w:hAnsi="Times New Roman"/>
          <w:sz w:val="22"/>
          <w:szCs w:val="22"/>
        </w:rPr>
        <w:t xml:space="preserve">; el BCP, por su parte, reporta que su voicebot redujo la tasa de abandono de llamadas de aproximadamente 50 % a menos de 10 % y el tiempo de respuesta de dos minutos a menos de quince segundos, aunque circunscrito a consultas informativas, con una segunda fase transaccional aún pendiente </w:t>
      </w:r>
      <w:r>
        <w:rPr>
          <w:rFonts w:ascii="Times New Roman" w:cs="Times New Roman" w:eastAsia="Times New Roman" w:hAnsi="Times New Roman"/>
          <w:i/>
          <w:iCs/>
          <w:sz w:val="22"/>
          <w:szCs w:val="22"/>
        </w:rPr>
        <w:t xml:space="preserve">(Mestanza Arquiñigo, 2024)</w:t>
      </w:r>
      <w:r>
        <w:rPr>
          <w:rFonts w:ascii="Times New Roman" w:cs="Times New Roman" w:eastAsia="Times New Roman" w:hAnsi="Times New Roman"/>
          <w:sz w:val="22"/>
          <w:szCs w:val="22"/>
        </w:rPr>
        <w:t xml:space="preserve">.</w:t>
      </w:r>
    </w:p>
    <w:p>
      <w:pPr>
        <w:spacing w:after="200" w:before="0" w:line="360" w:lineRule="auto"/>
        <w:jc w:val="both"/>
      </w:pPr>
      <w:r>
        <w:rPr>
          <w:rFonts w:ascii="Times New Roman" w:cs="Times New Roman" w:eastAsia="Times New Roman" w:hAnsi="Times New Roman"/>
          <w:b/>
          <w:bCs/>
          <w:sz w:val="22"/>
          <w:szCs w:val="22"/>
        </w:rPr>
        <w:t xml:space="preserve">Por qué es océano azul y no una imitación.</w:t>
      </w:r>
      <w:r>
        <w:rPr>
          <w:rFonts w:ascii="Times New Roman" w:cs="Times New Roman" w:eastAsia="Times New Roman" w:hAnsi="Times New Roman"/>
          <w:sz w:val="22"/>
          <w:szCs w:val="22"/>
        </w:rPr>
        <w:t xml:space="preserve"> Que Mibanco y el BCP ya operen agentes conversacionales confirma que el canal conversacional en sí mismo es hoy un atributo de océano rojo: todo banco relevante del sistema se moverá hacia él. La evidencia pública no muestra que algún competidor peruano haya resuelto específicamente la verificación de perfiles borde sin derivación presencial; ese es el atributo puntual que esta hipótesis propone crear, y es el que convierte una función ya comoditizada —"conversar con un agente"— en una ventaja específica y medible frente al 67 % de cuentas que hoy se pierden hacia el canal asistido.</w:t>
      </w:r>
    </w:p>
    <w:p>
      <w:pPr>
        <w:spacing w:after="0" w:before="200" w:line="240" w:lineRule="auto"/>
      </w:pPr>
      <w:r>
        <w:rPr>
          <w:rFonts w:ascii="Times New Roman" w:cs="Times New Roman" w:eastAsia="Times New Roman" w:hAnsi="Times New Roman"/>
          <w:b/>
          <w:bCs/>
          <w:sz w:val="22"/>
          <w:szCs w:val="22"/>
        </w:rPr>
        <w:t xml:space="preserve">Tabla 29</w:t>
      </w:r>
    </w:p>
    <w:p>
      <w:pPr>
        <w:spacing w:after="120" w:before="0" w:line="240" w:lineRule="auto"/>
      </w:pPr>
      <w:r>
        <w:rPr>
          <w:rFonts w:ascii="Times New Roman" w:cs="Times New Roman" w:eastAsia="Times New Roman" w:hAnsi="Times New Roman"/>
          <w:i/>
          <w:iCs/>
          <w:sz w:val="22"/>
          <w:szCs w:val="22"/>
        </w:rPr>
        <w:t xml:space="preserve">Matriz ERRC — Agente de verificación progresiva en la contratación digital</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1600"/>
        <w:gridCol w:w="8300"/>
      </w:tblGrid>
      <w:tr>
        <w:trPr>
          <w:tblHeader/>
        </w:trPr>
        <w:tc>
          <w:tcPr>
            <w:tcW w:type="dxa" w:w="1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Acción</w:t>
            </w:r>
          </w:p>
        </w:tc>
        <w:tc>
          <w:tcPr>
            <w:tcW w:type="dxa" w:w="8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Descripción</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Eliminar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interrupción total del flujo digital y la derivación obligatoria a oficina física ante perfiles de solicitante no contemplados por el sistema (menores de edad, titulares con carné de extranjería).</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Reducir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proporción de aperturas de cuenta que hoy se completan por canal asistido (67 %); los pasos de verificación redundantes para solicitantes con historial previo en el ecosistema BBVA.</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Elevar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La cobertura del proceso 100 % digital ya lanzado en 2026, extendiéndolo a los perfiles hoy excluidos, dentro del marco normativo aplicable a cada caso; la trazabilidad del estado de verificación para el solicitante durante el proceso asíncrono.</w:t>
            </w:r>
          </w:p>
        </w:tc>
      </w:tr>
      <w:tr>
        <w:tc>
          <w:tcPr>
            <w:tcW w:type="dxa" w:w="1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bCs/>
                <w:sz w:val="22"/>
                <w:szCs w:val="22"/>
              </w:rPr>
              <w:t xml:space="preserve">Crear</w:t>
            </w:r>
          </w:p>
        </w:tc>
        <w:tc>
          <w:tcPr>
            <w:tcW w:type="dxa" w:w="8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Una verificación de identidad progresiva y asíncrona dentro del propio canal conversacional, que no cierra ni deriva la conversación mientras se completa un requisito adicional —atributo que, a la fecha de esta entrega, ningún competidor peruano ha hecho público para este tipo de perfiles.</w:t>
            </w:r>
          </w:p>
        </w:tc>
      </w:tr>
    </w:tbl>
    <w:p>
      <w:pPr>
        <w:spacing w:after="200"/>
      </w:pPr>
    </w:p>
    <w:p>
      <w:pPr>
        <w:spacing w:after="200" w:before="0" w:line="360" w:lineRule="auto"/>
        <w:jc w:val="both"/>
      </w:pPr>
      <w:r>
        <w:rPr>
          <w:rFonts w:ascii="Times New Roman" w:cs="Times New Roman" w:eastAsia="Times New Roman" w:hAnsi="Times New Roman"/>
          <w:b/>
          <w:bCs/>
          <w:sz w:val="22"/>
          <w:szCs w:val="22"/>
        </w:rPr>
        <w:t xml:space="preserve">Indicador de éxito esperado.</w:t>
      </w:r>
      <w:r>
        <w:rPr>
          <w:rFonts w:ascii="Times New Roman" w:cs="Times New Roman" w:eastAsia="Times New Roman" w:hAnsi="Times New Roman"/>
          <w:sz w:val="22"/>
          <w:szCs w:val="22"/>
        </w:rPr>
        <w:t xml:space="preserve"> Penetración digital en cuentas (línea base 33 %, meta 55 % en dieciocho meses) y tasa de derivación a canal asistido, hoy sin línea base pública y que el propio agente permitiría instrumentar por primera vez, conforme a la Tabla 25 del Entregable 2.</w:t>
      </w:r>
    </w:p>
    <w:p>
      <w:pPr>
        <w:pStyle w:val="Heading2"/>
        <w:spacing w:after="160" w:before="260" w:line="360" w:lineRule="auto"/>
      </w:pPr>
      <w:r>
        <w:rPr>
          <w:rFonts w:ascii="Times New Roman" w:cs="Times New Roman" w:eastAsia="Times New Roman" w:hAnsi="Times New Roman"/>
          <w:b/>
          <w:bCs/>
          <w:color w:val="1f3864"/>
          <w:sz w:val="24"/>
          <w:szCs w:val="24"/>
        </w:rPr>
        <w:t xml:space="preserve">5.5. Síntesis de las hipótesis de iniciativa</w:t>
      </w:r>
    </w:p>
    <w:p>
      <w:pPr>
        <w:spacing w:after="200" w:before="0" w:line="360" w:lineRule="auto"/>
        <w:jc w:val="both"/>
      </w:pPr>
      <w:r>
        <w:rPr>
          <w:rFonts w:ascii="Times New Roman" w:cs="Times New Roman" w:eastAsia="Times New Roman" w:hAnsi="Times New Roman"/>
          <w:sz w:val="22"/>
          <w:szCs w:val="22"/>
        </w:rPr>
        <w:t xml:space="preserve">La Tabla 30 sintetiza las tres hipótesis, su vínculo con los objetivos estratégicos ya establecidos en la Tabla 22 del Entregable 2 y la tecnología habilitante propuesta en cada caso.</w:t>
      </w:r>
    </w:p>
    <w:p>
      <w:pPr>
        <w:spacing w:after="0" w:before="200" w:line="240" w:lineRule="auto"/>
      </w:pPr>
      <w:r>
        <w:rPr>
          <w:rFonts w:ascii="Times New Roman" w:cs="Times New Roman" w:eastAsia="Times New Roman" w:hAnsi="Times New Roman"/>
          <w:b/>
          <w:bCs/>
          <w:sz w:val="22"/>
          <w:szCs w:val="22"/>
        </w:rPr>
        <w:t xml:space="preserve">Tabla 30</w:t>
      </w:r>
    </w:p>
    <w:p>
      <w:pPr>
        <w:spacing w:after="120" w:before="0" w:line="240" w:lineRule="auto"/>
      </w:pPr>
      <w:r>
        <w:rPr>
          <w:rFonts w:ascii="Times New Roman" w:cs="Times New Roman" w:eastAsia="Times New Roman" w:hAnsi="Times New Roman"/>
          <w:i/>
          <w:iCs/>
          <w:sz w:val="22"/>
          <w:szCs w:val="22"/>
        </w:rPr>
        <w:t xml:space="preserve">Síntesis de hipótesis de iniciativa y su alineamiento estratégico</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1000"/>
        <w:gridCol w:w="3300"/>
        <w:gridCol w:w="3200"/>
        <w:gridCol w:w="2400"/>
      </w:tblGrid>
      <w:tr>
        <w:trPr>
          <w:tblHeader/>
        </w:trPr>
        <w:tc>
          <w:tcPr>
            <w:tcW w:type="dxa" w:w="10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Dolor crítico</w:t>
            </w:r>
          </w:p>
        </w:tc>
        <w:tc>
          <w:tcPr>
            <w:tcW w:type="dxa" w:w="3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Hipótesis de iniciativa</w:t>
            </w:r>
          </w:p>
        </w:tc>
        <w:tc>
          <w:tcPr>
            <w:tcW w:type="dxa" w:w="32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Tecnología habilitante</w:t>
            </w:r>
          </w:p>
        </w:tc>
        <w:tc>
          <w:tcPr>
            <w:tcW w:type="dxa" w:w="24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Objetivos estratégicos vinculados</w:t>
            </w:r>
          </w:p>
        </w:tc>
      </w:tr>
      <w:tr>
        <w:tc>
          <w:tcPr>
            <w:tcW w:type="dxa" w:w="10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DC1</w:t>
            </w:r>
          </w:p>
        </w:tc>
        <w:tc>
          <w:tcPr>
            <w:tcW w:type="dxa" w:w="3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Agente de preclasificación y acompañamiento conversacional del crédito Pyme</w:t>
            </w:r>
          </w:p>
        </w:tc>
        <w:tc>
          <w:tcPr>
            <w:tcW w:type="dxa" w:w="32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Agente de IA sobre datos transaccionales propios (procesamiento de lenguaje natural + analítica del ecosistema BBVA)</w:t>
            </w:r>
          </w:p>
        </w:tc>
        <w:tc>
          <w:tcPr>
            <w:tcW w:type="dxa" w:w="24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OE3, OE4, OE5</w:t>
            </w:r>
          </w:p>
        </w:tc>
      </w:tr>
      <w:tr>
        <w:tc>
          <w:tcPr>
            <w:tcW w:type="dxa" w:w="10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DC2</w:t>
            </w:r>
          </w:p>
        </w:tc>
        <w:tc>
          <w:tcPr>
            <w:tcW w:type="dxa" w:w="3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Extensión de Blue Buddy a agente de investigación de casos de reclamos</w:t>
            </w:r>
          </w:p>
        </w:tc>
        <w:tc>
          <w:tcPr>
            <w:tcW w:type="dxa" w:w="32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Agente de IA de orquestación multisistema con recomendación explicable y validación humana</w:t>
            </w:r>
          </w:p>
        </w:tc>
        <w:tc>
          <w:tcPr>
            <w:tcW w:type="dxa" w:w="24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OE1, OE5, OE6</w:t>
            </w:r>
          </w:p>
        </w:tc>
      </w:tr>
      <w:tr>
        <w:tc>
          <w:tcPr>
            <w:tcW w:type="dxa" w:w="10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DC3</w:t>
            </w:r>
          </w:p>
        </w:tc>
        <w:tc>
          <w:tcPr>
            <w:tcW w:type="dxa" w:w="3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Agente conversacional con verificación de identidad progresiva y asíncrona</w:t>
            </w:r>
          </w:p>
        </w:tc>
        <w:tc>
          <w:tcPr>
            <w:tcW w:type="dxa" w:w="32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Agente de IA conversacional integrado al flujo 100 % digital ya desplegado</w:t>
            </w:r>
          </w:p>
        </w:tc>
        <w:tc>
          <w:tcPr>
            <w:tcW w:type="dxa" w:w="24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OE1, OE4, OE5</w:t>
            </w:r>
          </w:p>
        </w:tc>
      </w:tr>
    </w:tbl>
    <w:p>
      <w:pPr>
        <w:spacing w:after="220" w:before="60" w:line="240"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con base en la Tabla 22 del Entregable 2 y en las hipótesis desarrolladas en las secciones 5.2 a 5.4.</w:t>
      </w:r>
    </w:p>
    <w:p>
      <w:pPr>
        <w:spacing w:after="200" w:before="0" w:line="360" w:lineRule="auto"/>
        <w:jc w:val="both"/>
      </w:pPr>
      <w:r>
        <w:rPr>
          <w:rFonts w:ascii="Times New Roman" w:cs="Times New Roman" w:eastAsia="Times New Roman" w:hAnsi="Times New Roman"/>
          <w:sz w:val="22"/>
          <w:szCs w:val="22"/>
        </w:rPr>
        <w:t xml:space="preserve">Las tres hipótesis comparten un mismo principio de diseño: ninguna reemplaza la decisión humana en el punto donde la regulación o el riesgo reputacional lo exige —aprobación crediticia final, procedencia del reclamo, validación de identidad de un menor de edad—, sino que reduce el trabajo manual previo a esa decisión. Esta arquitectura responde tanto a la exigencia de supervisión humana que la SBS establece para decisiones basadas en IA </w:t>
      </w:r>
      <w:r>
        <w:rPr>
          <w:rFonts w:ascii="Times New Roman" w:cs="Times New Roman" w:eastAsia="Times New Roman" w:hAnsi="Times New Roman"/>
          <w:i/>
          <w:iCs/>
          <w:sz w:val="22"/>
          <w:szCs w:val="22"/>
        </w:rPr>
        <w:t xml:space="preserve">(Ramírez Huancayo, 2026)</w:t>
      </w:r>
      <w:r>
        <w:rPr>
          <w:rFonts w:ascii="Times New Roman" w:cs="Times New Roman" w:eastAsia="Times New Roman" w:hAnsi="Times New Roman"/>
          <w:sz w:val="22"/>
          <w:szCs w:val="22"/>
        </w:rPr>
        <w:t xml:space="preserve"> como a la necesidad de que la iniciativa resulte defendible ante el jurado y, eventualmente, ante el propio banco.</w:t>
      </w:r>
    </w:p>
    <w:p>
      <w:pPr>
        <w:pStyle w:val="Heading1"/>
        <w:spacing w:after="200" w:before="320" w:line="360" w:lineRule="auto"/>
      </w:pPr>
      <w:r>
        <w:rPr>
          <w:rFonts w:ascii="Times New Roman" w:cs="Times New Roman" w:eastAsia="Times New Roman" w:hAnsi="Times New Roman"/>
          <w:b/>
          <w:bCs/>
          <w:color w:val="1f3864"/>
          <w:sz w:val="26"/>
          <w:szCs w:val="26"/>
        </w:rPr>
        <w:t xml:space="preserve">6. Descripción detallada de los puntos de dolor As Is</w:t>
      </w:r>
    </w:p>
    <w:p>
      <w:pPr>
        <w:spacing w:after="200" w:before="0" w:line="360" w:lineRule="auto"/>
        <w:jc w:val="both"/>
      </w:pPr>
      <w:r>
        <w:rPr>
          <w:rFonts w:ascii="Times New Roman" w:cs="Times New Roman" w:eastAsia="Times New Roman" w:hAnsi="Times New Roman"/>
          <w:sz w:val="22"/>
          <w:szCs w:val="22"/>
        </w:rPr>
        <w:t xml:space="preserve">Esta sección describe, para cada uno de los tres dolores críticos, la situación As Is del proceso: actores involucrados, sistemas utilizados, canales de atención, actividades manuales, tiempos promedio, errores frecuentes, costos asociados e indicadores actuales. La descripción reutiliza la evidencia ya consignada en los mapas de las secciones 3.3 a 3.5 y en las Tablas 23 a 25 del Entregable 2; no se introduce ninguna cifra nueva sin fuente. Donde el equipo no encontró una fuente pública, el campo se marca de forma explícita como </w:t>
      </w:r>
      <w:r>
        <w:rPr>
          <w:rFonts w:ascii="Times New Roman" w:cs="Times New Roman" w:eastAsia="Times New Roman" w:hAnsi="Times New Roman"/>
          <w:i/>
          <w:iCs/>
          <w:sz w:val="22"/>
          <w:szCs w:val="22"/>
        </w:rPr>
        <w:t xml:space="preserve">NO HAY FUENTES EN INTERNET DISPONIBLES</w:t>
      </w:r>
      <w:r>
        <w:rPr>
          <w:rFonts w:ascii="Times New Roman" w:cs="Times New Roman" w:eastAsia="Times New Roman" w:hAnsi="Times New Roman"/>
          <w:sz w:val="22"/>
          <w:szCs w:val="22"/>
        </w:rPr>
        <w:t xml:space="preserve">, conforme al criterio de evidencia declarado en la sección 3.1.</w:t>
      </w:r>
    </w:p>
    <w:p>
      <w:pPr>
        <w:pStyle w:val="Heading2"/>
        <w:spacing w:after="160" w:before="260" w:line="360" w:lineRule="auto"/>
      </w:pPr>
      <w:r>
        <w:rPr>
          <w:rFonts w:ascii="Times New Roman" w:cs="Times New Roman" w:eastAsia="Times New Roman" w:hAnsi="Times New Roman"/>
          <w:b/>
          <w:bCs/>
          <w:color w:val="1f3864"/>
          <w:sz w:val="24"/>
          <w:szCs w:val="24"/>
        </w:rPr>
        <w:t xml:space="preserve">6.1. Descripción As Is del dolor crítico DC1: originación de crédito Pyme</w:t>
      </w:r>
    </w:p>
    <w:p>
      <w:pPr>
        <w:spacing w:after="0" w:before="200" w:line="240" w:lineRule="auto"/>
      </w:pPr>
      <w:r>
        <w:rPr>
          <w:rFonts w:ascii="Times New Roman" w:cs="Times New Roman" w:eastAsia="Times New Roman" w:hAnsi="Times New Roman"/>
          <w:b/>
          <w:bCs/>
          <w:sz w:val="22"/>
          <w:szCs w:val="22"/>
        </w:rPr>
        <w:t xml:space="preserve">Tabla 31</w:t>
      </w:r>
    </w:p>
    <w:p>
      <w:pPr>
        <w:spacing w:after="120" w:before="0" w:line="240" w:lineRule="auto"/>
      </w:pPr>
      <w:r>
        <w:rPr>
          <w:rFonts w:ascii="Times New Roman" w:cs="Times New Roman" w:eastAsia="Times New Roman" w:hAnsi="Times New Roman"/>
          <w:i/>
          <w:iCs/>
          <w:sz w:val="22"/>
          <w:szCs w:val="22"/>
        </w:rPr>
        <w:t xml:space="preserve">Descripción As Is del DC1</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2300"/>
        <w:gridCol w:w="7600"/>
      </w:tblGrid>
      <w:tr>
        <w:trPr>
          <w:tblHeader/>
        </w:trPr>
        <w:tc>
          <w:tcPr>
            <w:tcW w:type="dxa" w:w="2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Dimensión</w:t>
            </w:r>
          </w:p>
        </w:tc>
        <w:tc>
          <w:tcPr>
            <w:tcW w:type="dxa" w:w="7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Situación As Is</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Actores involucrados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Empresario o representante de la microempresa o Pyme solicitante; ejecutivo de negocio (ruta asistida); motor de decisión crediticio y analista de riesgo (evaluación); personal de formalización presencial. Elaboración propia con base en la Tabla 15 [C].</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Sistemas utilizados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App BBVA Empresas 2.0 (onboarding 100 % digital); web pública; motor de decisión; centrales de riesgo; plataforma de datos ADA; cuenta corriente; soluciones de cobro Openpay y QR Empresas. Tabla 15; Banco BBVA Perú (s. f.-b, s. f.-c)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Canales de atención</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Canal digital (app BBVA Empresas 2.0) y canal asistido (oficina, ejecutivo de negocio). Tabla 15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Actividades manuales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Recopilación y verificación de documentación financiera no estructurada de la microempresa (Melo, 2026); evaluación crediticia con información no verificable, que eleva costos operativos trasladados al cliente vía tasa o restricción de línea (Melo, 2026); formalización presencial de la ruta asistida (Tabla 15)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Tiempos promedio</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Ruta digital: 3 minutos promedio (Reusche, 2026) [F]. Ruta asistida: NO HAY FUENTES EN INTERNET DISPONIBLES; así consignado en la Tabla 23 del Entregable 2, que remite a levantamiento interno [V].</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Errores frecuentes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NO HAY FUENTES EN INTERNET DISPONIBLES sobre tasas de error o reproceso propias de BBVA Perú en esta etapa [V]. Referencia sectorial indirecta, no atribuible a BBVA: solo una de cada cuatro mypes peruanas accede a crédito por falta de información financiera verificable (Melo, 2026), lo que sugiere fricción recurrente en la etapa de evaluación sin que constituya una cifra de error operativo propiamente dicha [F sectorial].</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Costos asociados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NO HAY FUENTES EN INTERNET DISPONIBLES sobre el costo unitario de originación por canal en BBVA Perú; así consignado en la Tabla 23 del Entregable 2 [V]. Referencia internacional no extrapolable: la automatización con aprendizaje automático permite ahorrar hasta USD 1,500 por préstamo en el mercado hipotecario estadounidense (Freddie Mac, mayo de 2025, citado en Stealth Agents, 2026) [F referencial].</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Indicadores actuales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Tasa de originación digital Pyme: 33 % (Reusche, 2026). Transaccionalidad digital del portafolio: 75 %. Clientes Pyme digitales: 74 % (BBVA, 2026b). NPS Pyme: 33.6, frente a 52.57 en retail (Banco BBVA Perú, 2026b). Detalle completo en la Tabla 23 del Entregable 2 [F].</w:t>
            </w:r>
          </w:p>
        </w:tc>
      </w:tr>
    </w:tbl>
    <w:p>
      <w:pPr>
        <w:spacing w:after="220" w:before="60" w:line="240"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con base en las fuentes citadas en cada celda; los vacíos de información se declaran de forma explícita conforme al criterio de evidencia de la sección 3.1 del Entregable 2.</w:t>
      </w:r>
    </w:p>
    <w:p>
      <w:pPr>
        <w:pStyle w:val="Heading2"/>
        <w:spacing w:after="160" w:before="260" w:line="360" w:lineRule="auto"/>
      </w:pPr>
      <w:r>
        <w:rPr>
          <w:rFonts w:ascii="Times New Roman" w:cs="Times New Roman" w:eastAsia="Times New Roman" w:hAnsi="Times New Roman"/>
          <w:b/>
          <w:bCs/>
          <w:color w:val="1f3864"/>
          <w:sz w:val="24"/>
          <w:szCs w:val="24"/>
        </w:rPr>
        <w:t xml:space="preserve">6.2. Descripción As Is del dolor crítico DC2: operaciones no reconocidas</w:t>
      </w:r>
    </w:p>
    <w:p>
      <w:pPr>
        <w:spacing w:after="0" w:before="200" w:line="240" w:lineRule="auto"/>
      </w:pPr>
      <w:r>
        <w:rPr>
          <w:rFonts w:ascii="Times New Roman" w:cs="Times New Roman" w:eastAsia="Times New Roman" w:hAnsi="Times New Roman"/>
          <w:b/>
          <w:bCs/>
          <w:sz w:val="22"/>
          <w:szCs w:val="22"/>
        </w:rPr>
        <w:t xml:space="preserve">Tabla 32</w:t>
      </w:r>
    </w:p>
    <w:p>
      <w:pPr>
        <w:spacing w:after="120" w:before="0" w:line="240" w:lineRule="auto"/>
      </w:pPr>
      <w:r>
        <w:rPr>
          <w:rFonts w:ascii="Times New Roman" w:cs="Times New Roman" w:eastAsia="Times New Roman" w:hAnsi="Times New Roman"/>
          <w:i/>
          <w:iCs/>
          <w:sz w:val="22"/>
          <w:szCs w:val="22"/>
        </w:rPr>
        <w:t xml:space="preserve">Descripción As Is del DC2</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2300"/>
        <w:gridCol w:w="7600"/>
      </w:tblGrid>
      <w:tr>
        <w:trPr>
          <w:tblHeader/>
        </w:trPr>
        <w:tc>
          <w:tcPr>
            <w:tcW w:type="dxa" w:w="2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Dimensión</w:t>
            </w:r>
          </w:p>
        </w:tc>
        <w:tc>
          <w:tcPr>
            <w:tcW w:type="dxa" w:w="7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Situación As Is</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Actores involucrados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Cliente reclamante; asesor telefónico, de oficina o canal digital de registro; analista del área de fraude; analista de operaciones; área de atención al cliente; SBS e Indecopi como receptores del reporte regulatorio. Tabla 16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Sistemas utilizados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Motor de monitoreo transaccional y reglas antifraude; asistente Blue Buddy; sistema de gestión de reclamos; herramientas de gestión de identidades, monitoreo y respuesta a incidentes; plataforma de datos ADA. Tabla 16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Canales de atención</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App (alerta y registro del reclamo), contact center, oficina; comunicación formal de resultado mediante carta de respuesta. Tabla 16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Actividades manuales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Registro y tipificación del reclamo; análisis del caso y "revisión de las trazas de la operación y consulta de su ciclo de vida mediante las herramientas internas" (explícitamente manual, Tabla 16); coordinación entre las áreas de fraude, operaciones y atención (sección 3.4); decisión sobre procedencia y ejecución del abono o rechazo. Tabla 16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Tiempos promedio</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Tiempo promedio ponderado de absolución: 11.29 días en el 2T2026 para los tres productos comprendidos en el análisis, frente a 8.02 días del promedio general de reclamos absueltos por la entidad. Plazo regulatorio: 15 días hábiles, prorrogable de forma excepcional. Cálculo propio con base en Banco BBVA Perú (2026c, 2026d, 2026e); SBS (2022, arts. 7.1 y 7.3)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Errores frecuentes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NO HAY FUENTES EN INTERNET DISPONIBLES sobre tipos de error operativo específicos de BBVA Perú en este proceso [V]. Evidencia indirecta de exposición: BBVA fue identificado entre las cinco entidades con mayor número de infracciones por operaciones no reconocidas en un reportaje de investigación (Alarcón, 2023), lo que sugiere fricciones recurrentes en la instrucción de los casos, sin que la fuente detalle la naturaleza exacta del error [F indirecto].</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Costos asociados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Costo operativo propio de BBVA Perú por caso: NO HAY FUENTES EN INTERNET DISPONIBLES [V]. Cifra sectorial, no desagregada por entidad: 3,978.8 UIT en multas del Indecopi entre 2021 y marzo de 2025, de las cuales el 90 % (2,601 sanciones) recayó en el sistema financiero (Andina, 2025) [F sectorial]. Referencia internacional no extrapolable: los quince bancos más grandes de Estados Unidos destinan cerca de USD 3,000 millones anuales a la gestión de contracargos y disputas (Backbase, 2026) [F referencial].</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Indicadores actuales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Volumen absuelto: 13,959 reclamos en el 2T2026. Tasa de resolución a favor del usuario: 21.63 %. Incidencia: 3.03 reclamos por cada cien mil operaciones. Cálculo propio con base en Banco BBVA Perú (2026c, 2026d, 2026e); detalle completo en la Tabla 24 del Entregable 2 [F].</w:t>
            </w:r>
          </w:p>
        </w:tc>
      </w:tr>
    </w:tbl>
    <w:p>
      <w:pPr>
        <w:spacing w:after="220" w:before="60" w:line="240"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con base en las fuentes citadas en cada celda; los vacíos de información se declaran de forma explícita conforme al criterio de evidencia de la sección 3.1 del Entregable 2.</w:t>
      </w:r>
    </w:p>
    <w:p>
      <w:pPr>
        <w:pStyle w:val="Heading2"/>
        <w:spacing w:after="160" w:before="260" w:line="360" w:lineRule="auto"/>
      </w:pPr>
      <w:r>
        <w:rPr>
          <w:rFonts w:ascii="Times New Roman" w:cs="Times New Roman" w:eastAsia="Times New Roman" w:hAnsi="Times New Roman"/>
          <w:b/>
          <w:bCs/>
          <w:color w:val="1f3864"/>
          <w:sz w:val="24"/>
          <w:szCs w:val="24"/>
        </w:rPr>
        <w:t xml:space="preserve">6.3. Descripción As Is del dolor crítico DC3: contratación por canal digital</w:t>
      </w:r>
    </w:p>
    <w:p>
      <w:pPr>
        <w:spacing w:after="0" w:before="200" w:line="240" w:lineRule="auto"/>
      </w:pPr>
      <w:r>
        <w:rPr>
          <w:rFonts w:ascii="Times New Roman" w:cs="Times New Roman" w:eastAsia="Times New Roman" w:hAnsi="Times New Roman"/>
          <w:b/>
          <w:bCs/>
          <w:sz w:val="22"/>
          <w:szCs w:val="22"/>
        </w:rPr>
        <w:t xml:space="preserve">Tabla 33</w:t>
      </w:r>
    </w:p>
    <w:p>
      <w:pPr>
        <w:spacing w:after="120" w:before="0" w:line="240" w:lineRule="auto"/>
      </w:pPr>
      <w:r>
        <w:rPr>
          <w:rFonts w:ascii="Times New Roman" w:cs="Times New Roman" w:eastAsia="Times New Roman" w:hAnsi="Times New Roman"/>
          <w:i/>
          <w:iCs/>
          <w:sz w:val="22"/>
          <w:szCs w:val="22"/>
        </w:rPr>
        <w:t xml:space="preserve">Descripción As Is del DC3</w:t>
      </w:r>
    </w:p>
    <w:tbl>
      <w:tblPr>
        <w:tblW w:type="dxa" w:w="9900"/>
        <w:tblBorders>
          <w:top w:val="single" w:color="8496b0" w:sz="4"/>
          <w:left w:val="single" w:color="8496b0" w:sz="4"/>
          <w:bottom w:val="single" w:color="8496b0" w:sz="4"/>
          <w:right w:val="single" w:color="8496b0" w:sz="4"/>
          <w:insideH w:val="single" w:color="b4c6e7" w:sz="4"/>
          <w:insideV w:val="single" w:color="b4c6e7" w:sz="4"/>
        </w:tblBorders>
      </w:tblPr>
      <w:tblGrid>
        <w:gridCol w:w="2300"/>
        <w:gridCol w:w="7600"/>
      </w:tblGrid>
      <w:tr>
        <w:trPr>
          <w:tblHeader/>
        </w:trPr>
        <w:tc>
          <w:tcPr>
            <w:tcW w:type="dxa" w:w="23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Dimensión</w:t>
            </w:r>
          </w:p>
        </w:tc>
        <w:tc>
          <w:tcPr>
            <w:tcW w:type="dxa" w:w="7600"/>
            <w:tcBorders>
              <w:top w:val="single" w:color="b4c6e7" w:sz="4"/>
              <w:left w:val="single" w:color="b4c6e7" w:sz="4"/>
              <w:bottom w:val="single" w:color="b4c6e7" w:sz="4"/>
              <w:right w:val="single" w:color="b4c6e7" w:sz="4"/>
            </w:tcBorders>
            <w:shd w:fill="1f3864"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color w:val="ffffff"/>
                <w:sz w:val="22"/>
                <w:szCs w:val="22"/>
              </w:rPr>
              <w:t xml:space="preserve">Situación As Is</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Actores involucrados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Cliente o no cliente interesado en contratar un producto; asistente Blue Buddy; personal de oficina que atiende los casos derivados. Tabla 17; Anexo B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Sistemas utilizados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App BBVA, web, simuladores, flujo digital de contratación —incluido el proceso íntegramente digital para no clientes lanzado a inicios de 2026—, cajeros, agentes, Plin y QR. Tabla 17; A. Moquillaza, comunicación personal, 11 de setiembre de 2026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Canales de atención</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App BBVA (85 % de las operaciones monetarias), web, publicidad, oficina, contact center. Tabla 17; Banco BBVA Perú (2026a, p. 3)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Actividades manuales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Derivación a oficina física cuando el sistema detiene el recorrido ante perfiles no contemplados —usuarios menores de edad o con carné de extranjería—; formalización presencial de esos casos. A. Moquillaza, comunicación personal, 11 de setiembre de 2026 [F].</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Tiempos promedio</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Proceso 100 % digital para no clientes: menos de 5 minutos. A. Moquillaza, comunicación personal, 11 de setiembre de 2026 [F]. Tiempo de la ruta derivada a oficina: NO HAY FUENTES EN INTERNET DISPONIBLES [V].</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Errores frecuentes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NO HAY FUENTES EN INTERNET DISPONIBLES sobre la tasa de abandono o error propia de BBVA Perú en este flujo; así consignado en la Tabla 25 del Entregable 2 [V]. Referencia de industria, no propia de BBVA Perú: la automatización conversacional del onboarding reduce el abandono de solicitudes hasta en 18 % (Kore.ai, 2026), lo que sugiere que el abandono es un fenómeno relevante en la industria [F referencial].</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Costos asociados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NO HAY FUENTES EN INTERNET DISPONIBLES sobre el costo de adquisición por canal en BBVA Perú; así consignado en la Tabla 25 del Entregable 2 [V].</w:t>
            </w:r>
          </w:p>
        </w:tc>
      </w:tr>
      <w:tr>
        <w:tc>
          <w:tcPr>
            <w:tcW w:type="dxa" w:w="23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Indicadores actuales</w:t>
            </w:r>
          </w:p>
        </w:tc>
        <w:tc>
          <w:tcPr>
            <w:tcW w:type="dxa" w:w="7600"/>
            <w:tcBorders>
              <w:top w:val="single" w:color="b4c6e7" w:sz="4"/>
              <w:left w:val="single" w:color="b4c6e7" w:sz="4"/>
              <w:bottom w:val="single" w:color="b4c6e7" w:sz="4"/>
              <w:right w:val="single" w:color="b4c6e7" w:sz="4"/>
            </w:tcBorders>
            <w:tcMar>
              <w:top w:type="dxa" w:w="60"/>
              <w:left w:type="dxa" w:w="90"/>
              <w:bottom w:type="dxa" w:w="60"/>
              <w:right w:type="dxa" w:w="90"/>
            </w:tcMar>
            <w:vAlign w:val="center"/>
          </w:tcPr>
          <w:p>
            <w:pPr>
              <w:spacing w:after="0" w:line="240" w:lineRule="auto"/>
              <w:jc w:val="both"/>
            </w:pPr>
            <w:r>
              <w:rPr>
                <w:rFonts w:ascii="Times New Roman" w:cs="Times New Roman" w:eastAsia="Times New Roman" w:hAnsi="Times New Roman"/>
                <w:b w:val="false"/>
                <w:bCs w:val="false"/>
                <w:sz w:val="22"/>
                <w:szCs w:val="22"/>
              </w:rPr>
              <w:t xml:space="preserve">Penetración digital: 33 % en cuentas, 50 % en tarjetas de crédito, 54 % en préstamos de consumo y 93 % en cambio de moneda al 2T2026, con retroceso frente al cierre de 2025 en tres de los cuatro productos. Ventas digitales totales: 79.57 %. Banco BBVA Perú (2025, 2026a, p. 3); detalle completo en la Tabla 25 del Entregable 2 [F].</w:t>
            </w:r>
          </w:p>
        </w:tc>
      </w:tr>
    </w:tbl>
    <w:p>
      <w:pPr>
        <w:spacing w:after="220" w:before="60" w:line="240"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con base en las fuentes citadas en cada celda; los vacíos de información se declaran de forma explícita conforme al criterio de evidencia de la sección 3.1 del Entregable 2.</w:t>
      </w:r>
    </w:p>
    <w:p>
      <w:pPr>
        <w:spacing w:after="200" w:before="0" w:line="360" w:lineRule="auto"/>
        <w:jc w:val="both"/>
      </w:pPr>
      <w:r>
        <w:rPr>
          <w:rFonts w:ascii="Times New Roman" w:cs="Times New Roman" w:eastAsia="Times New Roman" w:hAnsi="Times New Roman"/>
          <w:sz w:val="22"/>
          <w:szCs w:val="22"/>
        </w:rPr>
        <w:t xml:space="preserve">De los tres dolores, DC1 y DC3 comparten el mismo tipo de vacío: ninguno cuenta con línea base pública de tiempos ni de costos para su ruta asistida o derivada, porque esa información corresponde a gestión interna que la entidad no publica en sus reportes al mercado —la misma limitación ya declarada en la sección 4.4 del Entregable 2—. DC2 es el único de los tres dolores críticos que cuenta con una línea base pública completa de tiempos e indicadores de volumen, por derivar de un reporte regulatorio de periodicidad mensual. Esta asimetría en la disponibilidad de evidencia debe considerarse al momento de definir el orden de implementación de las tres iniciativas: la hipótesis del DC2 es la que puede medirse desde el primer día sin depender de un levantamiento interno previo.</w:t>
      </w:r>
    </w:p>
    <w:p>
      <w:pPr>
        <w:pStyle w:val="Heading1"/>
        <w:spacing w:after="200" w:before="320" w:line="360" w:lineRule="auto"/>
      </w:pPr>
      <w:r>
        <w:rPr>
          <w:rFonts w:ascii="Times New Roman" w:cs="Times New Roman" w:eastAsia="Times New Roman" w:hAnsi="Times New Roman"/>
          <w:b/>
          <w:bCs/>
          <w:color w:val="1f3864"/>
          <w:sz w:val="26"/>
          <w:szCs w:val="26"/>
        </w:rPr>
        <w:t xml:space="preserve">7. Referencias bibliográficas</w:t>
      </w:r>
    </w:p>
    <w:p>
      <w:pPr>
        <w:spacing w:after="160" w:line="360" w:lineRule="auto"/>
        <w:ind w:left="720" w:hanging="720"/>
      </w:pPr>
      <w:r>
        <w:rPr>
          <w:rFonts w:ascii="Times New Roman" w:cs="Times New Roman" w:eastAsia="Times New Roman" w:hAnsi="Times New Roman"/>
          <w:sz w:val="22"/>
          <w:szCs w:val="22"/>
        </w:rPr>
        <w:t xml:space="preserve">Alarcón, L. </w:t>
      </w:r>
      <w:r>
        <w:rPr>
          <w:rFonts w:ascii="Times New Roman" w:cs="Times New Roman" w:eastAsia="Times New Roman" w:hAnsi="Times New Roman"/>
          <w:sz w:val="22"/>
          <w:szCs w:val="22"/>
        </w:rPr>
        <w:t xml:space="preserve">(2023, 27 de agosto). Robos digitales: las millonarias multas a los bancos por consumos no reconocidos. </w:t>
      </w:r>
      <w:r>
        <w:rPr>
          <w:rFonts w:ascii="Times New Roman" w:cs="Times New Roman" w:eastAsia="Times New Roman" w:hAnsi="Times New Roman"/>
          <w:i/>
          <w:iCs/>
          <w:sz w:val="22"/>
          <w:szCs w:val="22"/>
        </w:rPr>
        <w:t xml:space="preserve">Ojo Público</w:t>
      </w:r>
      <w:r>
        <w:rPr>
          <w:rFonts w:ascii="Times New Roman" w:cs="Times New Roman" w:eastAsia="Times New Roman" w:hAnsi="Times New Roman"/>
          <w:sz w:val="22"/>
          <w:szCs w:val="22"/>
        </w:rPr>
        <w:t xml:space="preserve">. </w:t>
      </w:r>
      <w:hyperlink w:history="1" r:id="rIddyhcyejnwfrktehhmro-o">
        <w:r>
          <w:rPr>
            <w:rFonts w:ascii="Times New Roman" w:cs="Times New Roman" w:eastAsia="Times New Roman" w:hAnsi="Times New Roman"/>
            <w:color w:val="1155cc"/>
            <w:sz w:val="22"/>
            <w:szCs w:val="22"/>
            <w:u w:val="single"/>
          </w:rPr>
          <w:t xml:space="preserve">https://ojo-publico.com/4559/las-millonarias-multas-los-bancos-por-consumos-no-reconocidos</w:t>
        </w:r>
      </w:hyperlink>
    </w:p>
    <w:p>
      <w:pPr>
        <w:spacing w:after="160" w:line="360" w:lineRule="auto"/>
        <w:ind w:left="720" w:hanging="720"/>
      </w:pPr>
      <w:r>
        <w:rPr>
          <w:rFonts w:ascii="Times New Roman" w:cs="Times New Roman" w:eastAsia="Times New Roman" w:hAnsi="Times New Roman"/>
          <w:sz w:val="22"/>
          <w:szCs w:val="22"/>
        </w:rPr>
        <w:t xml:space="preserve">Andina. </w:t>
      </w:r>
      <w:r>
        <w:rPr>
          <w:rFonts w:ascii="Times New Roman" w:cs="Times New Roman" w:eastAsia="Times New Roman" w:hAnsi="Times New Roman"/>
          <w:sz w:val="22"/>
          <w:szCs w:val="22"/>
        </w:rPr>
        <w:t xml:space="preserve">(2025, 16 de abril). Indecopi: sistema financiero concentra 90 % de sanciones por operaciones no reconocidas. </w:t>
      </w:r>
      <w:r>
        <w:rPr>
          <w:rFonts w:ascii="Times New Roman" w:cs="Times New Roman" w:eastAsia="Times New Roman" w:hAnsi="Times New Roman"/>
          <w:i/>
          <w:iCs/>
          <w:sz w:val="22"/>
          <w:szCs w:val="22"/>
        </w:rPr>
        <w:t xml:space="preserve">Agencia Peruana de Noticias Andina</w:t>
      </w:r>
      <w:r>
        <w:rPr>
          <w:rFonts w:ascii="Times New Roman" w:cs="Times New Roman" w:eastAsia="Times New Roman" w:hAnsi="Times New Roman"/>
          <w:sz w:val="22"/>
          <w:szCs w:val="22"/>
        </w:rPr>
        <w:t xml:space="preserve">. </w:t>
      </w:r>
      <w:hyperlink w:history="1" r:id="rIdibxxuixrsiaee2jgzqohu">
        <w:r>
          <w:rPr>
            <w:rFonts w:ascii="Times New Roman" w:cs="Times New Roman" w:eastAsia="Times New Roman" w:hAnsi="Times New Roman"/>
            <w:color w:val="1155cc"/>
            <w:sz w:val="22"/>
            <w:szCs w:val="22"/>
            <w:u w:val="single"/>
          </w:rPr>
          <w:t xml:space="preserve">https://andina.pe/agencia/noticia-indecopi-sistema-financiero-concentra-90-sanciones-operaciones-no-reconocidas-1026373.aspx</w:t>
        </w:r>
      </w:hyperlink>
    </w:p>
    <w:p>
      <w:pPr>
        <w:spacing w:after="160" w:line="360" w:lineRule="auto"/>
        <w:ind w:left="720" w:hanging="720"/>
      </w:pPr>
      <w:r>
        <w:rPr>
          <w:rFonts w:ascii="Times New Roman" w:cs="Times New Roman" w:eastAsia="Times New Roman" w:hAnsi="Times New Roman"/>
          <w:sz w:val="22"/>
          <w:szCs w:val="22"/>
        </w:rPr>
        <w:t xml:space="preserve">Backbase. </w:t>
      </w:r>
      <w:r>
        <w:rPr>
          <w:rFonts w:ascii="Times New Roman" w:cs="Times New Roman" w:eastAsia="Times New Roman" w:hAnsi="Times New Roman"/>
          <w:sz w:val="22"/>
          <w:szCs w:val="22"/>
        </w:rPr>
        <w:t xml:space="preserve">(2026, 26 de mayo). </w:t>
      </w:r>
      <w:r>
        <w:rPr>
          <w:rFonts w:ascii="Times New Roman" w:cs="Times New Roman" w:eastAsia="Times New Roman" w:hAnsi="Times New Roman"/>
          <w:i/>
          <w:iCs/>
          <w:sz w:val="22"/>
          <w:szCs w:val="22"/>
        </w:rPr>
        <w:t xml:space="preserve">AI banking dispute resolution automation</w:t>
      </w:r>
      <w:r>
        <w:rPr>
          <w:rFonts w:ascii="Times New Roman" w:cs="Times New Roman" w:eastAsia="Times New Roman" w:hAnsi="Times New Roman"/>
          <w:sz w:val="22"/>
          <w:szCs w:val="22"/>
        </w:rPr>
        <w:t xml:space="preserve">. </w:t>
      </w:r>
      <w:hyperlink w:history="1" r:id="rIdez4pbgqrxuft0scihmqjo">
        <w:r>
          <w:rPr>
            <w:rFonts w:ascii="Times New Roman" w:cs="Times New Roman" w:eastAsia="Times New Roman" w:hAnsi="Times New Roman"/>
            <w:color w:val="1155cc"/>
            <w:sz w:val="22"/>
            <w:szCs w:val="22"/>
            <w:u w:val="single"/>
          </w:rPr>
          <w:t xml:space="preserve">https://www.backbase.com/blog/ai-banking-dispute-resolution-automation</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(s. f.-b). Fast Cash. Recuperado el 12 de setiembre de 2026, de </w:t>
      </w:r>
      <w:hyperlink w:history="1" r:id="rIdnz7yjlv635ylg3q-7ymby">
        <w:r>
          <w:rPr>
            <w:rFonts w:ascii="Times New Roman" w:cs="Times New Roman" w:eastAsia="Times New Roman" w:hAnsi="Times New Roman"/>
            <w:color w:val="1155cc"/>
            <w:sz w:val="22"/>
            <w:szCs w:val="22"/>
            <w:u w:val="single"/>
          </w:rPr>
          <w:t xml:space="preserve">https://www.bbva.pe/pymes/productos/financiamiento/fast-cash.html</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(s. f.-c). Préstamo digital negocio. Recuperado el 12 de setiembre de 2026, de </w:t>
      </w:r>
      <w:hyperlink w:history="1" r:id="rIdvfwyhwqk6dyw683s4yelp">
        <w:r>
          <w:rPr>
            <w:rFonts w:ascii="Times New Roman" w:cs="Times New Roman" w:eastAsia="Times New Roman" w:hAnsi="Times New Roman"/>
            <w:color w:val="1155cc"/>
            <w:sz w:val="22"/>
            <w:szCs w:val="22"/>
            <w:u w:val="single"/>
          </w:rPr>
          <w:t xml:space="preserve">https://www.bbva.pe/pymes/productos/financiamiento/prestamo-digital-negocio.html</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(2025). Informe de gerencia: Cuarto trimestre 2025. </w:t>
      </w:r>
      <w:hyperlink w:history="1" r:id="rIdwobfscgm0sr0hdbmazfoe">
        <w:r>
          <w:rPr>
            <w:rFonts w:ascii="Times New Roman" w:cs="Times New Roman" w:eastAsia="Times New Roman" w:hAnsi="Times New Roman"/>
            <w:color w:val="1155cc"/>
            <w:sz w:val="22"/>
            <w:szCs w:val="22"/>
            <w:u w:val="single"/>
          </w:rPr>
          <w:t xml:space="preserve">https://www.bbva.pe/content/dam/public-web/peru/documents/personas/investor-relations/BBVA_Peru_Informe_de_Gestion_4Q25.pdf</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(2026a). </w:t>
      </w:r>
      <w:r>
        <w:rPr>
          <w:rFonts w:ascii="Times New Roman" w:cs="Times New Roman" w:eastAsia="Times New Roman" w:hAnsi="Times New Roman"/>
          <w:i/>
          <w:iCs/>
          <w:sz w:val="22"/>
          <w:szCs w:val="22"/>
        </w:rPr>
        <w:t xml:space="preserve">Informe de gestión 2T 2026</w:t>
      </w:r>
      <w:r>
        <w:rPr>
          <w:rFonts w:ascii="Times New Roman" w:cs="Times New Roman" w:eastAsia="Times New Roman" w:hAnsi="Times New Roman"/>
          <w:sz w:val="22"/>
          <w:szCs w:val="22"/>
        </w:rPr>
        <w:t xml:space="preserve">. </w:t>
      </w:r>
      <w:hyperlink w:history="1" r:id="rIdxm96lf2l7ci0bojqukloj">
        <w:r>
          <w:rPr>
            <w:rFonts w:ascii="Times New Roman" w:cs="Times New Roman" w:eastAsia="Times New Roman" w:hAnsi="Times New Roman"/>
            <w:color w:val="1155cc"/>
            <w:sz w:val="22"/>
            <w:szCs w:val="22"/>
            <w:u w:val="single"/>
          </w:rPr>
          <w:t xml:space="preserve">https://www.bbva.pe/content/dam/public-web/peru/documents/prefooter/informacion-financiera/informacion-anual/2026/informe-de-gestion-2T2026.pdf</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(2026b). </w:t>
      </w:r>
      <w:r>
        <w:rPr>
          <w:rFonts w:ascii="Times New Roman" w:cs="Times New Roman" w:eastAsia="Times New Roman" w:hAnsi="Times New Roman"/>
          <w:i/>
          <w:iCs/>
          <w:sz w:val="22"/>
          <w:szCs w:val="22"/>
        </w:rPr>
        <w:t xml:space="preserve">Memoria anual 2025: ¿Avanzamos? Informe integrado</w:t>
      </w:r>
      <w:r>
        <w:rPr>
          <w:rFonts w:ascii="Times New Roman" w:cs="Times New Roman" w:eastAsia="Times New Roman" w:hAnsi="Times New Roman"/>
          <w:sz w:val="22"/>
          <w:szCs w:val="22"/>
        </w:rPr>
        <w:t xml:space="preserve">. </w:t>
      </w:r>
      <w:hyperlink w:history="1" r:id="rIdnehb0xb2ysf_6y8xaas1c">
        <w:r>
          <w:rPr>
            <w:rFonts w:ascii="Times New Roman" w:cs="Times New Roman" w:eastAsia="Times New Roman" w:hAnsi="Times New Roman"/>
            <w:color w:val="1155cc"/>
            <w:sz w:val="22"/>
            <w:szCs w:val="22"/>
            <w:u w:val="single"/>
          </w:rPr>
          <w:t xml:space="preserve">https://www.bbva.pe/content/dam/public-web/peru/documents/personas/investor-relations/vii-Memoria-Anual-2025.pdf</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(2026c, abril). Información de reclamos atendidos: Periodo del 1 al 30 de abril de 2026. </w:t>
      </w:r>
      <w:hyperlink w:history="1" r:id="rIdxfrnacpruky6kl9fliewl">
        <w:r>
          <w:rPr>
            <w:rFonts w:ascii="Times New Roman" w:cs="Times New Roman" w:eastAsia="Times New Roman" w:hAnsi="Times New Roman"/>
            <w:color w:val="1155cc"/>
            <w:sz w:val="22"/>
            <w:szCs w:val="22"/>
            <w:u w:val="single"/>
          </w:rPr>
          <w:t xml:space="preserve">https://www.bbva.pe/content/dam/public-web/peru/documents/personas/informacion-reclamos-atendidos-abril-2026.pdf</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(2026d, mayo). Información de reclamos atendidos: Periodo del 1 al 31 de mayo de 2026. </w:t>
      </w:r>
      <w:hyperlink w:history="1" r:id="rIdbdnkz2u1w6vu2c3nh2nd-">
        <w:r>
          <w:rPr>
            <w:rFonts w:ascii="Times New Roman" w:cs="Times New Roman" w:eastAsia="Times New Roman" w:hAnsi="Times New Roman"/>
            <w:color w:val="1155cc"/>
            <w:sz w:val="22"/>
            <w:szCs w:val="22"/>
            <w:u w:val="single"/>
          </w:rPr>
          <w:t xml:space="preserve">https://www.bbva.pe/content/dam/public-web/peru/documents/personas/Informacion_de_Reclamos_Atendidos_Mayo_2026.pdf</w:t>
        </w:r>
      </w:hyperlink>
    </w:p>
    <w:p>
      <w:pPr>
        <w:spacing w:after="160" w:line="360" w:lineRule="auto"/>
        <w:ind w:left="720" w:hanging="720"/>
      </w:pPr>
      <w:r>
        <w:rPr>
          <w:rFonts w:ascii="Times New Roman" w:cs="Times New Roman" w:eastAsia="Times New Roman" w:hAnsi="Times New Roman"/>
          <w:sz w:val="22"/>
          <w:szCs w:val="22"/>
        </w:rPr>
        <w:t xml:space="preserve">Banco BBVA Perú. </w:t>
      </w:r>
      <w:r>
        <w:rPr>
          <w:rFonts w:ascii="Times New Roman" w:cs="Times New Roman" w:eastAsia="Times New Roman" w:hAnsi="Times New Roman"/>
          <w:sz w:val="22"/>
          <w:szCs w:val="22"/>
        </w:rPr>
        <w:t xml:space="preserve">(2026e, junio). Información de reclamos atendidos: Periodo del 1 al 30 de junio de 2026. </w:t>
      </w:r>
      <w:hyperlink w:history="1" r:id="rIdcwnitvxixlzjc7qxyukoc">
        <w:r>
          <w:rPr>
            <w:rFonts w:ascii="Times New Roman" w:cs="Times New Roman" w:eastAsia="Times New Roman" w:hAnsi="Times New Roman"/>
            <w:color w:val="1155cc"/>
            <w:sz w:val="22"/>
            <w:szCs w:val="22"/>
            <w:u w:val="single"/>
          </w:rPr>
          <w:t xml:space="preserve">https://www.bbva.pe/content/dam/public-web/peru/documents/personas/Informacion_de_Reclamos_atendidos_Junio2026.pdf</w:t>
        </w:r>
      </w:hyperlink>
    </w:p>
    <w:p>
      <w:pPr>
        <w:spacing w:after="160" w:line="360" w:lineRule="auto"/>
        <w:ind w:left="720" w:hanging="720"/>
      </w:pPr>
      <w:r>
        <w:rPr>
          <w:rFonts w:ascii="Times New Roman" w:cs="Times New Roman" w:eastAsia="Times New Roman" w:hAnsi="Times New Roman"/>
          <w:sz w:val="22"/>
          <w:szCs w:val="22"/>
        </w:rPr>
        <w:t xml:space="preserve">BBVA. </w:t>
      </w:r>
      <w:r>
        <w:rPr>
          <w:rFonts w:ascii="Times New Roman" w:cs="Times New Roman" w:eastAsia="Times New Roman" w:hAnsi="Times New Roman"/>
          <w:sz w:val="22"/>
          <w:szCs w:val="22"/>
        </w:rPr>
        <w:t xml:space="preserve">(2026b, 5 de marzo). </w:t>
      </w:r>
      <w:r>
        <w:rPr>
          <w:rFonts w:ascii="Times New Roman" w:cs="Times New Roman" w:eastAsia="Times New Roman" w:hAnsi="Times New Roman"/>
          <w:i/>
          <w:iCs/>
          <w:sz w:val="22"/>
          <w:szCs w:val="22"/>
        </w:rPr>
        <w:t xml:space="preserve">La app BBVA Empresas 2.0 crece 141 % y acelera la digitalización de las pymes</w:t>
      </w:r>
      <w:r>
        <w:rPr>
          <w:rFonts w:ascii="Times New Roman" w:cs="Times New Roman" w:eastAsia="Times New Roman" w:hAnsi="Times New Roman"/>
          <w:sz w:val="22"/>
          <w:szCs w:val="22"/>
        </w:rPr>
        <w:t xml:space="preserve">. </w:t>
      </w:r>
      <w:hyperlink w:history="1" r:id="rIdxqetdlgzwzd0434lgjftq">
        <w:r>
          <w:rPr>
            <w:rFonts w:ascii="Times New Roman" w:cs="Times New Roman" w:eastAsia="Times New Roman" w:hAnsi="Times New Roman"/>
            <w:color w:val="1155cc"/>
            <w:sz w:val="22"/>
            <w:szCs w:val="22"/>
            <w:u w:val="single"/>
          </w:rPr>
          <w:t xml:space="preserve">https://www.bbva.com/es/pe/empresas/la-app-bbva-empresas-2-0-crece-141-y-acelera-la-digitalizacion-de-las-pymes/</w:t>
        </w:r>
      </w:hyperlink>
    </w:p>
    <w:p>
      <w:pPr>
        <w:spacing w:after="160" w:line="360" w:lineRule="auto"/>
        <w:ind w:left="720" w:hanging="720"/>
      </w:pPr>
      <w:r>
        <w:rPr>
          <w:rFonts w:ascii="Times New Roman" w:cs="Times New Roman" w:eastAsia="Times New Roman" w:hAnsi="Times New Roman"/>
          <w:sz w:val="22"/>
          <w:szCs w:val="22"/>
        </w:rPr>
        <w:t xml:space="preserve">Blue Ocean Strategy. </w:t>
      </w:r>
      <w:r>
        <w:rPr>
          <w:rFonts w:ascii="Times New Roman" w:cs="Times New Roman" w:eastAsia="Times New Roman" w:hAnsi="Times New Roman"/>
          <w:sz w:val="22"/>
          <w:szCs w:val="22"/>
        </w:rPr>
        <w:t xml:space="preserve">(s. f.). </w:t>
      </w:r>
      <w:r>
        <w:rPr>
          <w:rFonts w:ascii="Times New Roman" w:cs="Times New Roman" w:eastAsia="Times New Roman" w:hAnsi="Times New Roman"/>
          <w:i/>
          <w:iCs/>
          <w:sz w:val="22"/>
          <w:szCs w:val="22"/>
        </w:rPr>
        <w:t xml:space="preserve">Eliminate-Reduce-Raise-Create Grid (ERRC Grid)</w:t>
      </w:r>
      <w:r>
        <w:rPr>
          <w:rFonts w:ascii="Times New Roman" w:cs="Times New Roman" w:eastAsia="Times New Roman" w:hAnsi="Times New Roman"/>
          <w:sz w:val="22"/>
          <w:szCs w:val="22"/>
        </w:rPr>
        <w:t xml:space="preserve">. Recuperado el 15 de setiembre de 2026, de </w:t>
      </w:r>
      <w:hyperlink w:history="1" r:id="rIdco6wtus5v6ufdr31lstst">
        <w:r>
          <w:rPr>
            <w:rFonts w:ascii="Times New Roman" w:cs="Times New Roman" w:eastAsia="Times New Roman" w:hAnsi="Times New Roman"/>
            <w:color w:val="1155cc"/>
            <w:sz w:val="22"/>
            <w:szCs w:val="22"/>
            <w:u w:val="single"/>
          </w:rPr>
          <w:t xml:space="preserve">https://www.blueoceanstrategy.com/tools/errc-grid/</w:t>
        </w:r>
      </w:hyperlink>
    </w:p>
    <w:p>
      <w:pPr>
        <w:spacing w:after="160" w:line="360" w:lineRule="auto"/>
        <w:ind w:left="720" w:hanging="720"/>
      </w:pPr>
      <w:r>
        <w:rPr>
          <w:rFonts w:ascii="Times New Roman" w:cs="Times New Roman" w:eastAsia="Times New Roman" w:hAnsi="Times New Roman"/>
          <w:sz w:val="22"/>
          <w:szCs w:val="22"/>
        </w:rPr>
        <w:t xml:space="preserve">Kim, W. C., &amp; Mauborgne, R. </w:t>
      </w:r>
      <w:r>
        <w:rPr>
          <w:rFonts w:ascii="Times New Roman" w:cs="Times New Roman" w:eastAsia="Times New Roman" w:hAnsi="Times New Roman"/>
          <w:sz w:val="22"/>
          <w:szCs w:val="22"/>
        </w:rPr>
        <w:t xml:space="preserve">(2005). </w:t>
      </w:r>
      <w:r>
        <w:rPr>
          <w:rFonts w:ascii="Times New Roman" w:cs="Times New Roman" w:eastAsia="Times New Roman" w:hAnsi="Times New Roman"/>
          <w:i/>
          <w:iCs/>
          <w:sz w:val="22"/>
          <w:szCs w:val="22"/>
        </w:rPr>
        <w:t xml:space="preserve">Blue Ocean Strategy: How to Create Uncontested Market Space and Make the Competition Irrelevant</w:t>
      </w:r>
      <w:r>
        <w:rPr>
          <w:rFonts w:ascii="Times New Roman" w:cs="Times New Roman" w:eastAsia="Times New Roman" w:hAnsi="Times New Roman"/>
          <w:sz w:val="22"/>
          <w:szCs w:val="22"/>
        </w:rPr>
        <w:t xml:space="preserve">. Harvard Business School Press.</w:t>
      </w:r>
    </w:p>
    <w:p>
      <w:pPr>
        <w:spacing w:after="160" w:line="360" w:lineRule="auto"/>
        <w:ind w:left="720" w:hanging="720"/>
      </w:pPr>
      <w:r>
        <w:rPr>
          <w:rFonts w:ascii="Times New Roman" w:cs="Times New Roman" w:eastAsia="Times New Roman" w:hAnsi="Times New Roman"/>
          <w:sz w:val="22"/>
          <w:szCs w:val="22"/>
        </w:rPr>
        <w:t xml:space="preserve">Kore.ai. </w:t>
      </w:r>
      <w:r>
        <w:rPr>
          <w:rFonts w:ascii="Times New Roman" w:cs="Times New Roman" w:eastAsia="Times New Roman" w:hAnsi="Times New Roman"/>
          <w:sz w:val="22"/>
          <w:szCs w:val="22"/>
        </w:rPr>
        <w:t xml:space="preserve">(2026, 20 de febrero). </w:t>
      </w:r>
      <w:r>
        <w:rPr>
          <w:rFonts w:ascii="Times New Roman" w:cs="Times New Roman" w:eastAsia="Times New Roman" w:hAnsi="Times New Roman"/>
          <w:i/>
          <w:iCs/>
          <w:sz w:val="22"/>
          <w:szCs w:val="22"/>
        </w:rPr>
        <w:t xml:space="preserve">AI agents in finance and banking: 12 proven use cases (2026)</w:t>
      </w:r>
      <w:r>
        <w:rPr>
          <w:rFonts w:ascii="Times New Roman" w:cs="Times New Roman" w:eastAsia="Times New Roman" w:hAnsi="Times New Roman"/>
          <w:sz w:val="22"/>
          <w:szCs w:val="22"/>
        </w:rPr>
        <w:t xml:space="preserve">. </w:t>
      </w:r>
      <w:hyperlink w:history="1" r:id="rIdw84pcec2xi9iynojfaqwb">
        <w:r>
          <w:rPr>
            <w:rFonts w:ascii="Times New Roman" w:cs="Times New Roman" w:eastAsia="Times New Roman" w:hAnsi="Times New Roman"/>
            <w:color w:val="1155cc"/>
            <w:sz w:val="22"/>
            <w:szCs w:val="22"/>
            <w:u w:val="single"/>
          </w:rPr>
          <w:t xml:space="preserve">https://www.kore.ai/blog/ai-agents-in-finance-banking-12-proven-use-cases-2026</w:t>
        </w:r>
      </w:hyperlink>
    </w:p>
    <w:p>
      <w:pPr>
        <w:spacing w:after="160" w:line="360" w:lineRule="auto"/>
        <w:ind w:left="720" w:hanging="720"/>
      </w:pPr>
      <w:r>
        <w:rPr>
          <w:rFonts w:ascii="Times New Roman" w:cs="Times New Roman" w:eastAsia="Times New Roman" w:hAnsi="Times New Roman"/>
          <w:sz w:val="22"/>
          <w:szCs w:val="22"/>
        </w:rPr>
        <w:t xml:space="preserve">Melo, Y. </w:t>
      </w:r>
      <w:r>
        <w:rPr>
          <w:rFonts w:ascii="Times New Roman" w:cs="Times New Roman" w:eastAsia="Times New Roman" w:hAnsi="Times New Roman"/>
          <w:sz w:val="22"/>
          <w:szCs w:val="22"/>
        </w:rPr>
        <w:t xml:space="preserve">(2026, 24 de marzo). Solo 1 de cada 4 mypes accede a crédito y paga más por falta de información financiera. </w:t>
      </w:r>
      <w:r>
        <w:rPr>
          <w:rFonts w:ascii="Times New Roman" w:cs="Times New Roman" w:eastAsia="Times New Roman" w:hAnsi="Times New Roman"/>
          <w:i/>
          <w:iCs/>
          <w:sz w:val="22"/>
          <w:szCs w:val="22"/>
        </w:rPr>
        <w:t xml:space="preserve">Infobae</w:t>
      </w:r>
      <w:r>
        <w:rPr>
          <w:rFonts w:ascii="Times New Roman" w:cs="Times New Roman" w:eastAsia="Times New Roman" w:hAnsi="Times New Roman"/>
          <w:sz w:val="22"/>
          <w:szCs w:val="22"/>
        </w:rPr>
        <w:t xml:space="preserve">. </w:t>
      </w:r>
      <w:hyperlink w:history="1" r:id="rId-xky7pck8gpopi2tfus40">
        <w:r>
          <w:rPr>
            <w:rFonts w:ascii="Times New Roman" w:cs="Times New Roman" w:eastAsia="Times New Roman" w:hAnsi="Times New Roman"/>
            <w:color w:val="1155cc"/>
            <w:sz w:val="22"/>
            <w:szCs w:val="22"/>
            <w:u w:val="single"/>
          </w:rPr>
          <w:t xml:space="preserve">https://www.infobae.com/peru/2026/03/24/solo-1-de-cada-4-mypes-accede-a-credito-y-paga-mas-por-falta-de-informacion-financiera/</w:t>
        </w:r>
      </w:hyperlink>
    </w:p>
    <w:p>
      <w:pPr>
        <w:spacing w:after="160" w:line="360" w:lineRule="auto"/>
        <w:ind w:left="720" w:hanging="720"/>
      </w:pPr>
      <w:r>
        <w:rPr>
          <w:rFonts w:ascii="Times New Roman" w:cs="Times New Roman" w:eastAsia="Times New Roman" w:hAnsi="Times New Roman"/>
          <w:sz w:val="22"/>
          <w:szCs w:val="22"/>
        </w:rPr>
        <w:t xml:space="preserve">Mestanza Arquiñigo, C. </w:t>
      </w:r>
      <w:r>
        <w:rPr>
          <w:rFonts w:ascii="Times New Roman" w:cs="Times New Roman" w:eastAsia="Times New Roman" w:hAnsi="Times New Roman"/>
          <w:sz w:val="22"/>
          <w:szCs w:val="22"/>
        </w:rPr>
        <w:t xml:space="preserve">(2024, 13 de noviembre). La inteligencia artificial llega al "call center": ¿cómo responde el voicebot bancario y qué será capaz de hacer? </w:t>
      </w:r>
      <w:r>
        <w:rPr>
          <w:rFonts w:ascii="Times New Roman" w:cs="Times New Roman" w:eastAsia="Times New Roman" w:hAnsi="Times New Roman"/>
          <w:i/>
          <w:iCs/>
          <w:sz w:val="22"/>
          <w:szCs w:val="22"/>
        </w:rPr>
        <w:t xml:space="preserve">El Comercio</w:t>
      </w:r>
      <w:r>
        <w:rPr>
          <w:rFonts w:ascii="Times New Roman" w:cs="Times New Roman" w:eastAsia="Times New Roman" w:hAnsi="Times New Roman"/>
          <w:sz w:val="22"/>
          <w:szCs w:val="22"/>
        </w:rPr>
        <w:t xml:space="preserve">. </w:t>
      </w:r>
      <w:hyperlink w:history="1" r:id="rIdx2_3ft7u4xdwrlnhxh_ys">
        <w:r>
          <w:rPr>
            <w:rFonts w:ascii="Times New Roman" w:cs="Times New Roman" w:eastAsia="Times New Roman" w:hAnsi="Times New Roman"/>
            <w:color w:val="1155cc"/>
            <w:sz w:val="22"/>
            <w:szCs w:val="22"/>
            <w:u w:val="single"/>
          </w:rPr>
          <w:t xml:space="preserve">https://elcomercio.pe/tecnologia/inteligencia-artificial/la-inteligencia-artificial-llega-al-call-center-como-responde-el-voicebot-bancario-y-que-sera-capaz-de-hacer-ia-bancos-sistema-financiero-atencion-al-cliente-noticia/</w:t>
        </w:r>
      </w:hyperlink>
    </w:p>
    <w:p>
      <w:pPr>
        <w:spacing w:after="160" w:line="360" w:lineRule="auto"/>
        <w:ind w:left="720" w:hanging="720"/>
      </w:pPr>
      <w:r>
        <w:rPr>
          <w:rFonts w:ascii="Times New Roman" w:cs="Times New Roman" w:eastAsia="Times New Roman" w:hAnsi="Times New Roman"/>
          <w:sz w:val="22"/>
          <w:szCs w:val="22"/>
        </w:rPr>
        <w:t xml:space="preserve">PressPerú. </w:t>
      </w:r>
      <w:r>
        <w:rPr>
          <w:rFonts w:ascii="Times New Roman" w:cs="Times New Roman" w:eastAsia="Times New Roman" w:hAnsi="Times New Roman"/>
          <w:sz w:val="22"/>
          <w:szCs w:val="22"/>
        </w:rPr>
        <w:t xml:space="preserve">(2026, 23 de julio). </w:t>
      </w:r>
      <w:r>
        <w:rPr>
          <w:rFonts w:ascii="Times New Roman" w:cs="Times New Roman" w:eastAsia="Times New Roman" w:hAnsi="Times New Roman"/>
          <w:i/>
          <w:iCs/>
          <w:sz w:val="22"/>
          <w:szCs w:val="22"/>
        </w:rPr>
        <w:t xml:space="preserve">Mibanco lleva la IA agéntica de AWS a WhatsApp para transformar el acceso a las microfinanzas en Perú</w:t>
      </w:r>
      <w:r>
        <w:rPr>
          <w:rFonts w:ascii="Times New Roman" w:cs="Times New Roman" w:eastAsia="Times New Roman" w:hAnsi="Times New Roman"/>
          <w:sz w:val="22"/>
          <w:szCs w:val="22"/>
        </w:rPr>
        <w:t xml:space="preserve">. </w:t>
      </w:r>
      <w:hyperlink w:history="1" r:id="rIdspxcceoypismac9n5vjnm">
        <w:r>
          <w:rPr>
            <w:rFonts w:ascii="Times New Roman" w:cs="Times New Roman" w:eastAsia="Times New Roman" w:hAnsi="Times New Roman"/>
            <w:color w:val="1155cc"/>
            <w:sz w:val="22"/>
            <w:szCs w:val="22"/>
            <w:u w:val="single"/>
          </w:rPr>
          <w:t xml:space="preserve">https://pressperu.com/2026/07/23/mibanco-lleva-la-ia-agentica-de-aws-a-whatsapp-para-transformar-el-acceso-a-las-microfinanzas-en-peru/</w:t>
        </w:r>
      </w:hyperlink>
    </w:p>
    <w:p>
      <w:pPr>
        <w:spacing w:after="160" w:line="360" w:lineRule="auto"/>
        <w:ind w:left="720" w:hanging="720"/>
      </w:pPr>
      <w:r>
        <w:rPr>
          <w:rFonts w:ascii="Times New Roman" w:cs="Times New Roman" w:eastAsia="Times New Roman" w:hAnsi="Times New Roman"/>
          <w:sz w:val="22"/>
          <w:szCs w:val="22"/>
        </w:rPr>
        <w:t xml:space="preserve">Ramírez Huancayo, Z. </w:t>
      </w:r>
      <w:r>
        <w:rPr>
          <w:rFonts w:ascii="Times New Roman" w:cs="Times New Roman" w:eastAsia="Times New Roman" w:hAnsi="Times New Roman"/>
          <w:sz w:val="22"/>
          <w:szCs w:val="22"/>
        </w:rPr>
        <w:t xml:space="preserve">(2026, 14 de setiembre). Habrá más control a créditos bancarios que se otorguen con IA, ¿qué ganarán clientes? </w:t>
      </w:r>
      <w:r>
        <w:rPr>
          <w:rFonts w:ascii="Times New Roman" w:cs="Times New Roman" w:eastAsia="Times New Roman" w:hAnsi="Times New Roman"/>
          <w:i/>
          <w:iCs/>
          <w:sz w:val="22"/>
          <w:szCs w:val="22"/>
        </w:rPr>
        <w:t xml:space="preserve">Gestión</w:t>
      </w:r>
      <w:r>
        <w:rPr>
          <w:rFonts w:ascii="Times New Roman" w:cs="Times New Roman" w:eastAsia="Times New Roman" w:hAnsi="Times New Roman"/>
          <w:sz w:val="22"/>
          <w:szCs w:val="22"/>
        </w:rPr>
        <w:t xml:space="preserve">. </w:t>
      </w:r>
      <w:hyperlink w:history="1" r:id="rIduiuycat3mnoudrmfdygwy">
        <w:r>
          <w:rPr>
            <w:rFonts w:ascii="Times New Roman" w:cs="Times New Roman" w:eastAsia="Times New Roman" w:hAnsi="Times New Roman"/>
            <w:color w:val="1155cc"/>
            <w:sz w:val="22"/>
            <w:szCs w:val="22"/>
            <w:u w:val="single"/>
          </w:rPr>
          <w:t xml:space="preserve">https://gestion.pe/economia/empresas/habra-mas-control-a-creditos-bancarios-que-se-otorguen-con-ia-que-ganaran-clientes-noticia/</w:t>
        </w:r>
      </w:hyperlink>
    </w:p>
    <w:p>
      <w:pPr>
        <w:spacing w:after="160" w:line="360" w:lineRule="auto"/>
        <w:ind w:left="720" w:hanging="720"/>
      </w:pPr>
      <w:r>
        <w:rPr>
          <w:rFonts w:ascii="Times New Roman" w:cs="Times New Roman" w:eastAsia="Times New Roman" w:hAnsi="Times New Roman"/>
          <w:sz w:val="22"/>
          <w:szCs w:val="22"/>
        </w:rPr>
        <w:t xml:space="preserve">Reusche, I. </w:t>
      </w:r>
      <w:r>
        <w:rPr>
          <w:rFonts w:ascii="Times New Roman" w:cs="Times New Roman" w:eastAsia="Times New Roman" w:hAnsi="Times New Roman"/>
          <w:sz w:val="22"/>
          <w:szCs w:val="22"/>
        </w:rPr>
        <w:t xml:space="preserve">(2026, 4 de agosto). </w:t>
      </w:r>
      <w:r>
        <w:rPr>
          <w:rFonts w:ascii="Times New Roman" w:cs="Times New Roman" w:eastAsia="Times New Roman" w:hAnsi="Times New Roman"/>
          <w:i/>
          <w:iCs/>
          <w:sz w:val="22"/>
          <w:szCs w:val="22"/>
        </w:rPr>
        <w:t xml:space="preserve">BBVA en Perú alcanza una facturación trimestral histórica en el segmento Pymes con 48 % de crecimiento versus 2025</w:t>
      </w:r>
      <w:r>
        <w:rPr>
          <w:rFonts w:ascii="Times New Roman" w:cs="Times New Roman" w:eastAsia="Times New Roman" w:hAnsi="Times New Roman"/>
          <w:sz w:val="22"/>
          <w:szCs w:val="22"/>
        </w:rPr>
        <w:t xml:space="preserve">. BBVA. </w:t>
      </w:r>
      <w:hyperlink w:history="1" r:id="rIdgsv-iwlejfnb-xvg4bg89">
        <w:r>
          <w:rPr>
            <w:rFonts w:ascii="Times New Roman" w:cs="Times New Roman" w:eastAsia="Times New Roman" w:hAnsi="Times New Roman"/>
            <w:color w:val="1155cc"/>
            <w:sz w:val="22"/>
            <w:szCs w:val="22"/>
            <w:u w:val="single"/>
          </w:rPr>
          <w:t xml:space="preserve">https://www.bbva.com/es/pe/empresas/bbva-en-peru-alcanza-una-facturacion-trimestral-historica-en-el-segmento-pymes-con-48-de-crecimiento-versus-2025/</w:t>
        </w:r>
      </w:hyperlink>
    </w:p>
    <w:p>
      <w:pPr>
        <w:spacing w:after="160" w:line="360" w:lineRule="auto"/>
        <w:ind w:left="720" w:hanging="720"/>
      </w:pPr>
      <w:r>
        <w:rPr>
          <w:rFonts w:ascii="Times New Roman" w:cs="Times New Roman" w:eastAsia="Times New Roman" w:hAnsi="Times New Roman"/>
          <w:sz w:val="22"/>
          <w:szCs w:val="22"/>
        </w:rPr>
        <w:t xml:space="preserve">Stealth Agents. </w:t>
      </w:r>
      <w:r>
        <w:rPr>
          <w:rFonts w:ascii="Times New Roman" w:cs="Times New Roman" w:eastAsia="Times New Roman" w:hAnsi="Times New Roman"/>
          <w:sz w:val="22"/>
          <w:szCs w:val="22"/>
        </w:rPr>
        <w:t xml:space="preserve">(2026, 25 de junio). </w:t>
      </w:r>
      <w:r>
        <w:rPr>
          <w:rFonts w:ascii="Times New Roman" w:cs="Times New Roman" w:eastAsia="Times New Roman" w:hAnsi="Times New Roman"/>
          <w:i/>
          <w:iCs/>
          <w:sz w:val="22"/>
          <w:szCs w:val="22"/>
        </w:rPr>
        <w:t xml:space="preserve">AI loan underwriting automation stats 2026</w:t>
      </w:r>
      <w:r>
        <w:rPr>
          <w:rFonts w:ascii="Times New Roman" w:cs="Times New Roman" w:eastAsia="Times New Roman" w:hAnsi="Times New Roman"/>
          <w:sz w:val="22"/>
          <w:szCs w:val="22"/>
        </w:rPr>
        <w:t xml:space="preserve">. </w:t>
      </w:r>
      <w:hyperlink w:history="1" r:id="rIdtnx4avnmhjpcxutmsvh50">
        <w:r>
          <w:rPr>
            <w:rFonts w:ascii="Times New Roman" w:cs="Times New Roman" w:eastAsia="Times New Roman" w:hAnsi="Times New Roman"/>
            <w:color w:val="1155cc"/>
            <w:sz w:val="22"/>
            <w:szCs w:val="22"/>
            <w:u w:val="single"/>
          </w:rPr>
          <w:t xml:space="preserve">https://stealthagents.com/research/ai-loan-underwriting-automation-statistics-2026</w:t>
        </w:r>
      </w:hyperlink>
    </w:p>
    <w:p>
      <w:pPr>
        <w:spacing w:after="160" w:line="360" w:lineRule="auto"/>
        <w:ind w:left="720" w:hanging="720"/>
      </w:pPr>
      <w:r>
        <w:rPr>
          <w:rFonts w:ascii="Times New Roman" w:cs="Times New Roman" w:eastAsia="Times New Roman" w:hAnsi="Times New Roman"/>
          <w:sz w:val="22"/>
          <w:szCs w:val="22"/>
        </w:rPr>
        <w:t xml:space="preserve">Sundararajan, R., &amp; Jeenah, U. </w:t>
      </w:r>
      <w:r>
        <w:rPr>
          <w:rFonts w:ascii="Times New Roman" w:cs="Times New Roman" w:eastAsia="Times New Roman" w:hAnsi="Times New Roman"/>
          <w:sz w:val="22"/>
          <w:szCs w:val="22"/>
        </w:rPr>
        <w:t xml:space="preserve">(2025, 15 de agosto). El fin de la inercia: los agentes de IA y la disrupción en la banca minorista y PyME. </w:t>
      </w:r>
      <w:r>
        <w:rPr>
          <w:rFonts w:ascii="Times New Roman" w:cs="Times New Roman" w:eastAsia="Times New Roman" w:hAnsi="Times New Roman"/>
          <w:i/>
          <w:iCs/>
          <w:sz w:val="22"/>
          <w:szCs w:val="22"/>
        </w:rPr>
        <w:t xml:space="preserve">McKinsey &amp; Company</w:t>
      </w:r>
      <w:r>
        <w:rPr>
          <w:rFonts w:ascii="Times New Roman" w:cs="Times New Roman" w:eastAsia="Times New Roman" w:hAnsi="Times New Roman"/>
          <w:sz w:val="22"/>
          <w:szCs w:val="22"/>
        </w:rPr>
        <w:t xml:space="preserve">. </w:t>
      </w:r>
      <w:hyperlink w:history="1" r:id="rIdqepewlid4rgxb_eckjnmp">
        <w:r>
          <w:rPr>
            <w:rFonts w:ascii="Times New Roman" w:cs="Times New Roman" w:eastAsia="Times New Roman" w:hAnsi="Times New Roman"/>
            <w:color w:val="1155cc"/>
            <w:sz w:val="22"/>
            <w:szCs w:val="22"/>
            <w:u w:val="single"/>
          </w:rPr>
          <w:t xml:space="preserve">https://www.mckinsey.com/locations/south-america/latam/hispanoamerica-en-potencia/el-fin-de-la-inercia-los-agentes-de-ia-y-la-disrupcion-en-la-banca-minorista-y-pyme/es-CL</w:t>
        </w:r>
      </w:hyperlink>
    </w:p>
    <w:p>
      <w:pPr>
        <w:spacing w:after="160" w:line="360" w:lineRule="auto"/>
        <w:ind w:left="720" w:hanging="720"/>
      </w:pPr>
      <w:r>
        <w:rPr>
          <w:rFonts w:ascii="Times New Roman" w:cs="Times New Roman" w:eastAsia="Times New Roman" w:hAnsi="Times New Roman"/>
          <w:sz w:val="22"/>
          <w:szCs w:val="22"/>
        </w:rPr>
        <w:t xml:space="preserve">Superintendencia de Banca, Seguros y Administradoras Privadas de Fondos de Pensiones. </w:t>
      </w:r>
      <w:r>
        <w:rPr>
          <w:rFonts w:ascii="Times New Roman" w:cs="Times New Roman" w:eastAsia="Times New Roman" w:hAnsi="Times New Roman"/>
          <w:sz w:val="22"/>
          <w:szCs w:val="22"/>
        </w:rPr>
        <w:t xml:space="preserve">(2022, 28 de diciembre). </w:t>
      </w:r>
      <w:r>
        <w:rPr>
          <w:rFonts w:ascii="Times New Roman" w:cs="Times New Roman" w:eastAsia="Times New Roman" w:hAnsi="Times New Roman"/>
          <w:i/>
          <w:iCs/>
          <w:sz w:val="22"/>
          <w:szCs w:val="22"/>
        </w:rPr>
        <w:t xml:space="preserve">Resolución SBS N.º 04036-2022: Reglamento de Gestión de Reclamos y Requerimientos</w:t>
      </w:r>
      <w:r>
        <w:rPr>
          <w:rFonts w:ascii="Times New Roman" w:cs="Times New Roman" w:eastAsia="Times New Roman" w:hAnsi="Times New Roman"/>
          <w:sz w:val="22"/>
          <w:szCs w:val="22"/>
        </w:rPr>
        <w:t xml:space="preserve">. </w:t>
      </w:r>
      <w:hyperlink w:history="1" r:id="rId5ukjkq6veehrb3z3jvfl7">
        <w:r>
          <w:rPr>
            <w:rFonts w:ascii="Times New Roman" w:cs="Times New Roman" w:eastAsia="Times New Roman" w:hAnsi="Times New Roman"/>
            <w:color w:val="1155cc"/>
            <w:sz w:val="22"/>
            <w:szCs w:val="22"/>
            <w:u w:val="single"/>
          </w:rPr>
          <w:t xml:space="preserve">https://intranet2.sbs.gob.pe/dv_int_cn/2230/v1.0/Adjuntos/4036-2022.r.pdf</w:t>
        </w:r>
      </w:hyperlink>
    </w:p>
    <w:p>
      <w:pPr>
        <w:spacing w:after="200" w:before="0" w:line="360" w:lineRule="auto"/>
        <w:jc w:val="both"/>
      </w:pPr>
      <w:r>
        <w:rPr>
          <w:rFonts w:ascii="Times New Roman" w:cs="Times New Roman" w:eastAsia="Times New Roman" w:hAnsi="Times New Roman"/>
          <w:b/>
          <w:bCs/>
          <w:sz w:val="22"/>
          <w:szCs w:val="22"/>
        </w:rPr>
        <w:t xml:space="preserve">Nota sobre las referencias.</w:t>
      </w:r>
      <w:r>
        <w:rPr>
          <w:rFonts w:ascii="Times New Roman" w:cs="Times New Roman" w:eastAsia="Times New Roman" w:hAnsi="Times New Roman"/>
          <w:sz w:val="22"/>
          <w:szCs w:val="22"/>
        </w:rPr>
        <w:t xml:space="preserve"> Las entradas correspondientes a Banco BBVA Perú, BBVA, Melo (2026), Reusche (2026), Andina (2025), Alarcón (2023) y la Superintendencia de Banca, Seguros y AFP (2022) provienen del Entregable 1 y del Entregable 2, y se repiten en esta lista porque vuelven a citarse en las secciones 5 y 6. Las demás fuentes fueron consultadas y verificadas específicamente para la elaboración de esta entrega. La comunicación personal con A. Moquillaza (11 de setiembre de 2026), citada en las secciones 5.4 y 6.3, no figura en esta lista porque, conforme a la norma APA 7.ª edición, las comunicaciones personales se citan solo en el texto.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hcyejnwfrktehhmro-o" Type="http://schemas.openxmlformats.org/officeDocument/2006/relationships/hyperlink" Target="https://ojo-publico.com/4559/las-millonarias-multas-los-bancos-por-consumos-no-reconocidos" TargetMode="External"/><Relationship Id="rIdibxxuixrsiaee2jgzqohu" Type="http://schemas.openxmlformats.org/officeDocument/2006/relationships/hyperlink" Target="https://andina.pe/agencia/noticia-indecopi-sistema-financiero-concentra-90-sanciones-operaciones-no-reconocidas-1026373.aspx" TargetMode="External"/><Relationship Id="rIdez4pbgqrxuft0scihmqjo" Type="http://schemas.openxmlformats.org/officeDocument/2006/relationships/hyperlink" Target="https://www.backbase.com/blog/ai-banking-dispute-resolution-automation" TargetMode="External"/><Relationship Id="rIdnz7yjlv635ylg3q-7ymby" Type="http://schemas.openxmlformats.org/officeDocument/2006/relationships/hyperlink" Target="https://www.bbva.pe/pymes/productos/financiamiento/fast-cash.html" TargetMode="External"/><Relationship Id="rIdvfwyhwqk6dyw683s4yelp" Type="http://schemas.openxmlformats.org/officeDocument/2006/relationships/hyperlink" Target="https://www.bbva.pe/pymes/productos/financiamiento/prestamo-digital-negocio.html" TargetMode="External"/><Relationship Id="rIdwobfscgm0sr0hdbmazfoe" Type="http://schemas.openxmlformats.org/officeDocument/2006/relationships/hyperlink" Target="https://www.bbva.pe/content/dam/public-web/peru/documents/personas/investor-relations/BBVA_Peru_Informe_de_Gestion_4Q25.pdf" TargetMode="External"/><Relationship Id="rIdxm96lf2l7ci0bojqukloj" Type="http://schemas.openxmlformats.org/officeDocument/2006/relationships/hyperlink" Target="https://www.bbva.pe/content/dam/public-web/peru/documents/prefooter/informacion-financiera/informacion-anual/2026/informe-de-gestion-2T2026.pdf" TargetMode="External"/><Relationship Id="rIdnehb0xb2ysf_6y8xaas1c" Type="http://schemas.openxmlformats.org/officeDocument/2006/relationships/hyperlink" Target="https://www.bbva.pe/content/dam/public-web/peru/documents/personas/investor-relations/vii-Memoria-Anual-2025.pdf" TargetMode="External"/><Relationship Id="rIdxfrnacpruky6kl9fliewl" Type="http://schemas.openxmlformats.org/officeDocument/2006/relationships/hyperlink" Target="https://www.bbva.pe/content/dam/public-web/peru/documents/personas/informacion-reclamos-atendidos-abril-2026.pdf" TargetMode="External"/><Relationship Id="rIdbdnkz2u1w6vu2c3nh2nd-" Type="http://schemas.openxmlformats.org/officeDocument/2006/relationships/hyperlink" Target="https://www.bbva.pe/content/dam/public-web/peru/documents/personas/Informacion_de_Reclamos_Atendidos_Mayo_2026.pdf" TargetMode="External"/><Relationship Id="rIdcwnitvxixlzjc7qxyukoc" Type="http://schemas.openxmlformats.org/officeDocument/2006/relationships/hyperlink" Target="https://www.bbva.pe/content/dam/public-web/peru/documents/personas/Informacion_de_Reclamos_atendidos_Junio2026.pdf" TargetMode="External"/><Relationship Id="rIdxqetdlgzwzd0434lgjftq" Type="http://schemas.openxmlformats.org/officeDocument/2006/relationships/hyperlink" Target="https://www.bbva.com/es/pe/empresas/la-app-bbva-empresas-2-0-crece-141-y-acelera-la-digitalizacion-de-las-pymes/" TargetMode="External"/><Relationship Id="rIdco6wtus5v6ufdr31lstst" Type="http://schemas.openxmlformats.org/officeDocument/2006/relationships/hyperlink" Target="https://www.blueoceanstrategy.com/tools/errc-grid/" TargetMode="External"/><Relationship Id="rIdw84pcec2xi9iynojfaqwb" Type="http://schemas.openxmlformats.org/officeDocument/2006/relationships/hyperlink" Target="https://www.kore.ai/blog/ai-agents-in-finance-banking-12-proven-use-cases-2026" TargetMode="External"/><Relationship Id="rId-xky7pck8gpopi2tfus40" Type="http://schemas.openxmlformats.org/officeDocument/2006/relationships/hyperlink" Target="https://www.infobae.com/peru/2026/03/24/solo-1-de-cada-4-mypes-accede-a-credito-y-paga-mas-por-falta-de-informacion-financiera/" TargetMode="External"/><Relationship Id="rIdx2_3ft7u4xdwrlnhxh_ys"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spxcceoypismac9n5vjnm" Type="http://schemas.openxmlformats.org/officeDocument/2006/relationships/hyperlink" Target="https://pressperu.com/2026/07/23/mibanco-lleva-la-ia-agentica-de-aws-a-whatsapp-para-transformar-el-acceso-a-las-microfinanzas-en-peru/" TargetMode="External"/><Relationship Id="rIduiuycat3mnoudrmfdygwy" Type="http://schemas.openxmlformats.org/officeDocument/2006/relationships/hyperlink" Target="https://gestion.pe/economia/empresas/habra-mas-control-a-creditos-bancarios-que-se-otorguen-con-ia-que-ganaran-clientes-noticia/" TargetMode="External"/><Relationship Id="rIdgsv-iwlejfnb-xvg4bg89" Type="http://schemas.openxmlformats.org/officeDocument/2006/relationships/hyperlink" Target="https://www.bbva.com/es/pe/empresas/bbva-en-peru-alcanza-una-facturacion-trimestral-historica-en-el-segmento-pymes-con-48-de-crecimiento-versus-2025/" TargetMode="External"/><Relationship Id="rIdtnx4avnmhjpcxutmsvh50" Type="http://schemas.openxmlformats.org/officeDocument/2006/relationships/hyperlink" Target="https://stealthagents.com/research/ai-loan-underwriting-automation-statistics-2026" TargetMode="External"/><Relationship Id="rIdqepewlid4rgxb_eckjnmp" Type="http://schemas.openxmlformats.org/officeDocument/2006/relationships/hyperlink" Target="https://www.mckinsey.com/locations/south-america/latam/hispanoamerica-en-potencia/el-fin-de-la-inercia-los-agentes-de-ia-y-la-disrupcion-en-la-banca-minorista-y-pyme/es-CL" TargetMode="External"/><Relationship Id="rId5ukjkq6veehrb3z3jvfl7" Type="http://schemas.openxmlformats.org/officeDocument/2006/relationships/hyperlink" Target="https://intranet2.sbs.gob.pe/dv_int_cn/2230/v1.0/Adjuntos/4036-2022.r.pdf"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2026-09-15T18:58:12.530Z</dcterms:created>
  <dcterms:modified xsi:type="dcterms:W3CDTF">2026-09-15T18:58:12.530Z</dcterms:modified>
</cp:coreProperties>
</file>

<file path=docProps/custom.xml><?xml version="1.0" encoding="utf-8"?>
<Properties xmlns="http://schemas.openxmlformats.org/officeDocument/2006/custom-properties" xmlns:vt="http://schemas.openxmlformats.org/officeDocument/2006/docPropsVTypes"/>
</file>