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b w:val="1"/>
          <w:bCs w:val="1"/>
        </w:rPr>
      </w:pPr>
      <w:r w:rsidDel="00000000" w:rsidR="00000000" w:rsidRPr="00000000">
        <w:rPr>
          <w:b w:val="1"/>
          <w:bCs w:val="1"/>
          <w:rtl w:val="0"/>
        </w:rPr>
        <w:t xml:space="preserve">PONTIFICIA UNIVERSIDAD CATÓLICA DEL PERÚ</w:t>
      </w:r>
    </w:p>
    <w:p w:rsidR="00000000" w:rsidDel="00000000" w:rsidP="00000000" w:rsidRDefault="00000000" w:rsidRPr="00000000" w14:paraId="00000002">
      <w:pPr>
        <w:spacing w:line="480" w:lineRule="auto"/>
        <w:jc w:val="center"/>
        <w:rPr/>
      </w:pPr>
      <w:r w:rsidDel="00000000" w:rsidR="00000000" w:rsidRPr="00000000">
        <w:rPr>
          <w:b w:val="1"/>
          <w:bCs w:val="1"/>
          <w:rtl w:val="0"/>
        </w:rPr>
        <w:t xml:space="preserve">FACULTAD DE CIENCIAS E INGENIERÍA</w:t>
      </w:r>
      <w:r w:rsidDel="00000000" w:rsidR="00000000" w:rsidRPr="00000000">
        <w:rPr>
          <w:rtl w:val="0"/>
        </w:rPr>
      </w:r>
    </w:p>
    <w:p w:rsidR="00000000" w:rsidDel="00000000" w:rsidP="00000000" w:rsidRDefault="00000000" w:rsidRPr="00000000" w14:paraId="00000003">
      <w:pPr>
        <w:spacing w:line="480" w:lineRule="auto"/>
        <w:jc w:val="center"/>
        <w:rPr/>
      </w:pPr>
      <w:r w:rsidDel="00000000" w:rsidR="00000000" w:rsidRPr="00000000">
        <w:rPr/>
        <w:drawing>
          <wp:inline distB="0" distT="0" distL="0" distR="0">
            <wp:extent cx="2109059" cy="2088281"/>
            <wp:effectExtent b="0" l="0" r="0" t="0"/>
            <wp:docPr descr="A blue circle with white text and a ship in the water&#10;&#10;Description automatically generated" id="1" name="image1.png"/>
            <a:graphic>
              <a:graphicData uri="http://schemas.openxmlformats.org/drawingml/2006/picture">
                <pic:pic>
                  <pic:nvPicPr>
                    <pic:cNvPr descr="A blue circle with white text and a ship in the water&#10;&#10;Description automatically generated" id="0" name="image1.png"/>
                    <pic:cNvPicPr preferRelativeResize="0"/>
                  </pic:nvPicPr>
                  <pic:blipFill>
                    <a:blip r:embed="rId7"/>
                    <a:srcRect b="0" l="0" r="0" t="0"/>
                    <a:stretch>
                      <a:fillRect/>
                    </a:stretch>
                  </pic:blipFill>
                  <pic:spPr>
                    <a:xfrm>
                      <a:off x="0" y="0"/>
                      <a:ext cx="2109059" cy="2088281"/>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line="480" w:lineRule="auto"/>
        <w:jc w:val="center"/>
        <w:rPr>
          <w:b w:val="1"/>
          <w:bCs w:val="1"/>
        </w:rPr>
      </w:pPr>
      <w:r w:rsidDel="00000000" w:rsidR="00000000" w:rsidRPr="00000000">
        <w:rPr>
          <w:b w:val="1"/>
          <w:bCs w:val="1"/>
          <w:rtl w:val="0"/>
        </w:rPr>
        <w:t xml:space="preserve">ESTRATEGIAS Y GESTIÓN DE SISTEMAS DE INFORMACIÓN</w:t>
      </w:r>
    </w:p>
    <w:p w:rsidR="00000000" w:rsidDel="00000000" w:rsidP="00000000" w:rsidRDefault="00000000" w:rsidRPr="00000000" w14:paraId="00000005">
      <w:pPr>
        <w:spacing w:line="480" w:lineRule="auto"/>
        <w:jc w:val="center"/>
        <w:rPr>
          <w:b w:val="1"/>
          <w:bCs w:val="1"/>
        </w:rPr>
      </w:pPr>
      <w:r w:rsidDel="00000000" w:rsidR="00000000" w:rsidRPr="00000000">
        <w:rPr>
          <w:b w:val="1"/>
          <w:bCs w:val="1"/>
          <w:rtl w:val="0"/>
        </w:rPr>
        <w:t xml:space="preserve">Práctica 3: Hipótesis de las iniciativas a ser desarrolladas e hipótesis de las iniciativas a ser desarrolladas</w:t>
      </w:r>
    </w:p>
    <w:p w:rsidR="00000000" w:rsidDel="00000000" w:rsidP="00000000" w:rsidRDefault="00000000" w:rsidRPr="00000000" w14:paraId="00000006">
      <w:pPr>
        <w:spacing w:line="480" w:lineRule="auto"/>
        <w:rPr>
          <w:b w:val="1"/>
          <w:bCs w:val="1"/>
        </w:rPr>
      </w:pPr>
      <w:r w:rsidDel="00000000" w:rsidR="00000000" w:rsidRPr="00000000">
        <w:rPr>
          <w:rtl w:val="0"/>
        </w:rPr>
      </w:r>
    </w:p>
    <w:p w:rsidR="00000000" w:rsidDel="00000000" w:rsidP="00000000" w:rsidRDefault="00000000" w:rsidRPr="00000000" w14:paraId="00000007">
      <w:pPr>
        <w:spacing w:line="480" w:lineRule="auto"/>
        <w:jc w:val="center"/>
        <w:rPr>
          <w:b w:val="1"/>
          <w:bCs w:val="1"/>
        </w:rPr>
      </w:pPr>
      <w:r w:rsidDel="00000000" w:rsidR="00000000" w:rsidRPr="00000000">
        <w:rPr>
          <w:b w:val="1"/>
          <w:bCs w:val="1"/>
          <w:rtl w:val="0"/>
        </w:rPr>
        <w:t xml:space="preserve">AUTORES:</w:t>
      </w:r>
    </w:p>
    <w:p w:rsidR="00000000" w:rsidDel="00000000" w:rsidP="00000000" w:rsidRDefault="00000000" w:rsidRPr="00000000" w14:paraId="00000008">
      <w:pPr>
        <w:numPr>
          <w:ilvl w:val="0"/>
          <w:numId w:val="1"/>
        </w:numPr>
        <w:spacing w:line="480" w:lineRule="auto"/>
        <w:ind w:left="720" w:hanging="360"/>
        <w:jc w:val="center"/>
      </w:pPr>
      <w:r w:rsidDel="00000000" w:rsidR="00000000" w:rsidRPr="00000000">
        <w:rPr>
          <w:rtl w:val="0"/>
        </w:rPr>
        <w:t xml:space="preserve">SALAS COHAILA, Gabriel Lucio - 20200606</w:t>
      </w:r>
    </w:p>
    <w:p w:rsidR="00000000" w:rsidDel="00000000" w:rsidP="00000000" w:rsidRDefault="00000000" w:rsidRPr="00000000" w14:paraId="00000009">
      <w:pPr>
        <w:numPr>
          <w:ilvl w:val="0"/>
          <w:numId w:val="1"/>
        </w:numPr>
        <w:spacing w:line="480" w:lineRule="auto"/>
        <w:ind w:left="720" w:hanging="360"/>
        <w:jc w:val="center"/>
      </w:pPr>
      <w:r w:rsidDel="00000000" w:rsidR="00000000" w:rsidRPr="00000000">
        <w:rPr>
          <w:rtl w:val="0"/>
        </w:rPr>
        <w:t xml:space="preserve">CHAMORRO CAYETANO, Jorge Josue - 20206234</w:t>
      </w:r>
    </w:p>
    <w:p w:rsidR="00000000" w:rsidDel="00000000" w:rsidP="00000000" w:rsidRDefault="00000000" w:rsidRPr="00000000" w14:paraId="0000000A">
      <w:pPr>
        <w:numPr>
          <w:ilvl w:val="0"/>
          <w:numId w:val="1"/>
        </w:numPr>
        <w:spacing w:line="480" w:lineRule="auto"/>
        <w:ind w:left="720" w:hanging="360"/>
        <w:jc w:val="center"/>
      </w:pPr>
      <w:r w:rsidDel="00000000" w:rsidR="00000000" w:rsidRPr="00000000">
        <w:rPr>
          <w:rtl w:val="0"/>
        </w:rPr>
        <w:t xml:space="preserve">SANCHEZ PASTOR, Rodrigo Alonso - 20201230</w:t>
      </w:r>
    </w:p>
    <w:p w:rsidR="00000000" w:rsidDel="00000000" w:rsidP="00000000" w:rsidRDefault="00000000" w:rsidRPr="00000000" w14:paraId="0000000B">
      <w:pPr>
        <w:numPr>
          <w:ilvl w:val="0"/>
          <w:numId w:val="1"/>
        </w:numPr>
        <w:spacing w:line="480" w:lineRule="auto"/>
        <w:ind w:left="720" w:hanging="360"/>
        <w:jc w:val="center"/>
      </w:pPr>
      <w:r w:rsidDel="00000000" w:rsidR="00000000" w:rsidRPr="00000000">
        <w:rPr>
          <w:rtl w:val="0"/>
        </w:rPr>
        <w:t xml:space="preserve">SANTILLÁN HUAMÁN, Aarón Ulises - 20200445</w:t>
      </w:r>
    </w:p>
    <w:p w:rsidR="00000000" w:rsidDel="00000000" w:rsidP="00000000" w:rsidRDefault="00000000" w:rsidRPr="00000000" w14:paraId="0000000C">
      <w:pPr>
        <w:numPr>
          <w:ilvl w:val="0"/>
          <w:numId w:val="1"/>
        </w:numPr>
        <w:spacing w:line="480" w:lineRule="auto"/>
        <w:ind w:left="720" w:hanging="360"/>
        <w:jc w:val="center"/>
      </w:pPr>
      <w:r w:rsidDel="00000000" w:rsidR="00000000" w:rsidRPr="00000000">
        <w:rPr>
          <w:rtl w:val="0"/>
        </w:rPr>
        <w:t xml:space="preserve">ORIHUELA MONTERO, Johnny Fabricio - 20211000</w:t>
      </w:r>
      <w:r w:rsidDel="00000000" w:rsidR="00000000" w:rsidRPr="00000000">
        <w:rPr>
          <w:rtl w:val="0"/>
        </w:rPr>
      </w:r>
    </w:p>
    <w:p w:rsidR="00000000" w:rsidDel="00000000" w:rsidP="00000000" w:rsidRDefault="00000000" w:rsidRPr="00000000" w14:paraId="0000000D">
      <w:pPr>
        <w:spacing w:line="480" w:lineRule="auto"/>
        <w:jc w:val="center"/>
        <w:rPr>
          <w:b w:val="1"/>
          <w:bCs w:val="1"/>
        </w:rPr>
      </w:pPr>
      <w:r w:rsidDel="00000000" w:rsidR="00000000" w:rsidRPr="00000000">
        <w:rPr>
          <w:b w:val="1"/>
          <w:bCs w:val="1"/>
          <w:rtl w:val="0"/>
        </w:rPr>
        <w:t xml:space="preserve">PROFESOR:</w:t>
      </w:r>
    </w:p>
    <w:p w:rsidR="00000000" w:rsidDel="00000000" w:rsidP="00000000" w:rsidRDefault="00000000" w:rsidRPr="00000000" w14:paraId="0000000E">
      <w:pPr>
        <w:spacing w:line="480" w:lineRule="auto"/>
        <w:jc w:val="center"/>
        <w:rPr/>
      </w:pPr>
      <w:r w:rsidDel="00000000" w:rsidR="00000000" w:rsidRPr="00000000">
        <w:rPr>
          <w:rtl w:val="0"/>
        </w:rPr>
        <w:t xml:space="preserve">MORALES BARRERA, LUIS ALBERTO</w:t>
      </w:r>
    </w:p>
    <w:p w:rsidR="00000000" w:rsidDel="00000000" w:rsidP="00000000" w:rsidRDefault="00000000" w:rsidRPr="00000000" w14:paraId="0000000F">
      <w:pPr>
        <w:spacing w:line="480" w:lineRule="auto"/>
        <w:jc w:val="center"/>
        <w:rPr>
          <w:b w:val="1"/>
          <w:bCs w:val="1"/>
        </w:rPr>
      </w:pPr>
      <w:r w:rsidDel="00000000" w:rsidR="00000000" w:rsidRPr="00000000">
        <w:rPr>
          <w:rtl w:val="0"/>
        </w:rPr>
      </w:r>
    </w:p>
    <w:p w:rsidR="00000000" w:rsidDel="00000000" w:rsidP="00000000" w:rsidRDefault="00000000" w:rsidRPr="00000000" w14:paraId="00000010">
      <w:pPr>
        <w:spacing w:line="480" w:lineRule="auto"/>
        <w:jc w:val="center"/>
        <w:rPr>
          <w:b w:val="1"/>
          <w:bCs w:val="1"/>
        </w:rPr>
      </w:pPr>
      <w:r w:rsidDel="00000000" w:rsidR="00000000" w:rsidRPr="00000000">
        <w:rPr>
          <w:rtl w:val="0"/>
        </w:rPr>
      </w:r>
    </w:p>
    <w:p w:rsidR="00000000" w:rsidDel="00000000" w:rsidP="00000000" w:rsidRDefault="00000000" w:rsidRPr="00000000" w14:paraId="00000011">
      <w:pPr>
        <w:spacing w:line="480" w:lineRule="auto"/>
        <w:jc w:val="center"/>
        <w:rPr>
          <w:b w:val="1"/>
          <w:bCs w:val="1"/>
        </w:rPr>
      </w:pPr>
      <w:r w:rsidDel="00000000" w:rsidR="00000000" w:rsidRPr="00000000">
        <w:rPr>
          <w:rtl w:val="0"/>
        </w:rPr>
      </w:r>
    </w:p>
    <w:p w:rsidR="00000000" w:rsidDel="00000000" w:rsidP="00000000" w:rsidRDefault="00000000" w:rsidRPr="00000000" w14:paraId="00000012">
      <w:pPr>
        <w:spacing w:line="480" w:lineRule="auto"/>
        <w:jc w:val="center"/>
        <w:rPr>
          <w:b w:val="1"/>
          <w:bCs w:val="1"/>
        </w:rPr>
      </w:pPr>
      <w:r w:rsidDel="00000000" w:rsidR="00000000" w:rsidRPr="00000000">
        <w:rPr>
          <w:rtl w:val="0"/>
        </w:rPr>
      </w:r>
    </w:p>
    <w:p w:rsidR="00000000" w:rsidDel="00000000" w:rsidP="00000000" w:rsidRDefault="00000000" w:rsidRPr="00000000" w14:paraId="00000013">
      <w:pPr>
        <w:spacing w:line="480" w:lineRule="auto"/>
        <w:jc w:val="left"/>
        <w:rPr>
          <w:b w:val="1"/>
          <w:bCs w:val="1"/>
        </w:rPr>
      </w:pPr>
      <w:r w:rsidDel="00000000" w:rsidR="00000000" w:rsidRPr="00000000">
        <w:rPr>
          <w:rtl w:val="0"/>
        </w:rPr>
      </w:r>
    </w:p>
    <w:p w:rsidR="00000000" w:rsidDel="00000000" w:rsidP="00000000" w:rsidRDefault="00000000" w:rsidRPr="00000000" w14:paraId="00000014">
      <w:pPr>
        <w:spacing w:line="480" w:lineRule="auto"/>
        <w:jc w:val="center"/>
        <w:rPr>
          <w:b w:val="1"/>
          <w:bCs w:val="1"/>
        </w:rPr>
      </w:pPr>
      <w:r w:rsidDel="00000000" w:rsidR="00000000" w:rsidRPr="00000000">
        <w:rPr>
          <w:b w:val="1"/>
          <w:bCs w:val="1"/>
          <w:rtl w:val="0"/>
        </w:rPr>
        <w:t xml:space="preserve">Lima, setiembre, 2026</w:t>
      </w:r>
      <w:r w:rsidDel="00000000" w:rsidR="00000000" w:rsidRPr="00000000">
        <w:rPr>
          <w:rtl w:val="0"/>
        </w:rPr>
      </w:r>
    </w:p>
    <w:p w:rsidR="00000000" w:rsidDel="00000000" w:rsidP="00000000" w:rsidRDefault="00000000" w:rsidRPr="00000000" w14:paraId="00000015">
      <w:pPr>
        <w:spacing w:after="200" w:before="0" w:line="360" w:lineRule="auto"/>
        <w:jc w:val="both"/>
        <w:rPr/>
      </w:pPr>
      <w:r w:rsidDel="00000000" w:rsidR="00000000" w:rsidRPr="00000000">
        <w:rPr>
          <w:b w:val="1"/>
          <w:bCs w:val="1"/>
          <w:rtl w:val="0"/>
        </w:rPr>
        <w:t xml:space="preserve">Nota sobre la numeración.</w:t>
      </w:r>
      <w:r w:rsidDel="00000000" w:rsidR="00000000" w:rsidRPr="00000000">
        <w:rPr>
          <w:rtl w:val="0"/>
        </w:rPr>
        <w:t xml:space="preserve"> Este documento da continuidad al Entregable 1 y al Entregable 2, que cerraron en la sección 4.4 y en la Tabla 26. Por ello, la numeración de tablas se reanuda en la Tabla 27 y las secciones nuevas se numeran como "5." y "6.", de modo que los tres avances puedan integrarse en un solo documento sin renumerar. Los dolores críticos se citan con la codificación DC1 a DC3 establecida en la Tabla 21 del Entregable 2, y los objetivos estratégicos con la codificación OE1 a OE6 de la Tabla 10 del Entregable 1.</w:t>
      </w:r>
    </w:p>
    <w:p w:rsidR="00000000" w:rsidDel="00000000" w:rsidP="00000000" w:rsidRDefault="00000000" w:rsidRPr="00000000" w14:paraId="00000016">
      <w:pPr>
        <w:pStyle w:val="Heading1"/>
        <w:spacing w:after="200" w:before="320" w:line="360" w:lineRule="auto"/>
        <w:rPr>
          <w:sz w:val="22"/>
          <w:szCs w:val="22"/>
        </w:rPr>
      </w:pPr>
      <w:r w:rsidDel="00000000" w:rsidR="00000000" w:rsidRPr="00000000">
        <w:rPr>
          <w:b w:val="1"/>
          <w:bCs w:val="1"/>
          <w:color w:val="1f3864"/>
          <w:sz w:val="22"/>
          <w:szCs w:val="22"/>
          <w:rtl w:val="0"/>
        </w:rPr>
        <w:t xml:space="preserve">5. Hipótesis de las iniciativas a ser desarrolladas</w:t>
      </w:r>
      <w:r w:rsidDel="00000000" w:rsidR="00000000" w:rsidRPr="00000000">
        <w:rPr>
          <w:rtl w:val="0"/>
        </w:rPr>
      </w:r>
    </w:p>
    <w:p w:rsidR="00000000" w:rsidDel="00000000" w:rsidP="00000000" w:rsidRDefault="00000000" w:rsidRPr="00000000" w14:paraId="00000017">
      <w:pPr>
        <w:pStyle w:val="Heading2"/>
        <w:spacing w:after="160" w:before="260" w:line="360" w:lineRule="auto"/>
        <w:rPr>
          <w:sz w:val="22"/>
          <w:szCs w:val="22"/>
        </w:rPr>
      </w:pPr>
      <w:r w:rsidDel="00000000" w:rsidR="00000000" w:rsidRPr="00000000">
        <w:rPr>
          <w:b w:val="1"/>
          <w:bCs w:val="1"/>
          <w:color w:val="1f3864"/>
          <w:sz w:val="22"/>
          <w:szCs w:val="22"/>
          <w:rtl w:val="0"/>
        </w:rPr>
        <w:t xml:space="preserve">5.1. Enfoque metodológico para la formulación de hipótesis</w:t>
      </w:r>
      <w:r w:rsidDel="00000000" w:rsidR="00000000" w:rsidRPr="00000000">
        <w:rPr>
          <w:rtl w:val="0"/>
        </w:rPr>
      </w:r>
    </w:p>
    <w:p w:rsidR="00000000" w:rsidDel="00000000" w:rsidP="00000000" w:rsidRDefault="00000000" w:rsidRPr="00000000" w14:paraId="00000018">
      <w:pPr>
        <w:spacing w:after="200" w:before="0" w:line="360" w:lineRule="auto"/>
        <w:jc w:val="both"/>
        <w:rPr/>
      </w:pPr>
      <w:r w:rsidDel="00000000" w:rsidR="00000000" w:rsidRPr="00000000">
        <w:rPr>
          <w:rtl w:val="0"/>
        </w:rPr>
        <w:t xml:space="preserve">Las hipótesis que siguen atienden los tres dolores críticos seleccionados en el Entregable 2 —DC1 (baja digitalización de la originación de crédito Pyme), DC2 (tiempo de resolución y exposición sancionatoria por operaciones no reconocidas) y DC3 (penetración digital dispar en la contratación de productos)— aplicando el criterio establecido en el enunciado del trabajo: priorizar agentes de inteligencia artificial como tecnología habilitante, sin que ello excluya otras tecnologías disruptivas cuando la evidencia lo justifique.</w:t>
      </w:r>
    </w:p>
    <w:p w:rsidR="00000000" w:rsidDel="00000000" w:rsidP="00000000" w:rsidRDefault="00000000" w:rsidRPr="00000000" w14:paraId="00000019">
      <w:pPr>
        <w:spacing w:after="200" w:before="0" w:line="360" w:lineRule="auto"/>
        <w:jc w:val="both"/>
        <w:rPr/>
      </w:pPr>
      <w:r w:rsidDel="00000000" w:rsidR="00000000" w:rsidRPr="00000000">
        <w:rPr>
          <w:rtl w:val="0"/>
        </w:rPr>
        <w:t xml:space="preserve">Cada hipótesis se somete a la misma prueba. Primero, se sustenta con evidencia de mercado verificable sobre el estado del arte de agentes de IA en banca, incluyendo, cuando existe, el comportamiento de competidores directos en el mercado peruano. Segundo, se traduce en una matriz Eliminar-Reducir-Elevar-Crear (ERRC), instrumento propuesto por </w:t>
      </w:r>
      <w:r w:rsidDel="00000000" w:rsidR="00000000" w:rsidRPr="00000000">
        <w:rPr>
          <w:i w:val="1"/>
          <w:iCs w:val="1"/>
          <w:rtl w:val="0"/>
        </w:rPr>
        <w:t xml:space="preserve">Kim y Mauborgne (2005)</w:t>
      </w:r>
      <w:r w:rsidDel="00000000" w:rsidR="00000000" w:rsidRPr="00000000">
        <w:rPr>
          <w:rtl w:val="0"/>
        </w:rPr>
        <w:t xml:space="preserve"> para sistematizar el tránsito de un océano rojo —donde las entidades compiten por los mismos atributos— hacia un océano azul, en el que la propuesta de valor deja de ser comparable punto a punto con la competencia (Blue Ocean Strategy, s. f.). Tercero, se vincula con un indicador de éxito ya definido en las Tablas 23 a 25 del Entregable 2, de modo que la iniciativa no introduce una métrica nueva y desconectada del diagnóstico previo, sino que reutiliza la línea base y la meta ya declaradas.</w:t>
      </w:r>
    </w:p>
    <w:p w:rsidR="00000000" w:rsidDel="00000000" w:rsidP="00000000" w:rsidRDefault="00000000" w:rsidRPr="00000000" w14:paraId="0000001A">
      <w:pPr>
        <w:spacing w:after="200" w:before="0" w:line="360" w:lineRule="auto"/>
        <w:jc w:val="both"/>
        <w:rPr/>
      </w:pPr>
      <w:r w:rsidDel="00000000" w:rsidR="00000000" w:rsidRPr="00000000">
        <w:rPr>
          <w:b w:val="1"/>
          <w:bCs w:val="1"/>
          <w:rtl w:val="0"/>
        </w:rPr>
        <w:t xml:space="preserve">Advertencia sobre el estado de la competencia.</w:t>
      </w:r>
      <w:r w:rsidDel="00000000" w:rsidR="00000000" w:rsidRPr="00000000">
        <w:rPr>
          <w:rtl w:val="0"/>
        </w:rPr>
        <w:t xml:space="preserve"> La evidencia recogida muestra que el mercado peruano ya no es un espacio inexplorado en materia de agentes conversacionales: Mibanco desplegó en julio de 2026 un agente de IA agéntica de AWS sobre WhatsApp que abre cuentas de ahorro, desembolsa créditos y ejecuta transferencias de forma autónoma, con más de 357,000 interacciones y S/ 10.6 millones desembolsados en sus primeros meses (PressPerú, 2026); y el BCP opera desde 2024 un voicebot que atiende el 30 % de las llamadas de su call center, aunque circunscrito a consultas informativas (Mestanza Arquiñigo, 2024). Un agente conversacional genérico ya no constituye, por sí solo, una propuesta de océano azul: sería imitar una jugada que la competencia ya hizo pública. Por ello, cada hipótesis identifica específicamente qué elemento del proceso BBVA puede elevar o crear que sus competidores locales, hasta la fecha de esta entrega, no ofrecen.</w:t>
      </w:r>
    </w:p>
    <w:p w:rsidR="00000000" w:rsidDel="00000000" w:rsidP="00000000" w:rsidRDefault="00000000" w:rsidRPr="00000000" w14:paraId="0000001B">
      <w:pPr>
        <w:spacing w:after="200" w:before="0" w:line="360" w:lineRule="auto"/>
        <w:jc w:val="both"/>
        <w:rPr/>
      </w:pPr>
      <w:r w:rsidDel="00000000" w:rsidR="00000000" w:rsidRPr="00000000">
        <w:rPr>
          <w:b w:val="1"/>
          <w:bCs w:val="1"/>
          <w:rtl w:val="0"/>
        </w:rPr>
        <w:t xml:space="preserve">Advertencia regulatoria.</w:t>
      </w:r>
      <w:r w:rsidDel="00000000" w:rsidR="00000000" w:rsidRPr="00000000">
        <w:rPr>
          <w:rtl w:val="0"/>
        </w:rPr>
        <w:t xml:space="preserve"> Toda hipótesis que involucre decisiones crediticias automatizadas debe diseñarse bajo el marco que la Superintendencia de Banca, Seguros y AFP exige a partir del 10 de setiembre de 2026 a las entidades que emplean IA en decisiones de crédito: explicar al cliente los elementos principales que sustentan una decisión desfavorable, mantener mecanismos de supervisión humana con capacidad de intervención, y contar con controles de gobernanza para detectar sesgos algorítmicos (Ramírez Huancayo, 2026). Esta exigencia no es un obstáculo lateral: se incorpora como condición de diseño en la hipótesis del DC1 y, por prudencia, en la del DC2.</w:t>
      </w:r>
    </w:p>
    <w:p>
      <w:pPr>
        <w:spacing w:after="200" w:before="0" w:line="360" w:lineRule="auto"/>
        <w:jc w:val="both"/>
        <w:rPr/>
      </w:pPr>
      <w:r>
        <w:rPr>
          <w:b w:val="1"/>
          <w:bCs w:val="1"/>
          <w:rtl w:val="0"/>
        </w:rPr>
        <w:t xml:space="preserve">Foco del equipo para las siguientes entregas.</w:t>
      </w:r>
      <w:r>
        <w:rPr>
          <w:rtl w:val="0"/>
        </w:rPr>
        <w:t xml:space="preserve"> Este entregable desarrolla, conforme lo exige el enunciado de la práctica, hipótesis de iniciativa y descripción As Is para los tres dolores críticos priorizados (DC1, DC2 y DC3), manteniendo el mismo nivel de rigor y de sustento en cada uno. A partir de esta entrega, el equipo concentra además el desarrollo de la iniciativa en el dolor DC3 —contratación de productos por canal digital—, seleccionado como proceso ancla del proyecto porque es el que ofrece mayor claridad y disponibilidad de información para el equipo: el área de prevención de fraude que sustenta a DC2 opera de forma aislada y confidencial, y el flujo de originación Pyme de DC1 corresponde a un segmento distinto al de retail </w:t>
      </w:r>
      <w:r>
        <w:rPr>
          <w:i w:val="1"/>
          <w:iCs w:val="1"/>
          <w:rtl w:val="0"/>
        </w:rPr>
        <w:t xml:space="preserve">(A. Moquillaza, comunicación personal, 11 de setiembre de 2026)</w:t>
      </w:r>
      <w:r>
        <w:rPr>
          <w:rtl w:val="0"/>
        </w:rPr>
        <w:t xml:space="preserve">. Esta decisión no reduce el alcance exigido en este documento: las hipótesis y la descripción As Is de DC1 y DC2 se mantienen desarrolladas en su totalidad en las secciones 5.2, 5.3, 6.1 y 6.2.</w:t>
      </w:r>
    </w:p>
    <w:p w:rsidR="00000000" w:rsidDel="00000000" w:rsidP="00000000" w:rsidRDefault="00000000" w:rsidRPr="00000000" w14:paraId="0000001C">
      <w:pPr>
        <w:pStyle w:val="Heading2"/>
        <w:spacing w:after="160" w:before="260" w:line="360" w:lineRule="auto"/>
        <w:rPr>
          <w:sz w:val="22"/>
          <w:szCs w:val="22"/>
        </w:rPr>
      </w:pPr>
      <w:r w:rsidDel="00000000" w:rsidR="00000000" w:rsidRPr="00000000">
        <w:rPr>
          <w:b w:val="1"/>
          <w:bCs w:val="1"/>
          <w:color w:val="1f3864"/>
          <w:sz w:val="22"/>
          <w:szCs w:val="22"/>
          <w:rtl w:val="0"/>
        </w:rPr>
        <w:t xml:space="preserve">5.2. Hipótesis de iniciativa para DC1: agente de preclasificación crediticia Pyme</w:t>
      </w:r>
      <w:r w:rsidDel="00000000" w:rsidR="00000000" w:rsidRPr="00000000">
        <w:rPr>
          <w:rtl w:val="0"/>
        </w:rPr>
      </w:r>
    </w:p>
    <w:p w:rsidR="00000000" w:rsidDel="00000000" w:rsidP="00000000" w:rsidRDefault="00000000" w:rsidRPr="00000000" w14:paraId="0000001D">
      <w:pPr>
        <w:spacing w:after="200" w:before="0" w:line="360" w:lineRule="auto"/>
        <w:jc w:val="both"/>
        <w:rPr/>
      </w:pPr>
      <w:r w:rsidDel="00000000" w:rsidR="00000000" w:rsidRPr="00000000">
        <w:rPr>
          <w:b w:val="1"/>
          <w:bCs w:val="1"/>
          <w:rtl w:val="0"/>
        </w:rPr>
        <w:t xml:space="preserve">Nombre de la hipótesis.</w:t>
      </w:r>
      <w:r w:rsidDel="00000000" w:rsidR="00000000" w:rsidRPr="00000000">
        <w:rPr>
          <w:rtl w:val="0"/>
        </w:rPr>
        <w:t xml:space="preserve"> Agente de preclasificación y acompañamiento conversacional para el crédito Pyme, integrado a la app BBVA Empresas 2.0 y accesible por canal de mensajería.</w:t>
      </w:r>
    </w:p>
    <w:p w:rsidR="00000000" w:rsidDel="00000000" w:rsidP="00000000" w:rsidRDefault="00000000" w:rsidRPr="00000000" w14:paraId="0000001E">
      <w:pPr>
        <w:spacing w:after="200" w:before="0" w:line="360" w:lineRule="auto"/>
        <w:jc w:val="both"/>
        <w:rPr/>
      </w:pPr>
      <w:r w:rsidDel="00000000" w:rsidR="00000000" w:rsidRPr="00000000">
        <w:rPr>
          <w:b w:val="1"/>
          <w:bCs w:val="1"/>
          <w:rtl w:val="0"/>
        </w:rPr>
        <w:t xml:space="preserve">Formulación.</w:t>
      </w:r>
      <w:r w:rsidDel="00000000" w:rsidR="00000000" w:rsidRPr="00000000">
        <w:rPr>
          <w:rtl w:val="0"/>
        </w:rPr>
        <w:t xml:space="preserve"> Si BBVA Perú despliega un agente de IA que conversa con el empresario Pyme antes de que este inicie el trámite formal, interpreta su información de negocio en lenguaje natural —incluyendo documentación no estructurada, como fotografías de comprobantes de venta— y la contrasta contra la transaccionalidad ya registrada en el ecosistema del banco (cuenta corriente, Openpay, QR Empresas), entonces el empresario puede conocer en la misma conversación para qué producto precalifica y bajo qué condiciones, sin necesidad de producir primero la documentación financiera estructurada que hoy no posee </w:t>
      </w:r>
      <w:r w:rsidDel="00000000" w:rsidR="00000000" w:rsidRPr="00000000">
        <w:rPr>
          <w:i w:val="1"/>
          <w:iCs w:val="1"/>
          <w:rtl w:val="0"/>
        </w:rPr>
        <w:t xml:space="preserve">(Melo, 2026)</w:t>
      </w:r>
      <w:r w:rsidDel="00000000" w:rsidR="00000000" w:rsidRPr="00000000">
        <w:rPr>
          <w:rtl w:val="0"/>
        </w:rPr>
        <w:t xml:space="preserve">. Esto ataca simultáneamente el dolor D1 —la brecha entre una ruta digital que resuelve el crédito en tres minutos y una ruta asistida que concentra dos tercios de las colocaciones— y el dolor D3 —la dependencia de información financiera que la microempresa no produce de forma estructurada—, ambos integrados en DC1.</w:t>
      </w:r>
    </w:p>
    <w:p w:rsidR="00000000" w:rsidDel="00000000" w:rsidP="00000000" w:rsidRDefault="00000000" w:rsidRPr="00000000" w14:paraId="0000001F">
      <w:pPr>
        <w:spacing w:after="200" w:before="0" w:line="360" w:lineRule="auto"/>
        <w:jc w:val="both"/>
        <w:rPr/>
      </w:pPr>
      <w:r w:rsidDel="00000000" w:rsidR="00000000" w:rsidRPr="00000000">
        <w:rPr>
          <w:b w:val="1"/>
          <w:bCs w:val="1"/>
          <w:rtl w:val="0"/>
        </w:rPr>
        <w:t xml:space="preserve">Sustento de mercado.</w:t>
      </w:r>
      <w:r w:rsidDel="00000000" w:rsidR="00000000" w:rsidRPr="00000000">
        <w:rPr>
          <w:rtl w:val="0"/>
        </w:rPr>
        <w:t xml:space="preserve"> La literatura especializada documenta que los agentes de IA ya son capaces de "tomar decisiones financieras complejas a nivel de cliente" y que las Pyme "ya están aprovechando la automatización de tesorería basada en APIs para optimizar el manejo de efectivo" </w:t>
      </w:r>
      <w:r w:rsidDel="00000000" w:rsidR="00000000" w:rsidRPr="00000000">
        <w:rPr>
          <w:i w:val="1"/>
          <w:iCs w:val="1"/>
          <w:rtl w:val="0"/>
        </w:rPr>
        <w:t xml:space="preserve">(Sundararajan y Jeenah, 2025)</w:t>
      </w:r>
      <w:r w:rsidDel="00000000" w:rsidR="00000000" w:rsidRPr="00000000">
        <w:rPr>
          <w:rtl w:val="0"/>
        </w:rPr>
        <w:t xml:space="preserve">. En mercados con reporte de resultados agregados, la automatización de la suscripción crediticia con IA se asocia a una mejora de 30 % en el tiempo de respuesta crediticia y a un incremento de 25 % en la tasa de aprobación sin incremento del riesgo </w:t>
      </w:r>
      <w:commentRangeStart w:id="13"/>
      <w:r w:rsidDel="00000000" w:rsidR="00000000" w:rsidRPr="00000000">
        <w:rPr>
          <w:i w:val="1"/>
          <w:iCs w:val="1"/>
          <w:rtl w:val="0"/>
        </w:rPr>
        <w:t xml:space="preserve">(Stealth Agents, 2026, con base en McKinsey y Zest AI)</w:t>
      </w:r>
      <w:commentRangeEnd w:id="13"/>
      <w:r>
        <w:rPr>
          <w:rStyle w:val="CommentReference"/>
        </w:rPr>
        <w:commentReference w:id="13"/>
      </w:r>
      <w:r w:rsidDel="00000000" w:rsidR="00000000" w:rsidRPr="00000000">
        <w:rPr>
          <w:rtl w:val="0"/>
        </w:rPr>
        <w:t xml:space="preserve">; otra fuente reporta una reducción de 70 % en el tiempo de procesamiento y de 35 % en el abandono de solicitudes para casos de procesamiento documental de préstamos </w:t>
      </w:r>
      <w:r w:rsidDel="00000000" w:rsidR="00000000" w:rsidRPr="00000000">
        <w:rPr>
          <w:i w:val="1"/>
          <w:iCs w:val="1"/>
          <w:rtl w:val="0"/>
        </w:rPr>
        <w:t xml:space="preserve">(Kore.ai, 2026)</w:t>
      </w:r>
      <w:r w:rsidDel="00000000" w:rsidR="00000000" w:rsidRPr="00000000">
        <w:rPr>
          <w:rtl w:val="0"/>
        </w:rPr>
        <w:t xml:space="preserve">. Estas cifras corresponden a mercados desarrollados y no son extrapolables directamente al segmento Pyme peruano; se citan como referencia del orden de magnitud del beneficio esperado, no como proyección propia de BBVA Perú.</w:t>
      </w:r>
    </w:p>
    <w:p w:rsidR="00000000" w:rsidDel="00000000" w:rsidP="00000000" w:rsidRDefault="00000000" w:rsidRPr="00000000" w14:paraId="00000020">
      <w:pPr>
        <w:spacing w:after="200" w:before="0" w:line="360" w:lineRule="auto"/>
        <w:jc w:val="both"/>
        <w:rPr/>
      </w:pPr>
      <w:r w:rsidDel="00000000" w:rsidR="00000000" w:rsidRPr="00000000">
        <w:rPr>
          <w:b w:val="1"/>
          <w:bCs w:val="1"/>
          <w:rtl w:val="0"/>
        </w:rPr>
        <w:t xml:space="preserve">Diferenciación frente a la competencia local.</w:t>
      </w:r>
      <w:r w:rsidDel="00000000" w:rsidR="00000000" w:rsidRPr="00000000">
        <w:rPr>
          <w:rtl w:val="0"/>
        </w:rPr>
        <w:t xml:space="preserve"> El agente de Mibanco ya ejecuta desembolsos conversacionales por WhatsApp </w:t>
      </w:r>
      <w:r w:rsidDel="00000000" w:rsidR="00000000" w:rsidRPr="00000000">
        <w:rPr>
          <w:i w:val="1"/>
          <w:iCs w:val="1"/>
          <w:rtl w:val="0"/>
        </w:rPr>
        <w:t xml:space="preserve">(PressPerú, 2026)</w:t>
      </w:r>
      <w:r w:rsidDel="00000000" w:rsidR="00000000" w:rsidRPr="00000000">
        <w:rPr>
          <w:rtl w:val="0"/>
        </w:rPr>
        <w:t xml:space="preserve">, por lo que replicar solo esa función no genera océano azul. La propuesta diferencial de BBVA Perú es anticipar la precalificación —antes del trámite, no en reemplazo de él— usando datos transaccionales propios del ecosistema del banco que un competidor sin la misma base de clientes empresariales no puede replicar con la misma profundidad.</w:t>
      </w:r>
    </w:p>
    <w:p w:rsidR="00000000" w:rsidDel="00000000" w:rsidP="00000000" w:rsidRDefault="00000000" w:rsidRPr="00000000" w14:paraId="00000021">
      <w:pPr>
        <w:spacing w:after="0" w:before="200" w:line="240" w:lineRule="auto"/>
        <w:rPr/>
      </w:pPr>
      <w:r w:rsidDel="00000000" w:rsidR="00000000" w:rsidRPr="00000000">
        <w:rPr>
          <w:b w:val="1"/>
          <w:bCs w:val="1"/>
          <w:rtl w:val="0"/>
        </w:rPr>
        <w:t xml:space="preserve">Tabla 27</w:t>
      </w:r>
      <w:r w:rsidDel="00000000" w:rsidR="00000000" w:rsidRPr="00000000">
        <w:rPr>
          <w:rtl w:val="0"/>
        </w:rPr>
      </w:r>
    </w:p>
    <w:p w:rsidR="00000000" w:rsidDel="00000000" w:rsidP="00000000" w:rsidRDefault="00000000" w:rsidRPr="00000000" w14:paraId="00000022">
      <w:pPr>
        <w:spacing w:after="120" w:before="0" w:line="240" w:lineRule="auto"/>
        <w:rPr/>
      </w:pPr>
      <w:r w:rsidDel="00000000" w:rsidR="00000000" w:rsidRPr="00000000">
        <w:rPr>
          <w:i w:val="1"/>
          <w:iCs w:val="1"/>
          <w:rtl w:val="0"/>
        </w:rPr>
        <w:t xml:space="preserve">Matriz ERRC — Agente de preclasificación crediticia Pyme</w:t>
      </w:r>
      <w:r w:rsidDel="00000000" w:rsidR="00000000" w:rsidRPr="00000000">
        <w:rPr>
          <w:rtl w:val="0"/>
        </w:rPr>
      </w:r>
    </w:p>
    <w:tbl>
      <w:tblPr>
        <w:tblStyle w:val="Table1"/>
        <w:tblW w:w="9900.0" w:type="dxa"/>
        <w:jc w:val="left"/>
        <w:tblBorders>
          <w:top w:color="8496b0" w:space="0" w:sz="4" w:val="single"/>
          <w:left w:color="8496b0" w:space="0" w:sz="4" w:val="single"/>
          <w:bottom w:color="8496b0" w:space="0" w:sz="4" w:val="single"/>
          <w:right w:color="8496b0" w:space="0" w:sz="4" w:val="single"/>
          <w:insideH w:color="b4c6e7" w:space="0" w:sz="4" w:val="single"/>
          <w:insideV w:color="b4c6e7" w:space="0" w:sz="4" w:val="single"/>
        </w:tblBorders>
        <w:tblLayout w:type="fixed"/>
        <w:tblLook w:val="0000"/>
      </w:tblPr>
      <w:tblGrid>
        <w:gridCol w:w="1600"/>
        <w:gridCol w:w="8300"/>
        <w:tblGridChange w:id="0">
          <w:tblGrid>
            <w:gridCol w:w="1600"/>
            <w:gridCol w:w="8300"/>
          </w:tblGrid>
        </w:tblGridChange>
      </w:tblGrid>
      <w:tr>
        <w:trPr>
          <w:cantSplit w:val="0"/>
          <w:tblHeader w:val="1"/>
        </w:trPr>
        <w:tc>
          <w:tcPr>
            <w:tcBorders>
              <w:top w:color="b4c6e7" w:space="0" w:sz="4" w:val="single"/>
              <w:left w:color="b4c6e7" w:space="0" w:sz="4" w:val="single"/>
              <w:bottom w:color="b4c6e7" w:space="0" w:sz="4" w:val="single"/>
              <w:right w:color="b4c6e7"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023">
            <w:pPr>
              <w:spacing w:after="0" w:line="240" w:lineRule="auto"/>
              <w:jc w:val="center"/>
              <w:rPr/>
            </w:pPr>
            <w:r w:rsidDel="00000000" w:rsidR="00000000" w:rsidRPr="00000000">
              <w:rPr>
                <w:b w:val="1"/>
                <w:bCs w:val="1"/>
                <w:color w:val="ffffff"/>
                <w:rtl w:val="0"/>
              </w:rPr>
              <w:t xml:space="preserve">Acción</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024">
            <w:pPr>
              <w:spacing w:after="0" w:line="240" w:lineRule="auto"/>
              <w:jc w:val="center"/>
              <w:rPr/>
            </w:pPr>
            <w:r w:rsidDel="00000000" w:rsidR="00000000" w:rsidRPr="00000000">
              <w:rPr>
                <w:b w:val="1"/>
                <w:bCs w:val="1"/>
                <w:color w:val="ffffff"/>
                <w:rtl w:val="0"/>
              </w:rPr>
              <w:t xml:space="preserve">Descripción</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14:paraId="00000025">
            <w:pPr>
              <w:spacing w:after="0" w:line="240" w:lineRule="auto"/>
              <w:jc w:val="both"/>
              <w:rPr/>
            </w:pPr>
            <w:r w:rsidDel="00000000" w:rsidR="00000000" w:rsidRPr="00000000">
              <w:rPr>
                <w:b w:val="1"/>
                <w:bCs w:val="1"/>
                <w:rtl w:val="0"/>
              </w:rPr>
              <w:t xml:space="preserve">Eliminar</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14:paraId="00000026">
            <w:pPr>
              <w:spacing w:after="0" w:line="240" w:lineRule="auto"/>
              <w:jc w:val="both"/>
              <w:rPr/>
            </w:pPr>
            <w:r w:rsidDel="00000000" w:rsidR="00000000" w:rsidRPr="00000000">
              <w:rPr>
                <w:rtl w:val="0"/>
              </w:rPr>
              <w:t xml:space="preserve">La exigencia de presentar, como primer paso, documentación financiera estructurada que la microempresa no produce de forma habitual (Melo, 2026).</w:t>
            </w:r>
          </w:p>
        </w:tc>
      </w:tr>
      <w:tr>
        <w:trPr>
          <w:cantSplit w:val="0"/>
          <w:tblHeader w:val="0"/>
        </w:trPr>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14:paraId="00000027">
            <w:pPr>
              <w:spacing w:after="0" w:line="240" w:lineRule="auto"/>
              <w:jc w:val="both"/>
              <w:rPr/>
            </w:pPr>
            <w:r w:rsidDel="00000000" w:rsidR="00000000" w:rsidRPr="00000000">
              <w:rPr>
                <w:b w:val="1"/>
                <w:bCs w:val="1"/>
                <w:rtl w:val="0"/>
              </w:rPr>
              <w:t xml:space="preserve">Reducir</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14:paraId="00000028">
            <w:pPr>
              <w:spacing w:after="0" w:line="240" w:lineRule="auto"/>
              <w:jc w:val="both"/>
              <w:rPr/>
            </w:pPr>
            <w:r w:rsidDel="00000000" w:rsidR="00000000" w:rsidRPr="00000000">
              <w:rPr>
                <w:rtl w:val="0"/>
              </w:rPr>
              <w:t xml:space="preserve">El tiempo en que el empresario permanece sin visibilidad del estado de su solicitud durante la evaluación crediticia (etapa 3 del recorrido, Tabla 15); la proporción de colocaciones que se originan exclusivamente por canal asistido.</w:t>
            </w:r>
          </w:p>
        </w:tc>
      </w:tr>
      <w:tr>
        <w:trPr>
          <w:cantSplit w:val="0"/>
          <w:tblHeader w:val="0"/>
        </w:trPr>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14:paraId="00000029">
            <w:pPr>
              <w:spacing w:after="0" w:line="240" w:lineRule="auto"/>
              <w:jc w:val="both"/>
              <w:rPr/>
            </w:pPr>
            <w:r w:rsidDel="00000000" w:rsidR="00000000" w:rsidRPr="00000000">
              <w:rPr>
                <w:b w:val="1"/>
                <w:bCs w:val="1"/>
                <w:rtl w:val="0"/>
              </w:rPr>
              <w:t xml:space="preserve">Elevar</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14:paraId="0000002A">
            <w:pPr>
              <w:spacing w:after="0" w:line="240" w:lineRule="auto"/>
              <w:jc w:val="both"/>
              <w:rPr/>
            </w:pPr>
            <w:r w:rsidDel="00000000" w:rsidR="00000000" w:rsidRPr="00000000">
              <w:rPr>
                <w:rtl w:val="0"/>
              </w:rPr>
              <w:t xml:space="preserve">La transparencia de la decisión preliminar, explicando al cliente los factores que sustentan su precalificación, conforme a la exigencia de la SBS vigente desde el 10 de setiembre de 2026 (Ramírez Huancayo, 2026); la disponibilidad del acompañamiento a un canal conversacional ya validado por el mercado peruano.</w:t>
            </w:r>
          </w:p>
        </w:tc>
      </w:tr>
      <w:tr>
        <w:trPr>
          <w:cantSplit w:val="0"/>
          <w:tblHeader w:val="0"/>
        </w:trPr>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14:paraId="0000002B">
            <w:pPr>
              <w:spacing w:after="0" w:line="240" w:lineRule="auto"/>
              <w:jc w:val="both"/>
              <w:rPr/>
            </w:pPr>
            <w:r w:rsidDel="00000000" w:rsidR="00000000" w:rsidRPr="00000000">
              <w:rPr>
                <w:b w:val="1"/>
                <w:bCs w:val="1"/>
                <w:rtl w:val="0"/>
              </w:rPr>
              <w:t xml:space="preserve">Crear</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14:paraId="0000002C">
            <w:pPr>
              <w:spacing w:after="0" w:line="240" w:lineRule="auto"/>
              <w:jc w:val="both"/>
              <w:rPr/>
            </w:pPr>
            <w:r w:rsidDel="00000000" w:rsidR="00000000" w:rsidRPr="00000000">
              <w:rPr>
                <w:rtl w:val="0"/>
              </w:rPr>
              <w:t xml:space="preserve">Una precalificación conversacional previa al trámite formal, construida sobre datos transaccionales propios del ecosistema BBVA (cuenta corriente, Openpay, QR Empresas), que ningún competidor sin esa base de clientes empresariales puede replicar con la misma profundidad.</w:t>
            </w:r>
          </w:p>
        </w:tc>
      </w:tr>
    </w:tbl>
    <w:p w:rsidR="00000000" w:rsidDel="00000000" w:rsidP="00000000" w:rsidRDefault="00000000" w:rsidRPr="00000000" w14:paraId="0000002D">
      <w:pPr>
        <w:spacing w:after="200" w:lineRule="auto"/>
        <w:rPr/>
      </w:pPr>
      <w:r w:rsidDel="00000000" w:rsidR="00000000" w:rsidRPr="00000000">
        <w:rPr>
          <w:rtl w:val="0"/>
        </w:rPr>
      </w:r>
    </w:p>
    <w:p w:rsidR="00000000" w:rsidDel="00000000" w:rsidP="00000000" w:rsidRDefault="00000000" w:rsidRPr="00000000" w14:paraId="0000002E">
      <w:pPr>
        <w:spacing w:after="200" w:before="0" w:line="360" w:lineRule="auto"/>
        <w:jc w:val="both"/>
        <w:rPr/>
      </w:pPr>
      <w:r w:rsidDel="00000000" w:rsidR="00000000" w:rsidRPr="00000000">
        <w:rPr>
          <w:b w:val="1"/>
          <w:bCs w:val="1"/>
          <w:rtl w:val="0"/>
        </w:rPr>
        <w:t xml:space="preserve">Indicador de éxito esperado.</w:t>
      </w:r>
      <w:r w:rsidDel="00000000" w:rsidR="00000000" w:rsidRPr="00000000">
        <w:rPr>
          <w:rtl w:val="0"/>
        </w:rPr>
        <w:t xml:space="preserve"> Tasa de originación digital Pyme </w:t>
      </w:r>
      <w:commentRangeStart w:id="10"/>
      <w:r w:rsidDel="00000000" w:rsidR="00000000" w:rsidRPr="00000000">
        <w:rPr>
          <w:rtl w:val="0"/>
        </w:rPr>
        <w:t xml:space="preserve">(línea base 33 %, meta 60 % en dieciocho meses)</w:t>
      </w:r>
      <w:commentRangeEnd w:id="10"/>
      <w:r>
        <w:rPr>
          <w:rStyle w:val="CommentReference"/>
        </w:rPr>
        <w:commentReference w:id="10"/>
      </w:r>
      <w:r w:rsidDel="00000000" w:rsidR="00000000" w:rsidRPr="00000000">
        <w:rPr>
          <w:rtl w:val="0"/>
        </w:rPr>
        <w:t xml:space="preserve"> y tiempo de ciclo de la ruta asistida, hoy sin línea base pública y que el propio agente permitiría instrumentar por primera vez, conforme a la Tabla 23 del Entregable 2.</w:t>
      </w:r>
    </w:p>
    <w:p w:rsidR="00000000" w:rsidDel="00000000" w:rsidP="00000000" w:rsidRDefault="00000000" w:rsidRPr="00000000" w14:paraId="0000002F">
      <w:pPr>
        <w:pStyle w:val="Heading2"/>
        <w:spacing w:after="160" w:before="260" w:line="360" w:lineRule="auto"/>
        <w:rPr>
          <w:sz w:val="22"/>
          <w:szCs w:val="22"/>
        </w:rPr>
      </w:pPr>
      <w:r w:rsidDel="00000000" w:rsidR="00000000" w:rsidRPr="00000000">
        <w:rPr>
          <w:b w:val="1"/>
          <w:bCs w:val="1"/>
          <w:color w:val="1f3864"/>
          <w:sz w:val="22"/>
          <w:szCs w:val="22"/>
          <w:rtl w:val="0"/>
        </w:rPr>
        <w:t xml:space="preserve">5.3. Hipótesis de iniciativa para DC2: agente de investigación asistida de reclamos</w:t>
      </w:r>
      <w:r w:rsidDel="00000000" w:rsidR="00000000" w:rsidRPr="00000000">
        <w:rPr>
          <w:rtl w:val="0"/>
        </w:rPr>
      </w:r>
    </w:p>
    <w:p w:rsidR="00000000" w:rsidDel="00000000" w:rsidP="00000000" w:rsidRDefault="00000000" w:rsidRPr="00000000" w14:paraId="00000030">
      <w:pPr>
        <w:spacing w:after="200" w:before="0" w:line="360" w:lineRule="auto"/>
        <w:jc w:val="both"/>
        <w:rPr/>
      </w:pPr>
      <w:r w:rsidDel="00000000" w:rsidR="00000000" w:rsidRPr="00000000">
        <w:rPr>
          <w:b w:val="1"/>
          <w:bCs w:val="1"/>
          <w:rtl w:val="0"/>
        </w:rPr>
        <w:t xml:space="preserve">Nombre de la hipótesis.</w:t>
      </w:r>
      <w:r w:rsidDel="00000000" w:rsidR="00000000" w:rsidRPr="00000000">
        <w:rPr>
          <w:rtl w:val="0"/>
        </w:rPr>
        <w:t xml:space="preserve"> Extensión del asistente Blue Buddy hacia un agente de investigación de casos para reclamos por operaciones no reconocidas.</w:t>
      </w:r>
    </w:p>
    <w:p w:rsidR="00000000" w:rsidDel="00000000" w:rsidP="00000000" w:rsidRDefault="00000000" w:rsidRPr="00000000" w14:paraId="00000031">
      <w:pPr>
        <w:spacing w:after="200" w:before="0" w:line="360" w:lineRule="auto"/>
        <w:jc w:val="both"/>
        <w:rPr/>
      </w:pPr>
      <w:r w:rsidDel="00000000" w:rsidR="00000000" w:rsidRPr="00000000">
        <w:rPr>
          <w:b w:val="1"/>
          <w:bCs w:val="1"/>
          <w:rtl w:val="0"/>
        </w:rPr>
        <w:t xml:space="preserve">Formulación.</w:t>
      </w:r>
      <w:r w:rsidDel="00000000" w:rsidR="00000000" w:rsidRPr="00000000">
        <w:rPr>
          <w:rtl w:val="0"/>
        </w:rPr>
        <w:t xml:space="preserve"> Blue Buddy ya opera como herramienta de soporte interno con 90 % de adopción entre la red de atención de BBVA Perú </w:t>
      </w:r>
      <w:r w:rsidDel="00000000" w:rsidR="00000000" w:rsidRPr="00000000">
        <w:rPr>
          <w:i w:val="1"/>
          <w:iCs w:val="1"/>
          <w:rtl w:val="0"/>
        </w:rPr>
        <w:t xml:space="preserve">(Banco BBVA Perú, 2026a, p. 4, según Tabla 16 y su nota)</w:t>
      </w:r>
      <w:r w:rsidDel="00000000" w:rsidR="00000000" w:rsidRPr="00000000">
        <w:rPr>
          <w:rtl w:val="0"/>
        </w:rPr>
        <w:t xml:space="preserve">, pero su función actual es informativa: muestra al asesor el ciclo de vida del caso, no lo investiga. Si esa capacidad se extiende a un agente que cruza automáticamente las trazas transaccionales, las señales de comportamiento y el historial de casos similares entre los sistemas de fraude, operaciones y atención, y produce un expediente estructurado con una recomendación preliminar —proceder con abono provisional o escalar a revisión especializada—, entonces el analista humano deja de ejecutar manualmente la "revisión de las trazas de la operación y consulta de su ciclo de vida mediante las herramientas internas" que hoy describe la capa de soporte no visible del </w:t>
      </w:r>
      <w:r w:rsidDel="00000000" w:rsidR="00000000" w:rsidRPr="00000000">
        <w:rPr>
          <w:i w:val="1"/>
          <w:iCs w:val="1"/>
          <w:rtl w:val="0"/>
        </w:rPr>
        <w:t xml:space="preserve">service blueprint</w:t>
      </w:r>
      <w:r w:rsidDel="00000000" w:rsidR="00000000" w:rsidRPr="00000000">
        <w:rPr>
          <w:rtl w:val="0"/>
        </w:rPr>
        <w:t xml:space="preserve"> (Tabla 16) y pasa a validar una propuesta ya construida. Esto ataca de forma directa el dolor D7 —el tiempo promedio ponderado de absolución de 11.29 días frente al promedio general de la entidad de 8.02 días— sin renunciar a la decisión humana final, dado que el reglamento de la SBS exige que la entidad sustente la procedencia del reclamo (SBS, 2022).</w:t>
      </w:r>
    </w:p>
    <w:p w:rsidR="00000000" w:rsidDel="00000000" w:rsidP="00000000" w:rsidRDefault="00000000" w:rsidRPr="00000000" w14:paraId="00000032">
      <w:pPr>
        <w:spacing w:after="200" w:before="0" w:line="360" w:lineRule="auto"/>
        <w:jc w:val="both"/>
        <w:rPr/>
      </w:pPr>
      <w:r w:rsidDel="00000000" w:rsidR="00000000" w:rsidRPr="00000000">
        <w:rPr>
          <w:b w:val="1"/>
          <w:bCs w:val="1"/>
          <w:rtl w:val="0"/>
        </w:rPr>
        <w:t xml:space="preserve">Sustento de mercado.</w:t>
      </w:r>
      <w:r w:rsidDel="00000000" w:rsidR="00000000" w:rsidRPr="00000000">
        <w:rPr>
          <w:rtl w:val="0"/>
        </w:rPr>
        <w:t xml:space="preserve"> En el segmento de disputas y contracargos, la automatización con IA permite reducir la recopilación de evidencia de veinte o treinta minutos a menos de dos, y llevar la resolución de casos simples de semanas a horas, resolviendo de forma autónoma entre 70 % y 80 % de los casos cuando los hechos son claros </w:t>
      </w:r>
      <w:commentRangeStart w:id="14"/>
      <w:r w:rsidDel="00000000" w:rsidR="00000000" w:rsidRPr="00000000">
        <w:rPr>
          <w:i w:val="1"/>
          <w:iCs w:val="1"/>
          <w:rtl w:val="0"/>
        </w:rPr>
        <w:t xml:space="preserve">(Backbase, 2026)</w:t>
      </w:r>
      <w:commentRangeEnd w:id="14"/>
      <w:r>
        <w:rPr>
          <w:rStyle w:val="CommentReference"/>
        </w:rPr>
        <w:commentReference w:id="14"/>
      </w:r>
      <w:r w:rsidDel="00000000" w:rsidR="00000000" w:rsidRPr="00000000">
        <w:rPr>
          <w:rtl w:val="0"/>
        </w:rPr>
        <w:t xml:space="preserve">. Otra fuente reporta hasta 60 % de reducción en la carga de trabajo del analista y 40 % de reducción en el tiempo total de procesamiento de la disputa </w:t>
      </w:r>
      <w:r w:rsidDel="00000000" w:rsidR="00000000" w:rsidRPr="00000000">
        <w:rPr>
          <w:i w:val="1"/>
          <w:iCs w:val="1"/>
          <w:rtl w:val="0"/>
        </w:rPr>
        <w:t xml:space="preserve">(Kore.ai, 2026)</w:t>
      </w:r>
      <w:r w:rsidDel="00000000" w:rsidR="00000000" w:rsidRPr="00000000">
        <w:rPr>
          <w:rtl w:val="0"/>
        </w:rPr>
        <w:t xml:space="preserve">. Ambas cifras provienen de mercados con volúmenes de disputas muy superiores al de BBVA Perú y no constituyen una proyección propia de la entidad; se emplean como referencia del orden de magnitud alcanzable, no como meta comprometida.</w:t>
      </w:r>
    </w:p>
    <w:p w:rsidR="00000000" w:rsidDel="00000000" w:rsidP="00000000" w:rsidRDefault="00000000" w:rsidRPr="00000000" w14:paraId="00000033">
      <w:pPr>
        <w:spacing w:after="200" w:before="0" w:line="360" w:lineRule="auto"/>
        <w:jc w:val="both"/>
        <w:rPr/>
      </w:pPr>
      <w:r w:rsidDel="00000000" w:rsidR="00000000" w:rsidRPr="00000000">
        <w:rPr>
          <w:b w:val="1"/>
          <w:bCs w:val="1"/>
          <w:rtl w:val="0"/>
        </w:rPr>
        <w:t xml:space="preserve">Por qué es océano azul y no una imitación.</w:t>
      </w:r>
      <w:r w:rsidDel="00000000" w:rsidR="00000000" w:rsidRPr="00000000">
        <w:rPr>
          <w:rtl w:val="0"/>
        </w:rPr>
        <w:t xml:space="preserve"> La exposición sancionatoria por este tipo de reclamos es un problema de todo el sector —el 90 % de las sanciones de Indecopi por esta materia recayó en el sistema financiero entre 2021 y marzo de 2025 (Andina, 2025)— y BBVA fue identificado entre las cinco entidades con mayor número de infracciones (Alarcón, 2023). Ningún competidor peruano ha hecho pública una mejora sustantiva en el tiempo de resolución de este tipo específico de reclamo; convertir un centro de costo regulatorio en una ventaja de experiencia —ser la entidad que resuelve de forma consistente más cerca de su propio promedio general que del plazo regulatorio máximo— es un atributo que hoy nadie en el mercado peruano reclama para sí.</w:t>
      </w:r>
    </w:p>
    <w:p w:rsidR="00000000" w:rsidDel="00000000" w:rsidP="00000000" w:rsidRDefault="00000000" w:rsidRPr="00000000" w14:paraId="00000034">
      <w:pPr>
        <w:spacing w:after="0" w:before="200" w:line="240" w:lineRule="auto"/>
        <w:rPr/>
      </w:pPr>
      <w:r w:rsidDel="00000000" w:rsidR="00000000" w:rsidRPr="00000000">
        <w:rPr>
          <w:b w:val="1"/>
          <w:bCs w:val="1"/>
          <w:rtl w:val="0"/>
        </w:rPr>
        <w:t xml:space="preserve">Tabla 28</w:t>
      </w:r>
      <w:r w:rsidDel="00000000" w:rsidR="00000000" w:rsidRPr="00000000">
        <w:rPr>
          <w:rtl w:val="0"/>
        </w:rPr>
      </w:r>
    </w:p>
    <w:p w:rsidR="00000000" w:rsidDel="00000000" w:rsidP="00000000" w:rsidRDefault="00000000" w:rsidRPr="00000000" w14:paraId="00000035">
      <w:pPr>
        <w:spacing w:after="120" w:before="0" w:line="240" w:lineRule="auto"/>
        <w:rPr/>
      </w:pPr>
      <w:r w:rsidDel="00000000" w:rsidR="00000000" w:rsidRPr="00000000">
        <w:rPr>
          <w:i w:val="1"/>
          <w:iCs w:val="1"/>
          <w:rtl w:val="0"/>
        </w:rPr>
        <w:t xml:space="preserve">Matriz ERRC — Agente de investigación asistida de reclamos</w:t>
      </w:r>
      <w:r w:rsidDel="00000000" w:rsidR="00000000" w:rsidRPr="00000000">
        <w:rPr>
          <w:rtl w:val="0"/>
        </w:rPr>
      </w:r>
    </w:p>
    <w:tbl>
      <w:tblPr>
        <w:tblStyle w:val="Table2"/>
        <w:tblW w:w="9900.0" w:type="dxa"/>
        <w:jc w:val="left"/>
        <w:tblBorders>
          <w:top w:color="8496b0" w:space="0" w:sz="4" w:val="single"/>
          <w:left w:color="8496b0" w:space="0" w:sz="4" w:val="single"/>
          <w:bottom w:color="8496b0" w:space="0" w:sz="4" w:val="single"/>
          <w:right w:color="8496b0" w:space="0" w:sz="4" w:val="single"/>
          <w:insideH w:color="b4c6e7" w:space="0" w:sz="4" w:val="single"/>
          <w:insideV w:color="b4c6e7" w:space="0" w:sz="4" w:val="single"/>
        </w:tblBorders>
        <w:tblLayout w:type="fixed"/>
        <w:tblLook w:val="0000"/>
      </w:tblPr>
      <w:tblGrid>
        <w:gridCol w:w="1600"/>
        <w:gridCol w:w="8300"/>
        <w:tblGridChange w:id="0">
          <w:tblGrid>
            <w:gridCol w:w="1600"/>
            <w:gridCol w:w="8300"/>
          </w:tblGrid>
        </w:tblGridChange>
      </w:tblGrid>
      <w:tr>
        <w:trPr>
          <w:cantSplit w:val="0"/>
          <w:tblHeader w:val="1"/>
        </w:trPr>
        <w:tc>
          <w:tcPr>
            <w:tcBorders>
              <w:top w:color="b4c6e7" w:space="0" w:sz="4" w:val="single"/>
              <w:left w:color="b4c6e7" w:space="0" w:sz="4" w:val="single"/>
              <w:bottom w:color="b4c6e7" w:space="0" w:sz="4" w:val="single"/>
              <w:right w:color="b4c6e7"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036">
            <w:pPr>
              <w:spacing w:after="0" w:line="240" w:lineRule="auto"/>
              <w:jc w:val="center"/>
              <w:rPr/>
            </w:pPr>
            <w:r w:rsidDel="00000000" w:rsidR="00000000" w:rsidRPr="00000000">
              <w:rPr>
                <w:b w:val="1"/>
                <w:bCs w:val="1"/>
                <w:color w:val="ffffff"/>
                <w:rtl w:val="0"/>
              </w:rPr>
              <w:t xml:space="preserve">Acción</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037">
            <w:pPr>
              <w:spacing w:after="0" w:line="240" w:lineRule="auto"/>
              <w:jc w:val="center"/>
              <w:rPr/>
            </w:pPr>
            <w:r w:rsidDel="00000000" w:rsidR="00000000" w:rsidRPr="00000000">
              <w:rPr>
                <w:b w:val="1"/>
                <w:bCs w:val="1"/>
                <w:color w:val="ffffff"/>
                <w:rtl w:val="0"/>
              </w:rPr>
              <w:t xml:space="preserve">Descripción</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14:paraId="00000038">
            <w:pPr>
              <w:spacing w:after="0" w:line="240" w:lineRule="auto"/>
              <w:jc w:val="both"/>
              <w:rPr/>
            </w:pPr>
            <w:r w:rsidDel="00000000" w:rsidR="00000000" w:rsidRPr="00000000">
              <w:rPr>
                <w:b w:val="1"/>
                <w:bCs w:val="1"/>
                <w:rtl w:val="0"/>
              </w:rPr>
              <w:t xml:space="preserve">Eliminar</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14:paraId="00000039">
            <w:pPr>
              <w:spacing w:after="0" w:line="240" w:lineRule="auto"/>
              <w:jc w:val="both"/>
              <w:rPr/>
            </w:pPr>
            <w:r w:rsidDel="00000000" w:rsidR="00000000" w:rsidRPr="00000000">
              <w:rPr>
                <w:rtl w:val="0"/>
              </w:rPr>
              <w:t xml:space="preserve">La revisión manual y secuencial de trazas transaccionales dispersas entre los sistemas de fraude, operaciones y atención al cliente durante la etapa de investigación (Tabla 16).</w:t>
            </w:r>
          </w:p>
        </w:tc>
      </w:tr>
      <w:tr>
        <w:trPr>
          <w:cantSplit w:val="0"/>
          <w:tblHeader w:val="0"/>
        </w:trPr>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14:paraId="0000003A">
            <w:pPr>
              <w:spacing w:after="0" w:line="240" w:lineRule="auto"/>
              <w:jc w:val="both"/>
              <w:rPr/>
            </w:pPr>
            <w:r w:rsidDel="00000000" w:rsidR="00000000" w:rsidRPr="00000000">
              <w:rPr>
                <w:b w:val="1"/>
                <w:bCs w:val="1"/>
                <w:rtl w:val="0"/>
              </w:rPr>
              <w:t xml:space="preserve">Reducir</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14:paraId="0000003B">
            <w:pPr>
              <w:spacing w:after="0" w:line="240" w:lineRule="auto"/>
              <w:jc w:val="both"/>
              <w:rPr/>
            </w:pPr>
            <w:r w:rsidDel="00000000" w:rsidR="00000000" w:rsidRPr="00000000">
              <w:rPr>
                <w:rtl w:val="0"/>
              </w:rPr>
              <w:t xml:space="preserve">El tiempo en que el cliente permanece sin visibilidad del estado de su caso; la intervención humana de primer nivel en los reclamos de bajo riesgo y hechos claramente verificables.</w:t>
            </w:r>
          </w:p>
        </w:tc>
      </w:tr>
      <w:tr>
        <w:trPr>
          <w:cantSplit w:val="0"/>
          <w:tblHeader w:val="0"/>
        </w:trPr>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14:paraId="0000003C">
            <w:pPr>
              <w:spacing w:after="0" w:line="240" w:lineRule="auto"/>
              <w:jc w:val="both"/>
              <w:rPr/>
            </w:pPr>
            <w:r w:rsidDel="00000000" w:rsidR="00000000" w:rsidRPr="00000000">
              <w:rPr>
                <w:b w:val="1"/>
                <w:bCs w:val="1"/>
                <w:rtl w:val="0"/>
              </w:rPr>
              <w:t xml:space="preserve">Elevar</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14:paraId="0000003D">
            <w:pPr>
              <w:spacing w:after="0" w:line="240" w:lineRule="auto"/>
              <w:jc w:val="both"/>
              <w:rPr/>
            </w:pPr>
            <w:r w:rsidDel="00000000" w:rsidR="00000000" w:rsidRPr="00000000">
              <w:rPr>
                <w:rtl w:val="0"/>
              </w:rPr>
              <w:t xml:space="preserve">La trazabilidad del caso para el cliente, extendiendo a la interacción con el cliente la lógica de Blue Buddy ya validada internamente; la proximidad del tiempo de resolución de esta materia (11.29 días) al promedio general de la entidad (8.02 días).</w:t>
            </w:r>
          </w:p>
        </w:tc>
      </w:tr>
      <w:tr>
        <w:trPr>
          <w:cantSplit w:val="0"/>
          <w:tblHeader w:val="0"/>
        </w:trPr>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14:paraId="0000003E">
            <w:pPr>
              <w:spacing w:after="0" w:line="240" w:lineRule="auto"/>
              <w:jc w:val="both"/>
              <w:rPr/>
            </w:pPr>
            <w:r w:rsidDel="00000000" w:rsidR="00000000" w:rsidRPr="00000000">
              <w:rPr>
                <w:b w:val="1"/>
                <w:bCs w:val="1"/>
                <w:rtl w:val="0"/>
              </w:rPr>
              <w:t xml:space="preserve">Crear</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14:paraId="0000003F">
            <w:pPr>
              <w:spacing w:after="0" w:line="240" w:lineRule="auto"/>
              <w:jc w:val="both"/>
              <w:rPr/>
            </w:pPr>
            <w:r w:rsidDel="00000000" w:rsidR="00000000" w:rsidRPr="00000000">
              <w:rPr>
                <w:rtl w:val="0"/>
              </w:rPr>
              <w:t xml:space="preserve">Un expediente de caso generado automáticamente por el agente, con recomendación explicable y veedor humano obligatorio antes de la resolución final, como resguardo prudencial frente al estándar de supervisión humana que la SBS exige para decisiones basadas en IA (Ramírez Huancayo, 2026), aplicado aquí por prudencia aunque la norma referida rige directamente decisiones de crédito.</w:t>
            </w:r>
          </w:p>
        </w:tc>
      </w:tr>
    </w:tbl>
    <w:p w:rsidR="00000000" w:rsidDel="00000000" w:rsidP="00000000" w:rsidRDefault="00000000" w:rsidRPr="00000000" w14:paraId="00000040">
      <w:pPr>
        <w:spacing w:after="200" w:lineRule="auto"/>
        <w:rPr/>
      </w:pPr>
      <w:r w:rsidDel="00000000" w:rsidR="00000000" w:rsidRPr="00000000">
        <w:rPr>
          <w:rtl w:val="0"/>
        </w:rPr>
      </w:r>
    </w:p>
    <w:p w:rsidR="00000000" w:rsidDel="00000000" w:rsidP="00000000" w:rsidRDefault="00000000" w:rsidRPr="00000000" w14:paraId="00000041">
      <w:pPr>
        <w:spacing w:after="200" w:before="0" w:line="360" w:lineRule="auto"/>
        <w:jc w:val="both"/>
        <w:rPr/>
      </w:pPr>
      <w:r w:rsidDel="00000000" w:rsidR="00000000" w:rsidRPr="00000000">
        <w:rPr>
          <w:b w:val="1"/>
          <w:bCs w:val="1"/>
          <w:rtl w:val="0"/>
        </w:rPr>
        <w:t xml:space="preserve">Indicador de éxito esperado.</w:t>
      </w:r>
      <w:r w:rsidDel="00000000" w:rsidR="00000000" w:rsidRPr="00000000">
        <w:rPr>
          <w:rtl w:val="0"/>
        </w:rPr>
        <w:t xml:space="preserve"> Tiempo promedio de absolución </w:t>
      </w:r>
      <w:commentRangeStart w:id="11"/>
      <w:r w:rsidDel="00000000" w:rsidR="00000000" w:rsidRPr="00000000">
        <w:rPr>
          <w:rtl w:val="0"/>
        </w:rPr>
        <w:t xml:space="preserve">(línea base 11.29 días, meta converger al promedio general de la entidad de 8.02 días)</w:t>
      </w:r>
      <w:commentRangeEnd w:id="11"/>
      <w:r>
        <w:rPr>
          <w:rStyle w:val="CommentReference"/>
        </w:rPr>
        <w:commentReference w:id="11"/>
      </w:r>
      <w:r w:rsidDel="00000000" w:rsidR="00000000" w:rsidRPr="00000000">
        <w:rPr>
          <w:rtl w:val="0"/>
        </w:rPr>
        <w:t xml:space="preserve"> e incidencia de reclamos de la materia por cada cien mil operaciones, conforme a la Tabla 24 del Entregable 2.</w:t>
      </w:r>
    </w:p>
    <w:p w:rsidR="00000000" w:rsidDel="00000000" w:rsidP="00000000" w:rsidRDefault="00000000" w:rsidRPr="00000000" w14:paraId="00000042">
      <w:pPr>
        <w:pStyle w:val="Heading2"/>
        <w:spacing w:after="160" w:before="260" w:line="360" w:lineRule="auto"/>
        <w:rPr>
          <w:sz w:val="22"/>
          <w:szCs w:val="22"/>
        </w:rPr>
      </w:pPr>
      <w:r w:rsidDel="00000000" w:rsidR="00000000" w:rsidRPr="00000000">
        <w:rPr>
          <w:b w:val="1"/>
          <w:bCs w:val="1"/>
          <w:color w:val="1f3864"/>
          <w:sz w:val="22"/>
          <w:szCs w:val="22"/>
          <w:rtl w:val="0"/>
        </w:rPr>
        <w:t xml:space="preserve">5.4. Hipótesis de iniciativa para DC3: agente de verificación progresiva en la contratación digital</w:t>
      </w:r>
      <w:r w:rsidDel="00000000" w:rsidR="00000000" w:rsidRPr="00000000">
        <w:rPr>
          <w:rtl w:val="0"/>
        </w:rPr>
      </w:r>
    </w:p>
    <w:p w:rsidR="00000000" w:rsidDel="00000000" w:rsidP="00000000" w:rsidRDefault="00000000" w:rsidRPr="00000000" w14:paraId="00000043">
      <w:pPr>
        <w:spacing w:after="200" w:before="0" w:line="360" w:lineRule="auto"/>
        <w:jc w:val="both"/>
        <w:rPr/>
      </w:pPr>
      <w:r w:rsidDel="00000000" w:rsidR="00000000" w:rsidRPr="00000000">
        <w:rPr>
          <w:b w:val="1"/>
          <w:bCs w:val="1"/>
          <w:rtl w:val="0"/>
        </w:rPr>
        <w:t xml:space="preserve">Nombre de la hipótesis.</w:t>
      </w:r>
      <w:r w:rsidDel="00000000" w:rsidR="00000000" w:rsidRPr="00000000">
        <w:rPr>
          <w:rtl w:val="0"/>
        </w:rPr>
        <w:t xml:space="preserve"> Agente conversacional de contratación con verificación de identidad progresiva y asíncrona, integrado al proceso 100 % digital ya lanzado por BBVA Perú a inicios de 2026.</w:t>
      </w:r>
    </w:p>
    <w:p w:rsidR="00000000" w:rsidDel="00000000" w:rsidP="00000000" w:rsidRDefault="00000000" w:rsidRPr="00000000" w14:paraId="00000044">
      <w:pPr>
        <w:spacing w:after="200" w:before="0" w:line="360" w:lineRule="auto"/>
        <w:jc w:val="both"/>
        <w:rPr/>
      </w:pPr>
      <w:r w:rsidDel="00000000" w:rsidR="00000000" w:rsidRPr="00000000">
        <w:rPr>
          <w:b w:val="1"/>
          <w:bCs w:val="1"/>
          <w:rtl w:val="0"/>
        </w:rPr>
        <w:t xml:space="preserve">Formulación.</w:t>
      </w:r>
      <w:r w:rsidDel="00000000" w:rsidR="00000000" w:rsidRPr="00000000">
        <w:rPr>
          <w:rtl w:val="0"/>
        </w:rPr>
        <w:t xml:space="preserve"> El proceso íntegramente digital descrito en el Anexo B permite a una persona no cliente contratar en menos de cinco minutos, pero se interrumpe por completo —con derivación a oficina física— cuando el solicitante es menor de edad o presenta carné de extranjería </w:t>
      </w:r>
      <w:r w:rsidDel="00000000" w:rsidR="00000000" w:rsidRPr="00000000">
        <w:rPr>
          <w:i w:val="1"/>
          <w:iCs w:val="1"/>
          <w:rtl w:val="0"/>
        </w:rPr>
        <w:t xml:space="preserve">(A. Moquillaza, comunicación personal, 11 de setiembre de 2026)</w:t>
      </w:r>
      <w:r w:rsidDel="00000000" w:rsidR="00000000" w:rsidRPr="00000000">
        <w:rPr>
          <w:rtl w:val="0"/>
        </w:rPr>
        <w:t xml:space="preserve">. Si en lugar de interrumpir el flujo el agente conversacional gestiona la verificación adicional que ese perfil requiere de forma progresiva y asíncrona dentro del mismo canal —por ejemplo, solicitando el documento o la autorización faltante sin cerrar la conversación ni exigir presencialidad inmediata—, entonces una proporción del 67 % de cuentas hoy contratadas por canal asistido podría completarse íntegramente en digital. Esto ataca el dolor D9 —la penetración digital de 33 % en cuentas, con retroceso frente al cierre de 2025— y el dolor D11 —la interrupción del flujo ante perfiles no contemplados—, ambos integrados en DC3.</w:t>
      </w:r>
    </w:p>
    <w:p w:rsidR="00000000" w:rsidDel="00000000" w:rsidP="00000000" w:rsidRDefault="00000000" w:rsidRPr="00000000" w14:paraId="00000045">
      <w:pPr>
        <w:spacing w:after="200" w:before="0" w:line="360" w:lineRule="auto"/>
        <w:jc w:val="both"/>
        <w:rPr/>
      </w:pPr>
      <w:r w:rsidDel="00000000" w:rsidR="00000000" w:rsidRPr="00000000">
        <w:rPr>
          <w:b w:val="1"/>
          <w:bCs w:val="1"/>
          <w:rtl w:val="0"/>
        </w:rPr>
        <w:t xml:space="preserve">Sustento de mercado.</w:t>
      </w:r>
      <w:r w:rsidDel="00000000" w:rsidR="00000000" w:rsidRPr="00000000">
        <w:rPr>
          <w:rtl w:val="0"/>
        </w:rPr>
        <w:t xml:space="preserve"> La automatización conversacional del onboarding bancario reduce el abandono de solicitudes hasta en 18 % y disminuye la carga manual de verificación de identidad </w:t>
      </w:r>
      <w:commentRangeStart w:id="15"/>
      <w:r w:rsidDel="00000000" w:rsidR="00000000" w:rsidRPr="00000000">
        <w:rPr>
          <w:i w:val="1"/>
          <w:iCs w:val="1"/>
          <w:rtl w:val="0"/>
        </w:rPr>
        <w:t xml:space="preserve">(Kore.ai, 2026)</w:t>
      </w:r>
      <w:commentRangeEnd w:id="15"/>
      <w:r>
        <w:rPr>
          <w:rStyle w:val="CommentReference"/>
        </w:rPr>
        <w:commentReference w:id="15"/>
      </w:r>
      <w:r w:rsidDel="00000000" w:rsidR="00000000" w:rsidRPr="00000000">
        <w:rPr>
          <w:rtl w:val="0"/>
        </w:rPr>
        <w:t xml:space="preserve">. En Perú, Mibanco ya opera un agente de IA agéntica sobre WhatsApp capaz de abrir cuentas de ahorro de forma autónoma, con el 80 % de sus usuarios siendo clientes nuevos sin cuenta previa y un tiempo promedio de dos minutos por transacción </w:t>
      </w:r>
      <w:r w:rsidDel="00000000" w:rsidR="00000000" w:rsidRPr="00000000">
        <w:rPr>
          <w:i w:val="1"/>
          <w:iCs w:val="1"/>
          <w:rtl w:val="0"/>
        </w:rPr>
        <w:t xml:space="preserve">(PressPerú, 2026)</w:t>
      </w:r>
      <w:r w:rsidDel="00000000" w:rsidR="00000000" w:rsidRPr="00000000">
        <w:rPr>
          <w:rtl w:val="0"/>
        </w:rPr>
        <w:t xml:space="preserve">; el BCP, por su parte, reporta que su voicebot redujo la tasa de abandono de llamadas de aproximadamente 50 % a menos de 10 % y el tiempo de respuesta de dos minutos a menos de quince segundos, aunque circunscrito a consultas informativas, con una segunda fase transaccional aún pendiente </w:t>
      </w:r>
      <w:r w:rsidDel="00000000" w:rsidR="00000000" w:rsidRPr="00000000">
        <w:rPr>
          <w:i w:val="1"/>
          <w:iCs w:val="1"/>
          <w:rtl w:val="0"/>
        </w:rPr>
        <w:t xml:space="preserve">(Mestanza Arquiñigo, 2024)</w:t>
      </w:r>
      <w:r w:rsidDel="00000000" w:rsidR="00000000" w:rsidRPr="00000000">
        <w:rPr>
          <w:rtl w:val="0"/>
        </w:rPr>
        <w:t xml:space="preserve">.</w:t>
      </w:r>
      <w:r>
        <w:t xml:space="preserve"> A escala global, la tendencia no se limita a agentes bancarios transaccionales: en setiembre de 2026, Revolut lanzó en España y el resto de Europa un asistente conversacional de IA (Air) capaz de gestionar gastos, suscripciones, inversiones y beneficios de fidelización dentro de una misma conversación </w:t>
      </w:r>
      <w:r>
        <w:rPr>
          <w:i/>
        </w:rPr>
        <w:t>(Europa Press, 2026)</w:t>
      </w:r>
      <w:r>
        <w:t>, lo que confirma que el mercado se desplaza hacia agentes de alcance amplio dentro de la experiencia financiera del usuario y no solo hacia bots de consulta puntual.</w:t>
      </w:r>
    </w:p>
    <w:p w:rsidR="00000000" w:rsidDel="00000000" w:rsidP="00000000" w:rsidRDefault="00000000" w:rsidRPr="00000000" w14:paraId="00000046">
      <w:pPr>
        <w:spacing w:after="200" w:before="0" w:line="360" w:lineRule="auto"/>
        <w:jc w:val="both"/>
        <w:rPr/>
      </w:pPr>
      <w:r w:rsidDel="00000000" w:rsidR="00000000" w:rsidRPr="00000000">
        <w:rPr>
          <w:b w:val="1"/>
          <w:bCs w:val="1"/>
          <w:rtl w:val="0"/>
        </w:rPr>
        <w:t xml:space="preserve">Por qué es océano azul y no una imitación.</w:t>
      </w:r>
      <w:r w:rsidDel="00000000" w:rsidR="00000000" w:rsidRPr="00000000">
        <w:rPr>
          <w:rtl w:val="0"/>
        </w:rPr>
        <w:t xml:space="preserve"> Que Mibanco y el BCP ya operen agentes conversacionales confirma que el canal conversacional en sí mismo es hoy un atributo de océano rojo: todo banco relevante del sistema se moverá hacia él. La evidencia pública no muestra que algún competidor peruano haya resuelto específicamente la verificación de perfiles borde sin derivación presencial; ese es el atributo puntual que esta hipótesis propone crear, y es el que convierte una función ya comoditizada —"conversar con un agente"— en una ventaja específica y medible frente al 67 % de cuentas que hoy se pierden hacia el canal asistido.</w:t>
      </w:r>
    </w:p>
    <w:p>
      <w:pPr>
        <w:spacing w:after="200" w:before="0" w:line="360" w:lineRule="auto"/>
        <w:jc w:val="both"/>
        <w:rPr/>
      </w:pPr>
      <w:r>
        <w:rPr>
          <w:b w:val="1"/>
          <w:bCs w:val="1"/>
          <w:rtl w:val="0"/>
        </w:rPr>
        <w:t xml:space="preserve">Vínculo con el catálogo de servicios de TI.</w:t>
      </w:r>
      <w:r>
        <w:rPr>
          <w:rtl w:val="0"/>
        </w:rPr>
        <w:t xml:space="preserve"> Bajo el marco capacidad de negocio – servicio de TI trabajado en el curso, el proceso “Contratación de productos por canal digital” —que el equipo prioriza a partir de esta entrega y que puede modelarse como la capacidad de negocio que sostiene al dolor DC3— exige que el agente conversacional propuesto se registre como un servicio de TI explícito y no como una funcionalidad aislada: con un dueño de servicio definido, un nivel de disponibilidad comprometido y un lugar propio dentro del catálogo de servicios de BBVA Perú, conforme a la práctica de gestión de catálogo de servicios de ITIL4 para todo servicio que sostenga una capacidad de negocio priorizada.</w:t>
      </w:r>
    </w:p>
    <w:p w:rsidR="00000000" w:rsidDel="00000000" w:rsidP="00000000" w:rsidRDefault="00000000" w:rsidRPr="00000000" w14:paraId="00000047">
      <w:pPr>
        <w:spacing w:after="0" w:before="200" w:line="240" w:lineRule="auto"/>
        <w:rPr/>
      </w:pPr>
      <w:r w:rsidDel="00000000" w:rsidR="00000000" w:rsidRPr="00000000">
        <w:rPr>
          <w:b w:val="1"/>
          <w:bCs w:val="1"/>
          <w:rtl w:val="0"/>
        </w:rPr>
        <w:t xml:space="preserve">Tabla 29</w:t>
      </w:r>
      <w:r w:rsidDel="00000000" w:rsidR="00000000" w:rsidRPr="00000000">
        <w:rPr>
          <w:rtl w:val="0"/>
        </w:rPr>
      </w:r>
    </w:p>
    <w:p w:rsidR="00000000" w:rsidDel="00000000" w:rsidP="00000000" w:rsidRDefault="00000000" w:rsidRPr="00000000" w14:paraId="00000048">
      <w:pPr>
        <w:spacing w:after="120" w:before="0" w:line="240" w:lineRule="auto"/>
        <w:rPr/>
      </w:pPr>
      <w:r w:rsidDel="00000000" w:rsidR="00000000" w:rsidRPr="00000000">
        <w:rPr>
          <w:i w:val="1"/>
          <w:iCs w:val="1"/>
          <w:rtl w:val="0"/>
        </w:rPr>
        <w:t xml:space="preserve">Matriz ERRC — Agente de verificación progresiva en la contratación digital</w:t>
      </w:r>
      <w:r w:rsidDel="00000000" w:rsidR="00000000" w:rsidRPr="00000000">
        <w:rPr>
          <w:rtl w:val="0"/>
        </w:rPr>
      </w:r>
    </w:p>
    <w:tbl>
      <w:tblPr>
        <w:tblStyle w:val="Table3"/>
        <w:tblW w:w="9900.0" w:type="dxa"/>
        <w:jc w:val="left"/>
        <w:tblBorders>
          <w:top w:color="8496b0" w:space="0" w:sz="4" w:val="single"/>
          <w:left w:color="8496b0" w:space="0" w:sz="4" w:val="single"/>
          <w:bottom w:color="8496b0" w:space="0" w:sz="4" w:val="single"/>
          <w:right w:color="8496b0" w:space="0" w:sz="4" w:val="single"/>
          <w:insideH w:color="b4c6e7" w:space="0" w:sz="4" w:val="single"/>
          <w:insideV w:color="b4c6e7" w:space="0" w:sz="4" w:val="single"/>
        </w:tblBorders>
        <w:tblLayout w:type="fixed"/>
        <w:tblLook w:val="0000"/>
      </w:tblPr>
      <w:tblGrid>
        <w:gridCol w:w="1600"/>
        <w:gridCol w:w="8300"/>
        <w:tblGridChange w:id="0">
          <w:tblGrid>
            <w:gridCol w:w="1600"/>
            <w:gridCol w:w="8300"/>
          </w:tblGrid>
        </w:tblGridChange>
      </w:tblGrid>
      <w:tr>
        <w:trPr>
          <w:cantSplit w:val="0"/>
          <w:tblHeader w:val="1"/>
        </w:trPr>
        <w:tc>
          <w:tcPr>
            <w:tcBorders>
              <w:top w:color="b4c6e7" w:space="0" w:sz="4" w:val="single"/>
              <w:left w:color="b4c6e7" w:space="0" w:sz="4" w:val="single"/>
              <w:bottom w:color="b4c6e7" w:space="0" w:sz="4" w:val="single"/>
              <w:right w:color="b4c6e7"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049">
            <w:pPr>
              <w:spacing w:after="0" w:line="240" w:lineRule="auto"/>
              <w:jc w:val="center"/>
              <w:rPr/>
            </w:pPr>
            <w:r w:rsidDel="00000000" w:rsidR="00000000" w:rsidRPr="00000000">
              <w:rPr>
                <w:b w:val="1"/>
                <w:bCs w:val="1"/>
                <w:color w:val="ffffff"/>
                <w:rtl w:val="0"/>
              </w:rPr>
              <w:t xml:space="preserve">Acción</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04A">
            <w:pPr>
              <w:spacing w:after="0" w:line="240" w:lineRule="auto"/>
              <w:jc w:val="center"/>
              <w:rPr/>
            </w:pPr>
            <w:r w:rsidDel="00000000" w:rsidR="00000000" w:rsidRPr="00000000">
              <w:rPr>
                <w:b w:val="1"/>
                <w:bCs w:val="1"/>
                <w:color w:val="ffffff"/>
                <w:rtl w:val="0"/>
              </w:rPr>
              <w:t xml:space="preserve">Descripción</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14:paraId="0000004B">
            <w:pPr>
              <w:spacing w:after="0" w:line="240" w:lineRule="auto"/>
              <w:jc w:val="both"/>
              <w:rPr/>
            </w:pPr>
            <w:r w:rsidDel="00000000" w:rsidR="00000000" w:rsidRPr="00000000">
              <w:rPr>
                <w:b w:val="1"/>
                <w:bCs w:val="1"/>
                <w:rtl w:val="0"/>
              </w:rPr>
              <w:t xml:space="preserve">Eliminar</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14:paraId="0000004C">
            <w:pPr>
              <w:spacing w:after="0" w:line="240" w:lineRule="auto"/>
              <w:jc w:val="both"/>
              <w:rPr/>
            </w:pPr>
            <w:r w:rsidDel="00000000" w:rsidR="00000000" w:rsidRPr="00000000">
              <w:rPr>
                <w:rtl w:val="0"/>
              </w:rPr>
              <w:t xml:space="preserve">La interrupción total del flujo digital y la derivación obligatoria a oficina física ante perfiles de solicitante no contemplados por el sistema (menores de edad, titulares con carné de extranjería).</w:t>
            </w:r>
          </w:p>
        </w:tc>
      </w:tr>
      <w:tr>
        <w:trPr>
          <w:cantSplit w:val="0"/>
          <w:tblHeader w:val="0"/>
        </w:trPr>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14:paraId="0000004D">
            <w:pPr>
              <w:spacing w:after="0" w:line="240" w:lineRule="auto"/>
              <w:jc w:val="both"/>
              <w:rPr/>
            </w:pPr>
            <w:r w:rsidDel="00000000" w:rsidR="00000000" w:rsidRPr="00000000">
              <w:rPr>
                <w:b w:val="1"/>
                <w:bCs w:val="1"/>
                <w:rtl w:val="0"/>
              </w:rPr>
              <w:t xml:space="preserve">Reducir</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14:paraId="0000004E">
            <w:pPr>
              <w:spacing w:after="0" w:line="240" w:lineRule="auto"/>
              <w:jc w:val="both"/>
              <w:rPr/>
            </w:pPr>
            <w:r w:rsidDel="00000000" w:rsidR="00000000" w:rsidRPr="00000000">
              <w:rPr>
                <w:rtl w:val="0"/>
              </w:rPr>
              <w:t xml:space="preserve">La proporción de aperturas de cuenta que hoy se completan por canal asistido (67 %); los pasos de verificación redundantes para solicitantes con historial previo en el ecosistema BBVA.</w:t>
            </w:r>
          </w:p>
        </w:tc>
      </w:tr>
      <w:tr>
        <w:trPr>
          <w:cantSplit w:val="0"/>
          <w:tblHeader w:val="0"/>
        </w:trPr>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14:paraId="0000004F">
            <w:pPr>
              <w:spacing w:after="0" w:line="240" w:lineRule="auto"/>
              <w:jc w:val="both"/>
              <w:rPr/>
            </w:pPr>
            <w:r w:rsidDel="00000000" w:rsidR="00000000" w:rsidRPr="00000000">
              <w:rPr>
                <w:b w:val="1"/>
                <w:bCs w:val="1"/>
                <w:rtl w:val="0"/>
              </w:rPr>
              <w:t xml:space="preserve">Elevar</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14:paraId="00000050">
            <w:pPr>
              <w:spacing w:after="0" w:line="240" w:lineRule="auto"/>
              <w:jc w:val="both"/>
              <w:rPr/>
            </w:pPr>
            <w:r w:rsidDel="00000000" w:rsidR="00000000" w:rsidRPr="00000000">
              <w:rPr>
                <w:rtl w:val="0"/>
              </w:rPr>
              <w:t xml:space="preserve">La cobertura del proceso 100 % digital ya lanzado en 2026, extendiéndolo a los perfiles hoy excluidos, dentro del marco normativo aplicable a cada caso; la trazabilidad del estado de verificación para el solicitante durante el proceso asíncrono.</w:t>
            </w:r>
          </w:p>
        </w:tc>
      </w:tr>
      <w:tr>
        <w:trPr>
          <w:cantSplit w:val="0"/>
          <w:tblHeader w:val="0"/>
        </w:trPr>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14:paraId="00000051">
            <w:pPr>
              <w:spacing w:after="0" w:line="240" w:lineRule="auto"/>
              <w:jc w:val="both"/>
              <w:rPr/>
            </w:pPr>
            <w:r w:rsidDel="00000000" w:rsidR="00000000" w:rsidRPr="00000000">
              <w:rPr>
                <w:b w:val="1"/>
                <w:bCs w:val="1"/>
                <w:rtl w:val="0"/>
              </w:rPr>
              <w:t xml:space="preserve">Crear</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14:paraId="00000052">
            <w:pPr>
              <w:spacing w:after="0" w:line="240" w:lineRule="auto"/>
              <w:jc w:val="both"/>
              <w:rPr/>
            </w:pPr>
            <w:r w:rsidDel="00000000" w:rsidR="00000000" w:rsidRPr="00000000">
              <w:rPr>
                <w:rtl w:val="0"/>
              </w:rPr>
              <w:t xml:space="preserve">Una verificación de identidad progresiva y asíncrona dentro del propio canal conversacional, que no cierra ni deriva la conversación mientras se completa un requisito adicional —atributo que, a la fecha de esta entrega, ningún competidor peruano ha hecho público para este tipo de perfiles.</w:t>
            </w:r>
          </w:p>
        </w:tc>
      </w:tr>
    </w:tbl>
    <w:p w:rsidR="00000000" w:rsidDel="00000000" w:rsidP="00000000" w:rsidRDefault="00000000" w:rsidRPr="00000000" w14:paraId="00000053">
      <w:pPr>
        <w:spacing w:after="200" w:lineRule="auto"/>
        <w:rPr/>
      </w:pPr>
      <w:r w:rsidDel="00000000" w:rsidR="00000000" w:rsidRPr="00000000">
        <w:rPr>
          <w:rtl w:val="0"/>
        </w:rPr>
      </w:r>
    </w:p>
    <w:p w:rsidR="00000000" w:rsidDel="00000000" w:rsidP="00000000" w:rsidRDefault="00000000" w:rsidRPr="00000000" w14:paraId="00000054">
      <w:pPr>
        <w:spacing w:after="200" w:before="0" w:line="360" w:lineRule="auto"/>
        <w:jc w:val="both"/>
        <w:rPr/>
      </w:pPr>
      <w:r w:rsidDel="00000000" w:rsidR="00000000" w:rsidRPr="00000000">
        <w:rPr>
          <w:b w:val="1"/>
          <w:bCs w:val="1"/>
          <w:rtl w:val="0"/>
        </w:rPr>
        <w:t xml:space="preserve">Indicador de éxito esperado.</w:t>
      </w:r>
      <w:r w:rsidDel="00000000" w:rsidR="00000000" w:rsidRPr="00000000">
        <w:rPr>
          <w:rtl w:val="0"/>
        </w:rPr>
        <w:t xml:space="preserve"> Penetración digital en cuentas </w:t>
      </w:r>
      <w:commentRangeStart w:id="12"/>
      <w:r w:rsidDel="00000000" w:rsidR="00000000" w:rsidRPr="00000000">
        <w:rPr>
          <w:rtl w:val="0"/>
        </w:rPr>
        <w:t xml:space="preserve">(línea base 33 %, meta 55 % en dieciocho meses)</w:t>
      </w:r>
      <w:commentRangeEnd w:id="12"/>
      <w:r>
        <w:rPr>
          <w:rStyle w:val="CommentReference"/>
        </w:rPr>
        <w:commentReference w:id="12"/>
      </w:r>
      <w:r w:rsidDel="00000000" w:rsidR="00000000" w:rsidRPr="00000000">
        <w:rPr>
          <w:rtl w:val="0"/>
        </w:rPr>
        <w:t xml:space="preserve"> y tasa de derivación a canal asistido, hoy sin línea base pública y que el propio agente permitiría instrumentar por primera vez, conforme a la Tabla 25 del Entregable 2.</w:t>
      </w:r>
    </w:p>
    <w:p w:rsidR="00000000" w:rsidDel="00000000" w:rsidP="00000000" w:rsidRDefault="00000000" w:rsidRPr="00000000" w14:paraId="00000055">
      <w:pPr>
        <w:pStyle w:val="Heading2"/>
        <w:spacing w:after="160" w:before="260" w:line="360" w:lineRule="auto"/>
        <w:rPr>
          <w:sz w:val="22"/>
          <w:szCs w:val="22"/>
        </w:rPr>
      </w:pPr>
      <w:r w:rsidDel="00000000" w:rsidR="00000000" w:rsidRPr="00000000">
        <w:rPr>
          <w:b w:val="1"/>
          <w:bCs w:val="1"/>
          <w:color w:val="1f3864"/>
          <w:sz w:val="22"/>
          <w:szCs w:val="22"/>
          <w:rtl w:val="0"/>
        </w:rPr>
        <w:t xml:space="preserve">5.5. Síntesis de las hipótesis de iniciativa</w:t>
      </w:r>
      <w:r w:rsidDel="00000000" w:rsidR="00000000" w:rsidRPr="00000000">
        <w:rPr>
          <w:rtl w:val="0"/>
        </w:rPr>
      </w:r>
    </w:p>
    <w:p w:rsidR="00000000" w:rsidDel="00000000" w:rsidP="00000000" w:rsidRDefault="00000000" w:rsidRPr="00000000" w14:paraId="00000056">
      <w:pPr>
        <w:spacing w:after="200" w:before="0" w:line="360" w:lineRule="auto"/>
        <w:jc w:val="both"/>
        <w:rPr/>
      </w:pPr>
      <w:r w:rsidDel="00000000" w:rsidR="00000000" w:rsidRPr="00000000">
        <w:rPr>
          <w:rtl w:val="0"/>
        </w:rPr>
        <w:t xml:space="preserve">La Tabla 30 sintetiza las tres hipótesis, su vínculo con los objetivos estratégicos ya establecidos en la Tabla 22 del Entregable 2 y la tecnología habilitante propuesta en cada caso.</w:t>
      </w:r>
    </w:p>
    <w:p w:rsidR="00000000" w:rsidDel="00000000" w:rsidP="00000000" w:rsidRDefault="00000000" w:rsidRPr="00000000" w14:paraId="00000057">
      <w:pPr>
        <w:spacing w:after="0" w:before="200" w:line="240" w:lineRule="auto"/>
        <w:rPr/>
      </w:pPr>
      <w:r w:rsidDel="00000000" w:rsidR="00000000" w:rsidRPr="00000000">
        <w:rPr>
          <w:b w:val="1"/>
          <w:bCs w:val="1"/>
          <w:rtl w:val="0"/>
        </w:rPr>
        <w:t xml:space="preserve">Tabla 30</w:t>
      </w:r>
      <w:r w:rsidDel="00000000" w:rsidR="00000000" w:rsidRPr="00000000">
        <w:rPr>
          <w:rtl w:val="0"/>
        </w:rPr>
      </w:r>
    </w:p>
    <w:p w:rsidR="00000000" w:rsidDel="00000000" w:rsidP="00000000" w:rsidRDefault="00000000" w:rsidRPr="00000000" w14:paraId="00000058">
      <w:pPr>
        <w:spacing w:after="120" w:before="0" w:line="240" w:lineRule="auto"/>
        <w:rPr/>
      </w:pPr>
      <w:r w:rsidDel="00000000" w:rsidR="00000000" w:rsidRPr="00000000">
        <w:rPr>
          <w:i w:val="1"/>
          <w:iCs w:val="1"/>
          <w:rtl w:val="0"/>
        </w:rPr>
        <w:t xml:space="preserve">Síntesis de hipótesis de iniciativa y su alineamiento estratégico</w:t>
      </w:r>
      <w:r w:rsidDel="00000000" w:rsidR="00000000" w:rsidRPr="00000000">
        <w:rPr>
          <w:rtl w:val="0"/>
        </w:rPr>
      </w:r>
    </w:p>
    <w:tbl>
      <w:tblPr>
        <w:tblStyle w:val="Table4"/>
        <w:tblW w:w="9900.0" w:type="dxa"/>
        <w:jc w:val="left"/>
        <w:tblBorders>
          <w:top w:color="8496b0" w:space="0" w:sz="4" w:val="single"/>
          <w:left w:color="8496b0" w:space="0" w:sz="4" w:val="single"/>
          <w:bottom w:color="8496b0" w:space="0" w:sz="4" w:val="single"/>
          <w:right w:color="8496b0" w:space="0" w:sz="4" w:val="single"/>
          <w:insideH w:color="b4c6e7" w:space="0" w:sz="4" w:val="single"/>
          <w:insideV w:color="b4c6e7" w:space="0" w:sz="4" w:val="single"/>
        </w:tblBorders>
        <w:tblLayout w:type="fixed"/>
        <w:tblLook w:val="0000"/>
      </w:tblPr>
      <w:tblGrid>
        <w:gridCol w:w="1000"/>
        <w:gridCol w:w="3300"/>
        <w:gridCol w:w="3200"/>
        <w:gridCol w:w="2400"/>
        <w:tblGridChange w:id="0">
          <w:tblGrid>
            <w:gridCol w:w="1000"/>
            <w:gridCol w:w="3300"/>
            <w:gridCol w:w="3200"/>
            <w:gridCol w:w="2400"/>
          </w:tblGrid>
        </w:tblGridChange>
      </w:tblGrid>
      <w:tr>
        <w:trPr>
          <w:cantSplit w:val="0"/>
          <w:tblHeader w:val="1"/>
        </w:trPr>
        <w:tc>
          <w:tcPr>
            <w:tcBorders>
              <w:top w:color="b4c6e7" w:space="0" w:sz="4" w:val="single"/>
              <w:left w:color="b4c6e7" w:space="0" w:sz="4" w:val="single"/>
              <w:bottom w:color="b4c6e7" w:space="0" w:sz="4" w:val="single"/>
              <w:right w:color="b4c6e7"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059">
            <w:pPr>
              <w:spacing w:after="0" w:line="240" w:lineRule="auto"/>
              <w:jc w:val="center"/>
              <w:rPr/>
            </w:pPr>
            <w:r w:rsidDel="00000000" w:rsidR="00000000" w:rsidRPr="00000000">
              <w:rPr>
                <w:b w:val="1"/>
                <w:bCs w:val="1"/>
                <w:color w:val="ffffff"/>
                <w:rtl w:val="0"/>
              </w:rPr>
              <w:t xml:space="preserve">Dolor crítico</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05A">
            <w:pPr>
              <w:spacing w:after="0" w:line="240" w:lineRule="auto"/>
              <w:jc w:val="center"/>
              <w:rPr/>
            </w:pPr>
            <w:r w:rsidDel="00000000" w:rsidR="00000000" w:rsidRPr="00000000">
              <w:rPr>
                <w:b w:val="1"/>
                <w:bCs w:val="1"/>
                <w:color w:val="ffffff"/>
                <w:rtl w:val="0"/>
              </w:rPr>
              <w:t xml:space="preserve">Hipótesis de iniciativa</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05B">
            <w:pPr>
              <w:spacing w:after="0" w:line="240" w:lineRule="auto"/>
              <w:jc w:val="center"/>
              <w:rPr/>
            </w:pPr>
            <w:r w:rsidDel="00000000" w:rsidR="00000000" w:rsidRPr="00000000">
              <w:rPr>
                <w:b w:val="1"/>
                <w:bCs w:val="1"/>
                <w:color w:val="ffffff"/>
                <w:rtl w:val="0"/>
              </w:rPr>
              <w:t xml:space="preserve">Tecnología habilitante</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05C">
            <w:pPr>
              <w:spacing w:after="0" w:line="240" w:lineRule="auto"/>
              <w:jc w:val="center"/>
              <w:rPr/>
            </w:pPr>
            <w:commentRangeStart w:id="16"/>
            <w:r w:rsidDel="00000000" w:rsidR="00000000" w:rsidRPr="00000000">
              <w:rPr>
                <w:b w:val="1"/>
                <w:bCs w:val="1"/>
                <w:color w:val="ffffff"/>
                <w:rtl w:val="0"/>
              </w:rPr>
              <w:t xml:space="preserve">Objetivos estratégicos vinculados</w:t>
            </w:r>
            <w:commentRangeEnd w:id="16"/>
            <w:r>
              <w:rPr>
                <w:rStyle w:val="CommentReference"/>
              </w:rPr>
              <w:commentReference w:id="16"/>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14:paraId="0000005D">
            <w:pPr>
              <w:spacing w:after="0" w:line="240" w:lineRule="auto"/>
              <w:jc w:val="both"/>
              <w:rPr/>
            </w:pPr>
            <w:r w:rsidDel="00000000" w:rsidR="00000000" w:rsidRPr="00000000">
              <w:rPr>
                <w:rtl w:val="0"/>
              </w:rPr>
              <w:t xml:space="preserve">DC1</w:t>
            </w:r>
          </w:p>
        </w:tc>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14:paraId="0000005E">
            <w:pPr>
              <w:spacing w:after="0" w:line="240" w:lineRule="auto"/>
              <w:jc w:val="both"/>
              <w:rPr/>
            </w:pPr>
            <w:r w:rsidDel="00000000" w:rsidR="00000000" w:rsidRPr="00000000">
              <w:rPr>
                <w:rtl w:val="0"/>
              </w:rPr>
              <w:t xml:space="preserve">Agente de preclasificación y acompañamiento conversacional del crédito Pyme</w:t>
            </w:r>
          </w:p>
        </w:tc>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14:paraId="0000005F">
            <w:pPr>
              <w:spacing w:after="0" w:line="240" w:lineRule="auto"/>
              <w:jc w:val="both"/>
              <w:rPr/>
            </w:pPr>
            <w:r w:rsidDel="00000000" w:rsidR="00000000" w:rsidRPr="00000000">
              <w:rPr>
                <w:rtl w:val="0"/>
              </w:rPr>
              <w:t xml:space="preserve">Agente de IA sobre datos transaccionales propios (procesamiento de lenguaje natural + analítica del ecosistema BBVA)</w:t>
            </w:r>
          </w:p>
        </w:tc>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14:paraId="00000060">
            <w:pPr>
              <w:spacing w:after="0" w:line="240" w:lineRule="auto"/>
              <w:jc w:val="both"/>
              <w:rPr/>
            </w:pPr>
            <w:r w:rsidDel="00000000" w:rsidR="00000000" w:rsidRPr="00000000">
              <w:rPr>
                <w:rtl w:val="0"/>
              </w:rPr>
              <w:t xml:space="preserve">OE3, OE4, OE5</w:t>
            </w:r>
          </w:p>
        </w:tc>
      </w:tr>
      <w:tr>
        <w:trPr>
          <w:cantSplit w:val="0"/>
          <w:tblHeader w:val="0"/>
        </w:trPr>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14:paraId="00000061">
            <w:pPr>
              <w:spacing w:after="0" w:line="240" w:lineRule="auto"/>
              <w:jc w:val="both"/>
              <w:rPr/>
            </w:pPr>
            <w:r w:rsidDel="00000000" w:rsidR="00000000" w:rsidRPr="00000000">
              <w:rPr>
                <w:rtl w:val="0"/>
              </w:rPr>
              <w:t xml:space="preserve">DC2</w:t>
            </w:r>
          </w:p>
        </w:tc>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14:paraId="00000062">
            <w:pPr>
              <w:spacing w:after="0" w:line="240" w:lineRule="auto"/>
              <w:jc w:val="both"/>
              <w:rPr/>
            </w:pPr>
            <w:r w:rsidDel="00000000" w:rsidR="00000000" w:rsidRPr="00000000">
              <w:rPr>
                <w:rtl w:val="0"/>
              </w:rPr>
              <w:t xml:space="preserve">Extensión de Blue Buddy a agente de investigación de casos de reclamos</w:t>
            </w:r>
          </w:p>
        </w:tc>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14:paraId="00000063">
            <w:pPr>
              <w:spacing w:after="0" w:line="240" w:lineRule="auto"/>
              <w:jc w:val="both"/>
              <w:rPr/>
            </w:pPr>
            <w:r w:rsidDel="00000000" w:rsidR="00000000" w:rsidRPr="00000000">
              <w:rPr>
                <w:rtl w:val="0"/>
              </w:rPr>
              <w:t xml:space="preserve">Agente de IA de orquestación multisistema con recomendación explicable y validación humana</w:t>
            </w:r>
          </w:p>
        </w:tc>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14:paraId="00000064">
            <w:pPr>
              <w:spacing w:after="0" w:line="240" w:lineRule="auto"/>
              <w:jc w:val="both"/>
              <w:rPr/>
            </w:pPr>
            <w:r w:rsidDel="00000000" w:rsidR="00000000" w:rsidRPr="00000000">
              <w:rPr>
                <w:rtl w:val="0"/>
              </w:rPr>
              <w:t xml:space="preserve">OE1, OE5, OE6</w:t>
            </w:r>
          </w:p>
        </w:tc>
      </w:tr>
      <w:tr>
        <w:trPr>
          <w:cantSplit w:val="0"/>
          <w:tblHeader w:val="0"/>
        </w:trPr>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14:paraId="00000065">
            <w:pPr>
              <w:spacing w:after="0" w:line="240" w:lineRule="auto"/>
              <w:jc w:val="both"/>
              <w:rPr/>
            </w:pPr>
            <w:r w:rsidDel="00000000" w:rsidR="00000000" w:rsidRPr="00000000">
              <w:rPr>
                <w:rtl w:val="0"/>
              </w:rPr>
              <w:t>DC3 (priorizado)</w:t>
            </w:r>
          </w:p>
        </w:tc>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14:paraId="00000066">
            <w:pPr>
              <w:spacing w:after="0" w:line="240" w:lineRule="auto"/>
              <w:jc w:val="both"/>
              <w:rPr/>
            </w:pPr>
            <w:r w:rsidDel="00000000" w:rsidR="00000000" w:rsidRPr="00000000">
              <w:rPr>
                <w:rtl w:val="0"/>
              </w:rPr>
              <w:t xml:space="preserve">Agente conversacional con verificación de identidad progresiva y asíncrona</w:t>
            </w:r>
          </w:p>
        </w:tc>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14:paraId="00000067">
            <w:pPr>
              <w:spacing w:after="0" w:line="240" w:lineRule="auto"/>
              <w:jc w:val="both"/>
              <w:rPr/>
            </w:pPr>
            <w:r w:rsidDel="00000000" w:rsidR="00000000" w:rsidRPr="00000000">
              <w:rPr>
                <w:rtl w:val="0"/>
              </w:rPr>
              <w:t xml:space="preserve">Agente de IA conversacional integrado al flujo 100 % digital ya desplegado</w:t>
            </w:r>
          </w:p>
        </w:tc>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14:paraId="00000068">
            <w:pPr>
              <w:spacing w:after="0" w:line="240" w:lineRule="auto"/>
              <w:jc w:val="both"/>
              <w:rPr/>
            </w:pPr>
            <w:r w:rsidDel="00000000" w:rsidR="00000000" w:rsidRPr="00000000">
              <w:rPr>
                <w:rtl w:val="0"/>
              </w:rPr>
              <w:t xml:space="preserve">OE1, OE4, OE5</w:t>
            </w:r>
          </w:p>
        </w:tc>
      </w:tr>
    </w:tbl>
    <w:p w:rsidR="00000000" w:rsidDel="00000000" w:rsidP="00000000" w:rsidRDefault="00000000" w:rsidRPr="00000000" w14:paraId="00000069">
      <w:pPr>
        <w:spacing w:after="220" w:before="60" w:line="240" w:lineRule="auto"/>
        <w:jc w:val="both"/>
        <w:rPr/>
      </w:pPr>
      <w:r w:rsidDel="00000000" w:rsidR="00000000" w:rsidRPr="00000000">
        <w:rPr>
          <w:i w:val="1"/>
          <w:iCs w:val="1"/>
          <w:rtl w:val="0"/>
        </w:rPr>
        <w:t xml:space="preserve">Nota. </w:t>
      </w:r>
      <w:r w:rsidDel="00000000" w:rsidR="00000000" w:rsidRPr="00000000">
        <w:rPr>
          <w:rtl w:val="0"/>
        </w:rPr>
        <w:t xml:space="preserve">Elaboración propia con base en la Tabla 22 del Entregable 2 y en las hipótesis desarrolladas en las secciones 5.2 a 5.4.</w:t>
      </w:r>
    </w:p>
    <w:p>
      <w:pPr>
        <w:spacing w:after="200" w:before="0" w:line="360" w:lineRule="auto"/>
        <w:jc w:val="both"/>
        <w:rPr/>
      </w:pPr>
      <w:r>
        <w:rPr>
          <w:b w:val="1"/>
          <w:bCs w:val="1"/>
          <w:rtl w:val="0"/>
        </w:rPr>
        <w:t xml:space="preserve">Priorización para las siguientes entregas.</w:t>
      </w:r>
      <w:r>
        <w:rPr>
          <w:rtl w:val="0"/>
        </w:rPr>
        <w:t xml:space="preserve"> Conforme a lo señalado en la sección 5.1, aunque las tres hipótesis de la Tabla 30 se desarrollan en este entregable con el mismo nivel de rigor, el equipo prioriza a partir de esta entrega el desarrollo de la iniciativa vinculada a DC3, en tanto la contratación de productos por canal digital ha sido seleccionada como el proceso de negocio ancla del proyecto. Las hipótesis de DC1 y DC2 permanecen vigentes como parte del alcance ya sustentado en este documento.</w:t>
      </w:r>
    </w:p>
    <w:p w:rsidR="00000000" w:rsidDel="00000000" w:rsidP="00000000" w:rsidRDefault="00000000" w:rsidRPr="00000000" w14:paraId="0000006A">
      <w:pPr>
        <w:spacing w:after="200" w:before="0" w:line="360" w:lineRule="auto"/>
        <w:jc w:val="both"/>
        <w:rPr/>
      </w:pPr>
      <w:r w:rsidDel="00000000" w:rsidR="00000000" w:rsidRPr="00000000">
        <w:rPr>
          <w:rtl w:val="0"/>
        </w:rPr>
        <w:t xml:space="preserve">Las tres hipótesis comparten un mismo principio de diseño: ninguna reemplaza la decisión humana en el punto donde la regulación o el riesgo reputacional lo exige —aprobación crediticia final, procedencia del reclamo, validación de identidad de un menor de edad—, sino que reduce el trabajo manual previo a esa decisión. Esta arquitectura responde tanto a la exigencia de supervisión humana que la SBS establece para decisiones basadas en IA </w:t>
      </w:r>
      <w:r w:rsidDel="00000000" w:rsidR="00000000" w:rsidRPr="00000000">
        <w:rPr>
          <w:i w:val="1"/>
          <w:iCs w:val="1"/>
          <w:rtl w:val="0"/>
        </w:rPr>
        <w:t xml:space="preserve">(Ramírez Huancayo, 2026)</w:t>
      </w:r>
      <w:r w:rsidDel="00000000" w:rsidR="00000000" w:rsidRPr="00000000">
        <w:rPr>
          <w:rtl w:val="0"/>
        </w:rPr>
        <w:t xml:space="preserve"> como a la necesidad de que la iniciativa resulte defendible ante el jurado y, eventualmente, ante el propio banco.</w:t>
      </w:r>
    </w:p>
    <w:p w:rsidR="00000000" w:rsidDel="00000000" w:rsidP="00000000" w:rsidRDefault="00000000" w:rsidRPr="00000000" w14:paraId="0000006B">
      <w:pPr>
        <w:pStyle w:val="Heading1"/>
        <w:spacing w:after="200" w:before="320" w:line="360" w:lineRule="auto"/>
        <w:rPr>
          <w:sz w:val="22"/>
          <w:szCs w:val="22"/>
        </w:rPr>
      </w:pPr>
      <w:r w:rsidDel="00000000" w:rsidR="00000000" w:rsidRPr="00000000">
        <w:rPr>
          <w:b w:val="1"/>
          <w:bCs w:val="1"/>
          <w:color w:val="1f3864"/>
          <w:sz w:val="22"/>
          <w:szCs w:val="22"/>
          <w:rtl w:val="0"/>
        </w:rPr>
        <w:t xml:space="preserve">6. Descripción detallada de los puntos de dolor As Is</w:t>
      </w:r>
      <w:r w:rsidDel="00000000" w:rsidR="00000000" w:rsidRPr="00000000">
        <w:rPr>
          <w:rtl w:val="0"/>
        </w:rPr>
      </w:r>
    </w:p>
    <w:p w:rsidR="00000000" w:rsidDel="00000000" w:rsidP="00000000" w:rsidRDefault="00000000" w:rsidRPr="00000000" w14:paraId="0000006C">
      <w:pPr>
        <w:spacing w:after="200" w:before="0" w:line="360" w:lineRule="auto"/>
        <w:jc w:val="both"/>
        <w:rPr/>
      </w:pPr>
      <w:r w:rsidDel="00000000" w:rsidR="00000000" w:rsidRPr="00000000">
        <w:rPr>
          <w:rtl w:val="0"/>
        </w:rPr>
        <w:t xml:space="preserve">Esta sección describe, para cada uno de los tres dolores críticos, la situación As Is del proceso: actores involucrados, sistemas utilizados, canales de atención, actividades manuales, tiempos promedio, errores frecuentes, costos asociados e indicadores actuales. La descripción reutiliza la evidencia ya consignada en los mapas de las secciones 3.3 a 3.5 y en las Tablas 23 a 25 del Entregable 2; no se introduce ninguna cifra nueva sin fuente. Donde el equipo no encontró una fuente pública, el campo se marca de forma explícita como </w:t>
      </w:r>
      <w:r w:rsidDel="00000000" w:rsidR="00000000" w:rsidRPr="00000000">
        <w:rPr>
          <w:i w:val="1"/>
          <w:iCs w:val="1"/>
          <w:rtl w:val="0"/>
        </w:rPr>
        <w:t xml:space="preserve">NO HAY FUENTES EN INTERNET DISPONIBLES</w:t>
      </w:r>
      <w:r w:rsidDel="00000000" w:rsidR="00000000" w:rsidRPr="00000000">
        <w:rPr>
          <w:rtl w:val="0"/>
        </w:rPr>
        <w:t xml:space="preserve">, conforme al criterio de evidencia declarado en la sección 3.1.</w:t>
      </w:r>
    </w:p>
    <w:p w:rsidR="00000000" w:rsidDel="00000000" w:rsidP="00000000" w:rsidRDefault="00000000" w:rsidRPr="00000000" w14:paraId="0000006D">
      <w:pPr>
        <w:pStyle w:val="Heading2"/>
        <w:spacing w:after="160" w:before="260" w:line="360" w:lineRule="auto"/>
        <w:rPr>
          <w:sz w:val="22"/>
          <w:szCs w:val="22"/>
        </w:rPr>
      </w:pPr>
      <w:r w:rsidDel="00000000" w:rsidR="00000000" w:rsidRPr="00000000">
        <w:rPr>
          <w:b w:val="1"/>
          <w:bCs w:val="1"/>
          <w:color w:val="1f3864"/>
          <w:sz w:val="22"/>
          <w:szCs w:val="22"/>
          <w:rtl w:val="0"/>
        </w:rPr>
        <w:t xml:space="preserve">6.1. Descripción As Is del dolor crítico DC1: originación de crédito Pyme</w:t>
      </w:r>
      <w:r w:rsidDel="00000000" w:rsidR="00000000" w:rsidRPr="00000000">
        <w:rPr>
          <w:rtl w:val="0"/>
        </w:rPr>
      </w:r>
    </w:p>
    <w:p w:rsidR="00000000" w:rsidDel="00000000" w:rsidP="00000000" w:rsidRDefault="00000000" w:rsidRPr="00000000" w14:paraId="0000006E">
      <w:pPr>
        <w:spacing w:after="0" w:before="200" w:line="240" w:lineRule="auto"/>
        <w:rPr/>
      </w:pPr>
      <w:r w:rsidDel="00000000" w:rsidR="00000000" w:rsidRPr="00000000">
        <w:rPr>
          <w:b w:val="1"/>
          <w:bCs w:val="1"/>
          <w:rtl w:val="0"/>
        </w:rPr>
        <w:t xml:space="preserve">Tabla 31</w:t>
      </w:r>
      <w:r w:rsidDel="00000000" w:rsidR="00000000" w:rsidRPr="00000000">
        <w:rPr>
          <w:rtl w:val="0"/>
        </w:rPr>
      </w:r>
    </w:p>
    <w:p w:rsidR="00000000" w:rsidDel="00000000" w:rsidP="00000000" w:rsidRDefault="00000000" w:rsidRPr="00000000" w14:paraId="0000006F">
      <w:pPr>
        <w:spacing w:after="120" w:before="0" w:line="240" w:lineRule="auto"/>
        <w:rPr/>
      </w:pPr>
      <w:r w:rsidDel="00000000" w:rsidR="00000000" w:rsidRPr="00000000">
        <w:rPr>
          <w:i w:val="1"/>
          <w:iCs w:val="1"/>
          <w:rtl w:val="0"/>
        </w:rPr>
        <w:t xml:space="preserve">Descripción As Is del DC1</w:t>
      </w:r>
      <w:r w:rsidDel="00000000" w:rsidR="00000000" w:rsidRPr="00000000">
        <w:rPr>
          <w:rtl w:val="0"/>
        </w:rPr>
      </w:r>
    </w:p>
    <w:tbl>
      <w:tblPr>
        <w:tblStyle w:val="Table5"/>
        <w:tblW w:w="9900.0" w:type="dxa"/>
        <w:jc w:val="left"/>
        <w:tblBorders>
          <w:top w:color="8496b0" w:space="0" w:sz="4" w:val="single"/>
          <w:left w:color="8496b0" w:space="0" w:sz="4" w:val="single"/>
          <w:bottom w:color="8496b0" w:space="0" w:sz="4" w:val="single"/>
          <w:right w:color="8496b0" w:space="0" w:sz="4" w:val="single"/>
          <w:insideH w:color="b4c6e7" w:space="0" w:sz="4" w:val="single"/>
          <w:insideV w:color="b4c6e7" w:space="0" w:sz="4" w:val="single"/>
        </w:tblBorders>
        <w:tblLayout w:type="fixed"/>
        <w:tblLook w:val="0000"/>
      </w:tblPr>
      <w:tblGrid>
        <w:gridCol w:w="2300"/>
        <w:gridCol w:w="7600"/>
        <w:tblGridChange w:id="0">
          <w:tblGrid>
            <w:gridCol w:w="2300"/>
            <w:gridCol w:w="7600"/>
          </w:tblGrid>
        </w:tblGridChange>
      </w:tblGrid>
      <w:tr>
        <w:trPr>
          <w:cantSplit w:val="0"/>
          <w:tblHeader w:val="1"/>
        </w:trPr>
        <w:tc>
          <w:tcPr>
            <w:tcBorders>
              <w:top w:color="b4c6e7" w:space="0" w:sz="4" w:val="single"/>
              <w:left w:color="b4c6e7" w:space="0" w:sz="4" w:val="single"/>
              <w:bottom w:color="b4c6e7" w:space="0" w:sz="4" w:val="single"/>
              <w:right w:color="b4c6e7"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070">
            <w:pPr>
              <w:spacing w:after="0" w:line="240" w:lineRule="auto"/>
              <w:jc w:val="center"/>
              <w:rPr/>
            </w:pPr>
            <w:r w:rsidDel="00000000" w:rsidR="00000000" w:rsidRPr="00000000">
              <w:rPr>
                <w:b w:val="1"/>
                <w:bCs w:val="1"/>
                <w:color w:val="ffffff"/>
                <w:rtl w:val="0"/>
              </w:rPr>
              <w:t xml:space="preserve">Dimensión</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071">
            <w:pPr>
              <w:spacing w:after="0" w:line="240" w:lineRule="auto"/>
              <w:jc w:val="center"/>
              <w:rPr/>
            </w:pPr>
            <w:r w:rsidDel="00000000" w:rsidR="00000000" w:rsidRPr="00000000">
              <w:rPr>
                <w:b w:val="1"/>
                <w:bCs w:val="1"/>
                <w:color w:val="ffffff"/>
                <w:rtl w:val="0"/>
              </w:rPr>
              <w:t xml:space="preserve">Situación As Is</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14:paraId="00000072">
            <w:pPr>
              <w:spacing w:after="0" w:line="240" w:lineRule="auto"/>
              <w:jc w:val="both"/>
              <w:rPr/>
            </w:pPr>
            <w:r w:rsidDel="00000000" w:rsidR="00000000" w:rsidRPr="00000000">
              <w:rPr>
                <w:rtl w:val="0"/>
              </w:rPr>
              <w:t xml:space="preserve">Actores involucrados</w:t>
            </w:r>
          </w:p>
        </w:tc>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14:paraId="00000073">
            <w:pPr>
              <w:spacing w:after="0" w:line="240" w:lineRule="auto"/>
              <w:jc w:val="both"/>
              <w:rPr/>
            </w:pPr>
            <w:r w:rsidDel="00000000" w:rsidR="00000000" w:rsidRPr="00000000">
              <w:rPr>
                <w:rtl w:val="0"/>
              </w:rPr>
              <w:t xml:space="preserve">Empresario o representante de la microempresa o Pyme solicitante; ejecutivo de negocio (ruta asistida); motor de decisión crediticio y analista de riesgo (evaluación); personal de formalización presencial. Elaboración propia con base en la Tabla 15 [C].</w:t>
            </w:r>
          </w:p>
        </w:tc>
      </w:tr>
      <w:tr>
        <w:trPr>
          <w:cantSplit w:val="0"/>
          <w:tblHeader w:val="0"/>
        </w:trPr>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14:paraId="00000074">
            <w:pPr>
              <w:spacing w:after="0" w:line="240" w:lineRule="auto"/>
              <w:jc w:val="both"/>
              <w:rPr/>
            </w:pPr>
            <w:r w:rsidDel="00000000" w:rsidR="00000000" w:rsidRPr="00000000">
              <w:rPr>
                <w:rtl w:val="0"/>
              </w:rPr>
              <w:t xml:space="preserve">Sistemas utilizados</w:t>
            </w:r>
          </w:p>
        </w:tc>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14:paraId="00000075">
            <w:pPr>
              <w:spacing w:after="0" w:line="240" w:lineRule="auto"/>
              <w:jc w:val="both"/>
              <w:rPr/>
            </w:pPr>
            <w:r w:rsidDel="00000000" w:rsidR="00000000" w:rsidRPr="00000000">
              <w:rPr>
                <w:rtl w:val="0"/>
              </w:rPr>
              <w:t xml:space="preserve">App BBVA Empresas 2.0 (onboarding 100 % digital); web pública; motor de decisión; centrales de riesgo; plataforma de datos ADA; cuenta corriente; soluciones de cobro Openpay y QR Empresas. Tabla 15; Banco BBVA Perú (s. f.-b, s. f.-c) [F].</w:t>
            </w:r>
          </w:p>
        </w:tc>
      </w:tr>
      <w:tr>
        <w:trPr>
          <w:cantSplit w:val="0"/>
          <w:tblHeader w:val="0"/>
        </w:trPr>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14:paraId="00000076">
            <w:pPr>
              <w:spacing w:after="0" w:line="240" w:lineRule="auto"/>
              <w:jc w:val="both"/>
              <w:rPr/>
            </w:pPr>
            <w:r w:rsidDel="00000000" w:rsidR="00000000" w:rsidRPr="00000000">
              <w:rPr>
                <w:rtl w:val="0"/>
              </w:rPr>
              <w:t xml:space="preserve">Canales de atención</w:t>
            </w:r>
          </w:p>
        </w:tc>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14:paraId="00000077">
            <w:pPr>
              <w:spacing w:after="0" w:line="240" w:lineRule="auto"/>
              <w:jc w:val="both"/>
              <w:rPr/>
            </w:pPr>
            <w:r w:rsidDel="00000000" w:rsidR="00000000" w:rsidRPr="00000000">
              <w:rPr>
                <w:rtl w:val="0"/>
              </w:rPr>
              <w:t xml:space="preserve">Canal digital (app BBVA Empresas 2.0) y canal asistido (oficina, ejecutivo de negocio). Tabla 15 [F].</w:t>
            </w:r>
          </w:p>
        </w:tc>
      </w:tr>
      <w:tr>
        <w:trPr>
          <w:cantSplit w:val="0"/>
          <w:tblHeader w:val="0"/>
        </w:trPr>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14:paraId="00000078">
            <w:pPr>
              <w:spacing w:after="0" w:line="240" w:lineRule="auto"/>
              <w:jc w:val="both"/>
              <w:rPr/>
            </w:pPr>
            <w:r w:rsidDel="00000000" w:rsidR="00000000" w:rsidRPr="00000000">
              <w:rPr>
                <w:rtl w:val="0"/>
              </w:rPr>
              <w:t xml:space="preserve">Actividades manuales</w:t>
            </w:r>
          </w:p>
        </w:tc>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14:paraId="00000079">
            <w:pPr>
              <w:spacing w:after="0" w:line="240" w:lineRule="auto"/>
              <w:jc w:val="both"/>
              <w:rPr/>
            </w:pPr>
            <w:r w:rsidDel="00000000" w:rsidR="00000000" w:rsidRPr="00000000">
              <w:rPr>
                <w:rtl w:val="0"/>
              </w:rPr>
              <w:t xml:space="preserve">Recopilación y verificación de documentación financiera no estructurada de la microempresa (Melo, 2026); evaluación crediticia con información no verificable, que eleva costos operativos trasladados al cliente vía tasa o restricción de línea (Melo, 2026); formalización presencial de la ruta asistida (Tabla 15) [F].</w:t>
            </w:r>
          </w:p>
        </w:tc>
      </w:tr>
      <w:tr>
        <w:trPr>
          <w:cantSplit w:val="0"/>
          <w:tblHeader w:val="0"/>
        </w:trPr>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14:paraId="0000007A">
            <w:pPr>
              <w:spacing w:after="0" w:line="240" w:lineRule="auto"/>
              <w:jc w:val="both"/>
              <w:rPr/>
            </w:pPr>
            <w:r w:rsidDel="00000000" w:rsidR="00000000" w:rsidRPr="00000000">
              <w:rPr>
                <w:rtl w:val="0"/>
              </w:rPr>
              <w:t xml:space="preserve">Tiempos promedio</w:t>
            </w:r>
          </w:p>
        </w:tc>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14:paraId="0000007B">
            <w:pPr>
              <w:spacing w:after="0" w:line="240" w:lineRule="auto"/>
              <w:jc w:val="both"/>
              <w:rPr/>
            </w:pPr>
            <w:r w:rsidDel="00000000" w:rsidR="00000000" w:rsidRPr="00000000">
              <w:rPr>
                <w:rtl w:val="0"/>
              </w:rPr>
              <w:t xml:space="preserve">Ruta digital: 3 minutos promedio (Reusche, 2026) [F]. Ruta asistida: </w:t>
            </w:r>
            <w:commentRangeStart w:id="0"/>
            <w:r w:rsidDel="00000000" w:rsidR="00000000" w:rsidRPr="00000000">
              <w:rPr>
                <w:rtl w:val="0"/>
              </w:rPr>
              <w:t xml:space="preserve">NO HAY FUENTES EN INTERNET DISPONIBLES; así consignado en la Tabla 23 del Entregable 2, que remite a levantamiento interno [V].</w:t>
            </w:r>
            <w:commentRangeEnd w:id="0"/>
            <w:r>
              <w:rPr>
                <w:rStyle w:val="CommentReference"/>
              </w:rPr>
              <w:commentReference w:id="0"/>
            </w:r>
          </w:p>
        </w:tc>
      </w:tr>
      <w:tr>
        <w:trPr>
          <w:cantSplit w:val="0"/>
          <w:tblHeader w:val="0"/>
        </w:trPr>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14:paraId="0000007C">
            <w:pPr>
              <w:spacing w:after="0" w:line="240" w:lineRule="auto"/>
              <w:jc w:val="both"/>
              <w:rPr/>
            </w:pPr>
            <w:r w:rsidDel="00000000" w:rsidR="00000000" w:rsidRPr="00000000">
              <w:rPr>
                <w:rtl w:val="0"/>
              </w:rPr>
              <w:t xml:space="preserve">Errores frecuentes</w:t>
            </w:r>
          </w:p>
        </w:tc>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14:paraId="0000007D">
            <w:pPr>
              <w:spacing w:after="0" w:line="240" w:lineRule="auto"/>
              <w:jc w:val="both"/>
              <w:rPr/>
            </w:pPr>
            <w:commentRangeStart w:id="1"/>
            <w:r w:rsidDel="00000000" w:rsidR="00000000" w:rsidRPr="00000000">
              <w:rPr>
                <w:rtl w:val="0"/>
              </w:rPr>
              <w:t xml:space="preserve">NO HAY FUENTES EN INTERNET DISPONIBLES sobre tasas de error o reproceso propias de BBVA Perú en esta etapa [V].</w:t>
            </w:r>
            <w:commentRangeEnd w:id="1"/>
            <w:r>
              <w:rPr>
                <w:rStyle w:val="CommentReference"/>
              </w:rPr>
              <w:commentReference w:id="1"/>
            </w:r>
            <w:r w:rsidDel="00000000" w:rsidR="00000000" w:rsidRPr="00000000">
              <w:rPr>
                <w:rtl w:val="0"/>
              </w:rPr>
              <w:t xml:space="preserve"> Referencia sectorial indirecta, no atribuible a BBVA: solo una de cada cuatro mypes peruanas accede a crédito por falta de información financiera verificable (Melo, 2026), lo que sugiere fricción recurrente en la etapa de evaluación sin que constituya una cifra de error operativo propiamente dicha [F sectorial].</w:t>
            </w:r>
          </w:p>
        </w:tc>
      </w:tr>
      <w:tr>
        <w:trPr>
          <w:cantSplit w:val="0"/>
          <w:tblHeader w:val="0"/>
        </w:trPr>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14:paraId="0000007E">
            <w:pPr>
              <w:spacing w:after="0" w:line="240" w:lineRule="auto"/>
              <w:jc w:val="both"/>
              <w:rPr/>
            </w:pPr>
            <w:r w:rsidDel="00000000" w:rsidR="00000000" w:rsidRPr="00000000">
              <w:rPr>
                <w:rtl w:val="0"/>
              </w:rPr>
              <w:t xml:space="preserve">Costos asociados</w:t>
            </w:r>
          </w:p>
        </w:tc>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14:paraId="0000007F">
            <w:pPr>
              <w:spacing w:after="0" w:line="240" w:lineRule="auto"/>
              <w:jc w:val="both"/>
              <w:rPr/>
            </w:pPr>
            <w:commentRangeStart w:id="2"/>
            <w:r w:rsidDel="00000000" w:rsidR="00000000" w:rsidRPr="00000000">
              <w:rPr>
                <w:rtl w:val="0"/>
              </w:rPr>
              <w:t xml:space="preserve">NO HAY FUENTES EN INTERNET DISPONIBLES sobre el costo unitario de originación por canal en BBVA Perú; así consignado en la Tabla 23 del Entregable 2 [V].</w:t>
            </w:r>
            <w:commentRangeEnd w:id="2"/>
            <w:r>
              <w:rPr>
                <w:rStyle w:val="CommentReference"/>
              </w:rPr>
              <w:commentReference w:id="2"/>
            </w:r>
            <w:r w:rsidDel="00000000" w:rsidR="00000000" w:rsidRPr="00000000">
              <w:rPr>
                <w:rtl w:val="0"/>
              </w:rPr>
              <w:t xml:space="preserve"> Referencia internacional no extrapolable: la automatización con aprendizaje automático permite ahorrar hasta USD 1,500 por préstamo en el mercado hipotecario estadounidense </w:t>
            </w:r>
            <w:commentRangeStart w:id="3"/>
            <w:r w:rsidDel="00000000" w:rsidR="00000000" w:rsidRPr="00000000">
              <w:rPr>
                <w:rtl w:val="0"/>
              </w:rPr>
              <w:t xml:space="preserve">(Freddie Mac, mayo de 2025, citado en Stealth Agents, 2026)</w:t>
            </w:r>
            <w:commentRangeEnd w:id="3"/>
            <w:r>
              <w:rPr>
                <w:rStyle w:val="CommentReference"/>
              </w:rPr>
              <w:commentReference w:id="3"/>
            </w:r>
            <w:r w:rsidDel="00000000" w:rsidR="00000000" w:rsidRPr="00000000">
              <w:rPr>
                <w:rtl w:val="0"/>
              </w:rPr>
              <w:t xml:space="preserve"> [F referencial].</w:t>
            </w:r>
          </w:p>
        </w:tc>
      </w:tr>
      <w:tr>
        <w:trPr>
          <w:cantSplit w:val="0"/>
          <w:tblHeader w:val="0"/>
        </w:trPr>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14:paraId="00000080">
            <w:pPr>
              <w:spacing w:after="0" w:line="240" w:lineRule="auto"/>
              <w:jc w:val="both"/>
              <w:rPr/>
            </w:pPr>
            <w:r w:rsidDel="00000000" w:rsidR="00000000" w:rsidRPr="00000000">
              <w:rPr>
                <w:rtl w:val="0"/>
              </w:rPr>
              <w:t xml:space="preserve">Indicadores actuales</w:t>
            </w:r>
          </w:p>
        </w:tc>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14:paraId="00000081">
            <w:pPr>
              <w:spacing w:after="0" w:line="240" w:lineRule="auto"/>
              <w:jc w:val="both"/>
              <w:rPr/>
            </w:pPr>
            <w:r w:rsidDel="00000000" w:rsidR="00000000" w:rsidRPr="00000000">
              <w:rPr>
                <w:rtl w:val="0"/>
              </w:rPr>
              <w:t xml:space="preserve">Tasa de originación digital Pyme: 33 % (Reusche, 2026). Transaccionalidad digital del portafolio: 75 %. Clientes Pyme digitales: 74 % (BBVA, 2026b). NPS Pyme: 33.6, frente a 52.57 en retail (Banco BBVA Perú, 2026b). Detalle completo en la Tabla 23 del Entregable 2 [F].</w:t>
            </w:r>
          </w:p>
        </w:tc>
      </w:tr>
    </w:tbl>
    <w:p w:rsidR="00000000" w:rsidDel="00000000" w:rsidP="00000000" w:rsidRDefault="00000000" w:rsidRPr="00000000" w14:paraId="00000082">
      <w:pPr>
        <w:spacing w:after="220" w:before="60" w:line="240" w:lineRule="auto"/>
        <w:jc w:val="both"/>
        <w:rPr/>
      </w:pPr>
      <w:r w:rsidDel="00000000" w:rsidR="00000000" w:rsidRPr="00000000">
        <w:rPr>
          <w:i w:val="1"/>
          <w:iCs w:val="1"/>
          <w:rtl w:val="0"/>
        </w:rPr>
        <w:t xml:space="preserve">Nota. </w:t>
      </w:r>
      <w:r w:rsidDel="00000000" w:rsidR="00000000" w:rsidRPr="00000000">
        <w:rPr>
          <w:rtl w:val="0"/>
        </w:rPr>
        <w:t xml:space="preserve">Elaboración propia con base en las fuentes citadas en cada celda; los vacíos de información se declaran de forma explícita conforme al criterio de evidencia de la sección 3.1 del Entregable 2.</w:t>
      </w:r>
    </w:p>
    <w:p w:rsidR="00000000" w:rsidDel="00000000" w:rsidP="00000000" w:rsidRDefault="00000000" w:rsidRPr="00000000" w14:paraId="00000083">
      <w:pPr>
        <w:pStyle w:val="Heading2"/>
        <w:spacing w:after="160" w:before="260" w:line="360" w:lineRule="auto"/>
        <w:rPr>
          <w:sz w:val="22"/>
          <w:szCs w:val="22"/>
        </w:rPr>
      </w:pPr>
      <w:r w:rsidDel="00000000" w:rsidR="00000000" w:rsidRPr="00000000">
        <w:rPr>
          <w:b w:val="1"/>
          <w:bCs w:val="1"/>
          <w:color w:val="1f3864"/>
          <w:sz w:val="22"/>
          <w:szCs w:val="22"/>
          <w:rtl w:val="0"/>
        </w:rPr>
        <w:t xml:space="preserve">6.2. Descripción As Is del dolor crítico DC2: operaciones no reconocidas</w:t>
      </w:r>
      <w:r w:rsidDel="00000000" w:rsidR="00000000" w:rsidRPr="00000000">
        <w:rPr>
          <w:rtl w:val="0"/>
        </w:rPr>
      </w:r>
    </w:p>
    <w:p w:rsidR="00000000" w:rsidDel="00000000" w:rsidP="00000000" w:rsidRDefault="00000000" w:rsidRPr="00000000" w14:paraId="00000084">
      <w:pPr>
        <w:spacing w:after="0" w:before="200" w:line="240" w:lineRule="auto"/>
        <w:rPr/>
      </w:pPr>
      <w:r w:rsidDel="00000000" w:rsidR="00000000" w:rsidRPr="00000000">
        <w:rPr>
          <w:b w:val="1"/>
          <w:bCs w:val="1"/>
          <w:rtl w:val="0"/>
        </w:rPr>
        <w:t xml:space="preserve">Tabla 32</w:t>
      </w:r>
      <w:r w:rsidDel="00000000" w:rsidR="00000000" w:rsidRPr="00000000">
        <w:rPr>
          <w:rtl w:val="0"/>
        </w:rPr>
      </w:r>
    </w:p>
    <w:p w:rsidR="00000000" w:rsidDel="00000000" w:rsidP="00000000" w:rsidRDefault="00000000" w:rsidRPr="00000000" w14:paraId="00000085">
      <w:pPr>
        <w:spacing w:after="120" w:before="0" w:line="240" w:lineRule="auto"/>
        <w:rPr/>
      </w:pPr>
      <w:r w:rsidDel="00000000" w:rsidR="00000000" w:rsidRPr="00000000">
        <w:rPr>
          <w:i w:val="1"/>
          <w:iCs w:val="1"/>
          <w:rtl w:val="0"/>
        </w:rPr>
        <w:t xml:space="preserve">Descripción As Is del DC2</w:t>
      </w:r>
      <w:r w:rsidDel="00000000" w:rsidR="00000000" w:rsidRPr="00000000">
        <w:rPr>
          <w:rtl w:val="0"/>
        </w:rPr>
      </w:r>
    </w:p>
    <w:tbl>
      <w:tblPr>
        <w:tblStyle w:val="Table6"/>
        <w:tblW w:w="9900.0" w:type="dxa"/>
        <w:jc w:val="left"/>
        <w:tblBorders>
          <w:top w:color="8496b0" w:space="0" w:sz="4" w:val="single"/>
          <w:left w:color="8496b0" w:space="0" w:sz="4" w:val="single"/>
          <w:bottom w:color="8496b0" w:space="0" w:sz="4" w:val="single"/>
          <w:right w:color="8496b0" w:space="0" w:sz="4" w:val="single"/>
          <w:insideH w:color="b4c6e7" w:space="0" w:sz="4" w:val="single"/>
          <w:insideV w:color="b4c6e7" w:space="0" w:sz="4" w:val="single"/>
        </w:tblBorders>
        <w:tblLayout w:type="fixed"/>
        <w:tblLook w:val="0000"/>
      </w:tblPr>
      <w:tblGrid>
        <w:gridCol w:w="2300"/>
        <w:gridCol w:w="7600"/>
        <w:tblGridChange w:id="0">
          <w:tblGrid>
            <w:gridCol w:w="2300"/>
            <w:gridCol w:w="7600"/>
          </w:tblGrid>
        </w:tblGridChange>
      </w:tblGrid>
      <w:tr>
        <w:trPr>
          <w:cantSplit w:val="0"/>
          <w:tblHeader w:val="1"/>
        </w:trPr>
        <w:tc>
          <w:tcPr>
            <w:tcBorders>
              <w:top w:color="b4c6e7" w:space="0" w:sz="4" w:val="single"/>
              <w:left w:color="b4c6e7" w:space="0" w:sz="4" w:val="single"/>
              <w:bottom w:color="b4c6e7" w:space="0" w:sz="4" w:val="single"/>
              <w:right w:color="b4c6e7"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086">
            <w:pPr>
              <w:spacing w:after="0" w:line="240" w:lineRule="auto"/>
              <w:jc w:val="center"/>
              <w:rPr/>
            </w:pPr>
            <w:r w:rsidDel="00000000" w:rsidR="00000000" w:rsidRPr="00000000">
              <w:rPr>
                <w:b w:val="1"/>
                <w:bCs w:val="1"/>
                <w:color w:val="ffffff"/>
                <w:rtl w:val="0"/>
              </w:rPr>
              <w:t xml:space="preserve">Dimensión</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087">
            <w:pPr>
              <w:spacing w:after="0" w:line="240" w:lineRule="auto"/>
              <w:jc w:val="center"/>
              <w:rPr/>
            </w:pPr>
            <w:r w:rsidDel="00000000" w:rsidR="00000000" w:rsidRPr="00000000">
              <w:rPr>
                <w:b w:val="1"/>
                <w:bCs w:val="1"/>
                <w:color w:val="ffffff"/>
                <w:rtl w:val="0"/>
              </w:rPr>
              <w:t xml:space="preserve">Situación As Is</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14:paraId="00000088">
            <w:pPr>
              <w:spacing w:after="0" w:line="240" w:lineRule="auto"/>
              <w:jc w:val="both"/>
              <w:rPr/>
            </w:pPr>
            <w:r w:rsidDel="00000000" w:rsidR="00000000" w:rsidRPr="00000000">
              <w:rPr>
                <w:rtl w:val="0"/>
              </w:rPr>
              <w:t xml:space="preserve">Actores involucrados</w:t>
            </w:r>
          </w:p>
        </w:tc>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14:paraId="00000089">
            <w:pPr>
              <w:spacing w:after="0" w:line="240" w:lineRule="auto"/>
              <w:jc w:val="both"/>
              <w:rPr/>
            </w:pPr>
            <w:r w:rsidDel="00000000" w:rsidR="00000000" w:rsidRPr="00000000">
              <w:rPr>
                <w:rtl w:val="0"/>
              </w:rPr>
              <w:t xml:space="preserve">Cliente reclamante; asesor telefónico, de oficina o canal digital de registro; analista del área de fraude; analista de operaciones; área de atención al cliente; SBS e Indecopi como receptores del reporte regulatorio. Tabla 16 [F].</w:t>
            </w:r>
          </w:p>
        </w:tc>
      </w:tr>
      <w:tr>
        <w:trPr>
          <w:cantSplit w:val="0"/>
          <w:tblHeader w:val="0"/>
        </w:trPr>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14:paraId="0000008A">
            <w:pPr>
              <w:spacing w:after="0" w:line="240" w:lineRule="auto"/>
              <w:jc w:val="both"/>
              <w:rPr/>
            </w:pPr>
            <w:r w:rsidDel="00000000" w:rsidR="00000000" w:rsidRPr="00000000">
              <w:rPr>
                <w:rtl w:val="0"/>
              </w:rPr>
              <w:t xml:space="preserve">Sistemas utilizados</w:t>
            </w:r>
          </w:p>
        </w:tc>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14:paraId="0000008B">
            <w:pPr>
              <w:spacing w:after="0" w:line="240" w:lineRule="auto"/>
              <w:jc w:val="both"/>
              <w:rPr/>
            </w:pPr>
            <w:r w:rsidDel="00000000" w:rsidR="00000000" w:rsidRPr="00000000">
              <w:rPr>
                <w:rtl w:val="0"/>
              </w:rPr>
              <w:t xml:space="preserve">Motor de monitoreo transaccional y reglas antifraude; asistente Blue Buddy; sistema de gestión de reclamos; herramientas de gestión de identidades, monitoreo y respuesta a incidentes; plataforma de datos ADA. Tabla 16 [F].</w:t>
            </w:r>
          </w:p>
        </w:tc>
      </w:tr>
      <w:tr>
        <w:trPr>
          <w:cantSplit w:val="0"/>
          <w:tblHeader w:val="0"/>
        </w:trPr>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14:paraId="0000008C">
            <w:pPr>
              <w:spacing w:after="0" w:line="240" w:lineRule="auto"/>
              <w:jc w:val="both"/>
              <w:rPr/>
            </w:pPr>
            <w:r w:rsidDel="00000000" w:rsidR="00000000" w:rsidRPr="00000000">
              <w:rPr>
                <w:rtl w:val="0"/>
              </w:rPr>
              <w:t xml:space="preserve">Canales de atención</w:t>
            </w:r>
          </w:p>
        </w:tc>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14:paraId="0000008D">
            <w:pPr>
              <w:spacing w:after="0" w:line="240" w:lineRule="auto"/>
              <w:jc w:val="both"/>
              <w:rPr/>
            </w:pPr>
            <w:r w:rsidDel="00000000" w:rsidR="00000000" w:rsidRPr="00000000">
              <w:rPr>
                <w:rtl w:val="0"/>
              </w:rPr>
              <w:t xml:space="preserve">App (alerta y registro del reclamo), contact center, oficina; comunicación formal de resultado mediante carta de respuesta. Tabla 16 [F].</w:t>
            </w:r>
          </w:p>
        </w:tc>
      </w:tr>
      <w:tr>
        <w:trPr>
          <w:cantSplit w:val="0"/>
          <w:tblHeader w:val="0"/>
        </w:trPr>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14:paraId="0000008E">
            <w:pPr>
              <w:spacing w:after="0" w:line="240" w:lineRule="auto"/>
              <w:jc w:val="both"/>
              <w:rPr/>
            </w:pPr>
            <w:r w:rsidDel="00000000" w:rsidR="00000000" w:rsidRPr="00000000">
              <w:rPr>
                <w:rtl w:val="0"/>
              </w:rPr>
              <w:t xml:space="preserve">Actividades manuales</w:t>
            </w:r>
          </w:p>
        </w:tc>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14:paraId="0000008F">
            <w:pPr>
              <w:spacing w:after="0" w:line="240" w:lineRule="auto"/>
              <w:jc w:val="both"/>
              <w:rPr/>
            </w:pPr>
            <w:r w:rsidDel="00000000" w:rsidR="00000000" w:rsidRPr="00000000">
              <w:rPr>
                <w:rtl w:val="0"/>
              </w:rPr>
              <w:t xml:space="preserve">Registro y tipificación del reclamo; análisis del caso y "revisión de las trazas de la operación y consulta de su ciclo de vida mediante las herramientas internas" (explícitamente manual, Tabla 16); coordinación entre las áreas de fraude, operaciones y atención (sección 3.4); decisión sobre procedencia y ejecución del abono o rechazo. Tabla 16 [F].</w:t>
            </w:r>
          </w:p>
        </w:tc>
      </w:tr>
      <w:tr>
        <w:trPr>
          <w:cantSplit w:val="0"/>
          <w:tblHeader w:val="0"/>
        </w:trPr>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14:paraId="00000090">
            <w:pPr>
              <w:spacing w:after="0" w:line="240" w:lineRule="auto"/>
              <w:jc w:val="both"/>
              <w:rPr/>
            </w:pPr>
            <w:r w:rsidDel="00000000" w:rsidR="00000000" w:rsidRPr="00000000">
              <w:rPr>
                <w:rtl w:val="0"/>
              </w:rPr>
              <w:t xml:space="preserve">Tiempos promedio</w:t>
            </w:r>
          </w:p>
        </w:tc>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14:paraId="00000091">
            <w:pPr>
              <w:spacing w:after="0" w:line="240" w:lineRule="auto"/>
              <w:jc w:val="both"/>
              <w:rPr/>
            </w:pPr>
            <w:r w:rsidDel="00000000" w:rsidR="00000000" w:rsidRPr="00000000">
              <w:rPr>
                <w:rtl w:val="0"/>
              </w:rPr>
              <w:t xml:space="preserve">Tiempo promedio ponderado de absolución: 11.29 días en el 2T2026 para los tres productos comprendidos en el análisis, frente a 8.02 días del promedio general de reclamos absueltos por la entidad. Plazo regulatorio: 15 días hábiles, prorrogable de forma excepcional. Cálculo propio con base en Banco BBVA Perú (2026c, 2026d, 2026e); SBS (2022, arts. 7.1 y 7.3) [F].</w:t>
            </w:r>
          </w:p>
        </w:tc>
      </w:tr>
      <w:tr>
        <w:trPr>
          <w:cantSplit w:val="0"/>
          <w:tblHeader w:val="0"/>
        </w:trPr>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14:paraId="00000092">
            <w:pPr>
              <w:spacing w:after="0" w:line="240" w:lineRule="auto"/>
              <w:jc w:val="both"/>
              <w:rPr/>
            </w:pPr>
            <w:r w:rsidDel="00000000" w:rsidR="00000000" w:rsidRPr="00000000">
              <w:rPr>
                <w:rtl w:val="0"/>
              </w:rPr>
              <w:t xml:space="preserve">Errores frecuentes</w:t>
            </w:r>
          </w:p>
        </w:tc>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14:paraId="00000093">
            <w:pPr>
              <w:spacing w:after="0" w:line="240" w:lineRule="auto"/>
              <w:jc w:val="both"/>
              <w:rPr/>
            </w:pPr>
            <w:commentRangeStart w:id="4"/>
            <w:r w:rsidDel="00000000" w:rsidR="00000000" w:rsidRPr="00000000">
              <w:rPr>
                <w:rtl w:val="0"/>
              </w:rPr>
              <w:t xml:space="preserve">NO HAY FUENTES EN INTERNET DISPONIBLES sobre tipos de error operativo específicos de BBVA Perú en este proceso [V].</w:t>
            </w:r>
            <w:commentRangeEnd w:id="4"/>
            <w:r>
              <w:rPr>
                <w:rStyle w:val="CommentReference"/>
              </w:rPr>
              <w:commentReference w:id="4"/>
            </w:r>
            <w:r w:rsidDel="00000000" w:rsidR="00000000" w:rsidRPr="00000000">
              <w:rPr>
                <w:rtl w:val="0"/>
              </w:rPr>
              <w:t xml:space="preserve"> Evidencia indirecta de exposición: BBVA fue identificado entre las cinco entidades con mayor número de infracciones por operaciones no reconocidas en un reportaje de investigación (Alarcón, 2023), lo que sugiere fricciones recurrentes en la instrucción de los casos, sin que la fuente detalle la naturaleza exacta del error [F indirecto].</w:t>
            </w:r>
          </w:p>
        </w:tc>
      </w:tr>
      <w:tr>
        <w:trPr>
          <w:cantSplit w:val="0"/>
          <w:tblHeader w:val="0"/>
        </w:trPr>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14:paraId="00000094">
            <w:pPr>
              <w:spacing w:after="0" w:line="240" w:lineRule="auto"/>
              <w:jc w:val="both"/>
              <w:rPr/>
            </w:pPr>
            <w:r w:rsidDel="00000000" w:rsidR="00000000" w:rsidRPr="00000000">
              <w:rPr>
                <w:rtl w:val="0"/>
              </w:rPr>
              <w:t xml:space="preserve">Costos asociados</w:t>
            </w:r>
          </w:p>
        </w:tc>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14:paraId="00000095">
            <w:pPr>
              <w:spacing w:after="0" w:line="240" w:lineRule="auto"/>
              <w:jc w:val="both"/>
              <w:rPr/>
            </w:pPr>
            <w:commentRangeStart w:id="5"/>
            <w:r w:rsidDel="00000000" w:rsidR="00000000" w:rsidRPr="00000000">
              <w:rPr>
                <w:rtl w:val="0"/>
              </w:rPr>
              <w:t xml:space="preserve">Costo operativo propio de BBVA Perú por caso: NO HAY FUENTES EN INTERNET DISPONIBLES [V].</w:t>
            </w:r>
            <w:commentRangeEnd w:id="5"/>
            <w:r>
              <w:rPr>
                <w:rStyle w:val="CommentReference"/>
              </w:rPr>
              <w:commentReference w:id="5"/>
            </w:r>
            <w:r w:rsidDel="00000000" w:rsidR="00000000" w:rsidRPr="00000000">
              <w:rPr>
                <w:rtl w:val="0"/>
              </w:rPr>
              <w:t xml:space="preserve"> Cifra sectorial, no desagregada por entidad: 3,978.8 UIT en multas del Indecopi entre 2021 y marzo de 2025, de las cuales el 90 % (2,601 sanciones) recayó en el sistema financiero (Andina, 2025) [F sectorial]. Referencia internacional no extrapolable: los quince bancos más grandes de Estados Unidos destinan cerca de USD 3,000 millones anuales a la gestión de contracargos y disputas </w:t>
            </w:r>
            <w:commentRangeStart w:id="6"/>
            <w:r w:rsidDel="00000000" w:rsidR="00000000" w:rsidRPr="00000000">
              <w:rPr>
                <w:rtl w:val="0"/>
              </w:rPr>
              <w:t xml:space="preserve">(Backbase, 2026)</w:t>
            </w:r>
            <w:commentRangeEnd w:id="6"/>
            <w:r>
              <w:rPr>
                <w:rStyle w:val="CommentReference"/>
              </w:rPr>
              <w:commentReference w:id="6"/>
            </w:r>
            <w:r w:rsidDel="00000000" w:rsidR="00000000" w:rsidRPr="00000000">
              <w:rPr>
                <w:rtl w:val="0"/>
              </w:rPr>
              <w:t xml:space="preserve"> [F referencial].</w:t>
            </w:r>
          </w:p>
        </w:tc>
      </w:tr>
      <w:tr>
        <w:trPr>
          <w:cantSplit w:val="0"/>
          <w:tblHeader w:val="0"/>
        </w:trPr>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14:paraId="00000096">
            <w:pPr>
              <w:spacing w:after="0" w:line="240" w:lineRule="auto"/>
              <w:jc w:val="both"/>
              <w:rPr/>
            </w:pPr>
            <w:r w:rsidDel="00000000" w:rsidR="00000000" w:rsidRPr="00000000">
              <w:rPr>
                <w:rtl w:val="0"/>
              </w:rPr>
              <w:t xml:space="preserve">Indicadores actuales</w:t>
            </w:r>
          </w:p>
        </w:tc>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14:paraId="00000097">
            <w:pPr>
              <w:spacing w:after="0" w:line="240" w:lineRule="auto"/>
              <w:jc w:val="both"/>
              <w:rPr/>
            </w:pPr>
            <w:r w:rsidDel="00000000" w:rsidR="00000000" w:rsidRPr="00000000">
              <w:rPr>
                <w:rtl w:val="0"/>
              </w:rPr>
              <w:t xml:space="preserve">Volumen absuelto: 13,959 reclamos en el 2T2026. Tasa de resolución a favor del usuario: 21.63 %. Incidencia: 3.03 reclamos por cada cien mil operaciones. Cálculo propio con base en Banco BBVA Perú (2026c, 2026d, 2026e); detalle completo en la Tabla 24 del Entregable 2 [F].</w:t>
            </w:r>
          </w:p>
        </w:tc>
      </w:tr>
    </w:tbl>
    <w:p w:rsidR="00000000" w:rsidDel="00000000" w:rsidP="00000000" w:rsidRDefault="00000000" w:rsidRPr="00000000" w14:paraId="00000098">
      <w:pPr>
        <w:spacing w:after="220" w:before="60" w:line="240" w:lineRule="auto"/>
        <w:jc w:val="both"/>
        <w:rPr/>
      </w:pPr>
      <w:r w:rsidDel="00000000" w:rsidR="00000000" w:rsidRPr="00000000">
        <w:rPr>
          <w:i w:val="1"/>
          <w:iCs w:val="1"/>
          <w:rtl w:val="0"/>
        </w:rPr>
        <w:t xml:space="preserve">Nota. </w:t>
      </w:r>
      <w:r w:rsidDel="00000000" w:rsidR="00000000" w:rsidRPr="00000000">
        <w:rPr>
          <w:rtl w:val="0"/>
        </w:rPr>
        <w:t xml:space="preserve">Elaboración propia con base en las fuentes citadas en cada celda; los vacíos de información se declaran de forma explícita conforme al criterio de evidencia de la sección 3.1 del Entregable 2.</w:t>
      </w:r>
    </w:p>
    <w:p w:rsidR="00000000" w:rsidDel="00000000" w:rsidP="00000000" w:rsidRDefault="00000000" w:rsidRPr="00000000" w14:paraId="00000099">
      <w:pPr>
        <w:pStyle w:val="Heading2"/>
        <w:spacing w:after="160" w:before="260" w:line="360" w:lineRule="auto"/>
        <w:rPr>
          <w:sz w:val="22"/>
          <w:szCs w:val="22"/>
        </w:rPr>
      </w:pPr>
      <w:r w:rsidDel="00000000" w:rsidR="00000000" w:rsidRPr="00000000">
        <w:rPr>
          <w:b w:val="1"/>
          <w:bCs w:val="1"/>
          <w:color w:val="1f3864"/>
          <w:sz w:val="22"/>
          <w:szCs w:val="22"/>
          <w:rtl w:val="0"/>
        </w:rPr>
        <w:t xml:space="preserve">6.3. Descripción As Is del dolor crítico DC3: contratación por canal digital</w:t>
      </w:r>
      <w:r w:rsidDel="00000000" w:rsidR="00000000" w:rsidRPr="00000000">
        <w:rPr>
          <w:rtl w:val="0"/>
        </w:rPr>
      </w:r>
    </w:p>
    <w:p w:rsidR="00000000" w:rsidDel="00000000" w:rsidP="00000000" w:rsidRDefault="00000000" w:rsidRPr="00000000" w14:paraId="0000009A">
      <w:pPr>
        <w:spacing w:after="0" w:before="200" w:line="240" w:lineRule="auto"/>
        <w:rPr/>
      </w:pPr>
      <w:r w:rsidDel="00000000" w:rsidR="00000000" w:rsidRPr="00000000">
        <w:rPr>
          <w:b w:val="1"/>
          <w:bCs w:val="1"/>
          <w:rtl w:val="0"/>
        </w:rPr>
        <w:t xml:space="preserve">Tabla 33</w:t>
      </w:r>
      <w:r w:rsidDel="00000000" w:rsidR="00000000" w:rsidRPr="00000000">
        <w:rPr>
          <w:rtl w:val="0"/>
        </w:rPr>
      </w:r>
    </w:p>
    <w:p w:rsidR="00000000" w:rsidDel="00000000" w:rsidP="00000000" w:rsidRDefault="00000000" w:rsidRPr="00000000" w14:paraId="0000009B">
      <w:pPr>
        <w:spacing w:after="120" w:before="0" w:line="240" w:lineRule="auto"/>
        <w:rPr/>
      </w:pPr>
      <w:r w:rsidDel="00000000" w:rsidR="00000000" w:rsidRPr="00000000">
        <w:rPr>
          <w:i w:val="1"/>
          <w:iCs w:val="1"/>
          <w:rtl w:val="0"/>
        </w:rPr>
        <w:t xml:space="preserve">Descripción As Is del DC3</w:t>
      </w:r>
      <w:r w:rsidDel="00000000" w:rsidR="00000000" w:rsidRPr="00000000">
        <w:rPr>
          <w:rtl w:val="0"/>
        </w:rPr>
      </w:r>
    </w:p>
    <w:tbl>
      <w:tblPr>
        <w:tblStyle w:val="Table7"/>
        <w:tblW w:w="9900.0" w:type="dxa"/>
        <w:jc w:val="left"/>
        <w:tblBorders>
          <w:top w:color="8496b0" w:space="0" w:sz="4" w:val="single"/>
          <w:left w:color="8496b0" w:space="0" w:sz="4" w:val="single"/>
          <w:bottom w:color="8496b0" w:space="0" w:sz="4" w:val="single"/>
          <w:right w:color="8496b0" w:space="0" w:sz="4" w:val="single"/>
          <w:insideH w:color="b4c6e7" w:space="0" w:sz="4" w:val="single"/>
          <w:insideV w:color="b4c6e7" w:space="0" w:sz="4" w:val="single"/>
        </w:tblBorders>
        <w:tblLayout w:type="fixed"/>
        <w:tblLook w:val="0000"/>
      </w:tblPr>
      <w:tblGrid>
        <w:gridCol w:w="2300"/>
        <w:gridCol w:w="7600"/>
        <w:tblGridChange w:id="0">
          <w:tblGrid>
            <w:gridCol w:w="2300"/>
            <w:gridCol w:w="7600"/>
          </w:tblGrid>
        </w:tblGridChange>
      </w:tblGrid>
      <w:tr>
        <w:trPr>
          <w:cantSplit w:val="0"/>
          <w:tblHeader w:val="1"/>
        </w:trPr>
        <w:tc>
          <w:tcPr>
            <w:tcBorders>
              <w:top w:color="b4c6e7" w:space="0" w:sz="4" w:val="single"/>
              <w:left w:color="b4c6e7" w:space="0" w:sz="4" w:val="single"/>
              <w:bottom w:color="b4c6e7" w:space="0" w:sz="4" w:val="single"/>
              <w:right w:color="b4c6e7"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09C">
            <w:pPr>
              <w:spacing w:after="0" w:line="240" w:lineRule="auto"/>
              <w:jc w:val="center"/>
              <w:rPr/>
            </w:pPr>
            <w:r w:rsidDel="00000000" w:rsidR="00000000" w:rsidRPr="00000000">
              <w:rPr>
                <w:b w:val="1"/>
                <w:bCs w:val="1"/>
                <w:color w:val="ffffff"/>
                <w:rtl w:val="0"/>
              </w:rPr>
              <w:t xml:space="preserve">Dimensión</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1f3864" w:val="clear"/>
            <w:tcMar>
              <w:top w:w="60.0" w:type="dxa"/>
              <w:left w:w="90.0" w:type="dxa"/>
              <w:bottom w:w="60.0" w:type="dxa"/>
              <w:right w:w="90.0" w:type="dxa"/>
            </w:tcMar>
            <w:vAlign w:val="center"/>
          </w:tcPr>
          <w:p w:rsidR="00000000" w:rsidDel="00000000" w:rsidP="00000000" w:rsidRDefault="00000000" w:rsidRPr="00000000" w14:paraId="0000009D">
            <w:pPr>
              <w:spacing w:after="0" w:line="240" w:lineRule="auto"/>
              <w:jc w:val="center"/>
              <w:rPr/>
            </w:pPr>
            <w:r w:rsidDel="00000000" w:rsidR="00000000" w:rsidRPr="00000000">
              <w:rPr>
                <w:b w:val="1"/>
                <w:bCs w:val="1"/>
                <w:color w:val="ffffff"/>
                <w:rtl w:val="0"/>
              </w:rPr>
              <w:t xml:space="preserve">Situación As Is</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14:paraId="0000009E">
            <w:pPr>
              <w:spacing w:after="0" w:line="240" w:lineRule="auto"/>
              <w:jc w:val="both"/>
              <w:rPr/>
            </w:pPr>
            <w:r w:rsidDel="00000000" w:rsidR="00000000" w:rsidRPr="00000000">
              <w:rPr>
                <w:rtl w:val="0"/>
              </w:rPr>
              <w:t xml:space="preserve">Actores involucrados</w:t>
            </w:r>
          </w:p>
        </w:tc>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14:paraId="0000009F">
            <w:pPr>
              <w:spacing w:after="0" w:line="240" w:lineRule="auto"/>
              <w:jc w:val="both"/>
              <w:rPr/>
            </w:pPr>
            <w:r w:rsidDel="00000000" w:rsidR="00000000" w:rsidRPr="00000000">
              <w:rPr>
                <w:rtl w:val="0"/>
              </w:rPr>
              <w:t xml:space="preserve">Cliente o no cliente interesado en contratar un producto; asistente Blue Buddy; personal de oficina que atiende los casos derivados. Tabla 17; Anexo B [F].</w:t>
            </w:r>
          </w:p>
        </w:tc>
      </w:tr>
      <w:tr>
        <w:trPr>
          <w:cantSplit w:val="0"/>
          <w:tblHeader w:val="0"/>
        </w:trPr>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14:paraId="000000A0">
            <w:pPr>
              <w:spacing w:after="0" w:line="240" w:lineRule="auto"/>
              <w:jc w:val="both"/>
              <w:rPr/>
            </w:pPr>
            <w:r w:rsidDel="00000000" w:rsidR="00000000" w:rsidRPr="00000000">
              <w:rPr>
                <w:rtl w:val="0"/>
              </w:rPr>
              <w:t xml:space="preserve">Sistemas utilizados</w:t>
            </w:r>
          </w:p>
        </w:tc>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14:paraId="000000A1">
            <w:pPr>
              <w:spacing w:after="0" w:line="240" w:lineRule="auto"/>
              <w:jc w:val="both"/>
              <w:rPr/>
            </w:pPr>
            <w:r w:rsidDel="00000000" w:rsidR="00000000" w:rsidRPr="00000000">
              <w:rPr>
                <w:rtl w:val="0"/>
              </w:rPr>
              <w:t xml:space="preserve">App BBVA, web, simuladores, flujo digital de contratación —incluido el proceso íntegramente digital para no clientes lanzado a inicios de 2026—, cajeros, agentes, Plin y QR. Tabla 17; A. Moquillaza, comunicación personal, 11 de setiembre de 2026 [F].</w:t>
            </w:r>
          </w:p>
        </w:tc>
      </w:tr>
      <w:tr>
        <w:trPr>
          <w:cantSplit w:val="0"/>
          <w:tblHeader w:val="0"/>
        </w:trPr>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14:paraId="000000A2">
            <w:pPr>
              <w:spacing w:after="0" w:line="240" w:lineRule="auto"/>
              <w:jc w:val="both"/>
              <w:rPr/>
            </w:pPr>
            <w:r w:rsidDel="00000000" w:rsidR="00000000" w:rsidRPr="00000000">
              <w:rPr>
                <w:rtl w:val="0"/>
              </w:rPr>
              <w:t xml:space="preserve">Canales de atención</w:t>
            </w:r>
          </w:p>
        </w:tc>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14:paraId="000000A3">
            <w:pPr>
              <w:spacing w:after="0" w:line="240" w:lineRule="auto"/>
              <w:jc w:val="both"/>
              <w:rPr/>
            </w:pPr>
            <w:r w:rsidDel="00000000" w:rsidR="00000000" w:rsidRPr="00000000">
              <w:rPr>
                <w:rtl w:val="0"/>
              </w:rPr>
              <w:t xml:space="preserve">App BBVA (85 % de las operaciones monetarias), web, publicidad, oficina, contact center. Tabla 17; Banco BBVA Perú (2026a, p. 3) [F].</w:t>
            </w:r>
          </w:p>
        </w:tc>
      </w:tr>
      <w:tr>
        <w:trPr>
          <w:cantSplit w:val="0"/>
          <w:tblHeader w:val="0"/>
        </w:trPr>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14:paraId="000000A4">
            <w:pPr>
              <w:spacing w:after="0" w:line="240" w:lineRule="auto"/>
              <w:jc w:val="both"/>
              <w:rPr/>
            </w:pPr>
            <w:r w:rsidDel="00000000" w:rsidR="00000000" w:rsidRPr="00000000">
              <w:rPr>
                <w:rtl w:val="0"/>
              </w:rPr>
              <w:t xml:space="preserve">Actividades manuales</w:t>
            </w:r>
          </w:p>
        </w:tc>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14:paraId="000000A5">
            <w:pPr>
              <w:spacing w:after="0" w:line="240" w:lineRule="auto"/>
              <w:jc w:val="both"/>
              <w:rPr/>
            </w:pPr>
            <w:r w:rsidDel="00000000" w:rsidR="00000000" w:rsidRPr="00000000">
              <w:rPr>
                <w:rtl w:val="0"/>
              </w:rPr>
              <w:t xml:space="preserve">Derivación a oficina física cuando el sistema detiene el recorrido ante perfiles no contemplados —usuarios menores de edad o con carné de extranjería—; formalización presencial de esos casos. A. Moquillaza, comunicación personal, 11 de setiembre de 2026 [F].</w:t>
            </w:r>
          </w:p>
        </w:tc>
      </w:tr>
      <w:tr>
        <w:trPr>
          <w:cantSplit w:val="0"/>
          <w:tblHeader w:val="0"/>
        </w:trPr>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14:paraId="000000A6">
            <w:pPr>
              <w:spacing w:after="0" w:line="240" w:lineRule="auto"/>
              <w:jc w:val="both"/>
              <w:rPr/>
            </w:pPr>
            <w:r w:rsidDel="00000000" w:rsidR="00000000" w:rsidRPr="00000000">
              <w:rPr>
                <w:rtl w:val="0"/>
              </w:rPr>
              <w:t xml:space="preserve">Tiempos promedio</w:t>
            </w:r>
          </w:p>
        </w:tc>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14:paraId="000000A7">
            <w:pPr>
              <w:spacing w:after="0" w:line="240" w:lineRule="auto"/>
              <w:jc w:val="both"/>
              <w:rPr/>
            </w:pPr>
            <w:r w:rsidDel="00000000" w:rsidR="00000000" w:rsidRPr="00000000">
              <w:rPr>
                <w:rtl w:val="0"/>
              </w:rPr>
              <w:t xml:space="preserve">Proceso 100 % digital para no clientes: menos de 5 minutos. A. Moquillaza, comunicación personal, 11 de setiembre de 2026 [F]. </w:t>
            </w:r>
            <w:commentRangeStart w:id="7"/>
            <w:r w:rsidDel="00000000" w:rsidR="00000000" w:rsidRPr="00000000">
              <w:rPr>
                <w:rtl w:val="0"/>
              </w:rPr>
              <w:t xml:space="preserve">Tiempo de la ruta derivada a oficina: NO HAY FUENTES EN INTERNET DISPONIBLES [V].</w:t>
            </w:r>
            <w:commentRangeEnd w:id="7"/>
            <w:r>
              <w:rPr>
                <w:rStyle w:val="CommentReference"/>
              </w:rPr>
              <w:commentReference w:id="7"/>
            </w:r>
          </w:p>
        </w:tc>
      </w:tr>
      <w:tr>
        <w:trPr>
          <w:cantSplit w:val="0"/>
          <w:tblHeader w:val="0"/>
        </w:trPr>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14:paraId="000000A8">
            <w:pPr>
              <w:spacing w:after="0" w:line="240" w:lineRule="auto"/>
              <w:jc w:val="both"/>
              <w:rPr/>
            </w:pPr>
            <w:r w:rsidDel="00000000" w:rsidR="00000000" w:rsidRPr="00000000">
              <w:rPr>
                <w:rtl w:val="0"/>
              </w:rPr>
              <w:t xml:space="preserve">Errores frecuentes</w:t>
            </w:r>
          </w:p>
        </w:tc>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14:paraId="000000A9">
            <w:pPr>
              <w:spacing w:after="0" w:line="240" w:lineRule="auto"/>
              <w:jc w:val="both"/>
              <w:rPr/>
            </w:pPr>
            <w:commentRangeStart w:id="8"/>
            <w:r w:rsidDel="00000000" w:rsidR="00000000" w:rsidRPr="00000000">
              <w:rPr>
                <w:rtl w:val="0"/>
              </w:rPr>
              <w:t xml:space="preserve">NO HAY FUENTES EN INTERNET DISPONIBLES sobre la tasa de abandono o error propia de BBVA Perú en este flujo; así consignado en la Tabla 25 del Entregable 2 [V].</w:t>
            </w:r>
            <w:commentRangeEnd w:id="8"/>
            <w:r>
              <w:rPr>
                <w:rStyle w:val="CommentReference"/>
              </w:rPr>
              <w:commentReference w:id="8"/>
            </w:r>
            <w:r w:rsidDel="00000000" w:rsidR="00000000" w:rsidRPr="00000000">
              <w:rPr>
                <w:rtl w:val="0"/>
              </w:rPr>
              <w:t xml:space="preserve"> Referencia de industria, no propia de BBVA Perú: la automatización conversacional del onboarding reduce el abandono de solicitudes hasta en 18 % (Kore.ai, 2026), lo que sugiere que el abandono es un fenómeno relevante en la industria [F referencial].</w:t>
            </w:r>
          </w:p>
        </w:tc>
      </w:tr>
      <w:tr>
        <w:trPr>
          <w:cantSplit w:val="0"/>
          <w:tblHeader w:val="0"/>
        </w:trPr>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14:paraId="000000AA">
            <w:pPr>
              <w:spacing w:after="0" w:line="240" w:lineRule="auto"/>
              <w:jc w:val="both"/>
              <w:rPr/>
            </w:pPr>
            <w:r w:rsidDel="00000000" w:rsidR="00000000" w:rsidRPr="00000000">
              <w:rPr>
                <w:rtl w:val="0"/>
              </w:rPr>
              <w:t xml:space="preserve">Costos asociados</w:t>
            </w:r>
          </w:p>
        </w:tc>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14:paraId="000000AB">
            <w:pPr>
              <w:spacing w:after="0" w:line="240" w:lineRule="auto"/>
              <w:jc w:val="both"/>
              <w:rPr/>
            </w:pPr>
            <w:commentRangeStart w:id="9"/>
            <w:r w:rsidDel="00000000" w:rsidR="00000000" w:rsidRPr="00000000">
              <w:rPr>
                <w:rtl w:val="0"/>
              </w:rPr>
              <w:t xml:space="preserve">NO HAY FUENTES EN INTERNET DISPONIBLES sobre el costo de adquisición por canal en BBVA Perú; así consignado en la Tabla 25 del Entregable 2 [V].</w:t>
            </w:r>
            <w:commentRangeEnd w:id="9"/>
            <w:r>
              <w:rPr>
                <w:rStyle w:val="CommentReference"/>
              </w:rPr>
              <w:commentReference w:id="9"/>
            </w:r>
          </w:p>
        </w:tc>
      </w:tr>
      <w:tr>
        <w:trPr>
          <w:cantSplit w:val="0"/>
          <w:tblHeader w:val="0"/>
        </w:trPr>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14:paraId="000000AC">
            <w:pPr>
              <w:spacing w:after="0" w:line="240" w:lineRule="auto"/>
              <w:jc w:val="both"/>
              <w:rPr/>
            </w:pPr>
            <w:r w:rsidDel="00000000" w:rsidR="00000000" w:rsidRPr="00000000">
              <w:rPr>
                <w:rtl w:val="0"/>
              </w:rPr>
              <w:t xml:space="preserve">Indicadores actuales</w:t>
            </w:r>
          </w:p>
        </w:tc>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14:paraId="000000AD">
            <w:pPr>
              <w:spacing w:after="0" w:line="240" w:lineRule="auto"/>
              <w:jc w:val="both"/>
              <w:rPr/>
            </w:pPr>
            <w:r w:rsidDel="00000000" w:rsidR="00000000" w:rsidRPr="00000000">
              <w:rPr>
                <w:rtl w:val="0"/>
              </w:rPr>
              <w:t xml:space="preserve">Penetración digital: 33 % en cuentas, 50 % en tarjetas de crédito, 54 % en préstamos de consumo y 93 % en cambio de moneda al 2T2026, con retroceso frente al cierre de 2025 en tres de los cuatro productos. Ventas digitales totales: 79.57 %. Banco BBVA Perú (2025, 2026a, p. 3); detalle completo en la Tabla 25 del Entregable 2 [F].</w:t>
            </w:r>
          </w:p>
        </w:tc>
      </w:tr>
    </w:tbl>
    <w:p w:rsidR="00000000" w:rsidDel="00000000" w:rsidP="00000000" w:rsidRDefault="00000000" w:rsidRPr="00000000" w14:paraId="000000AE">
      <w:pPr>
        <w:spacing w:after="220" w:before="60" w:line="240" w:lineRule="auto"/>
        <w:jc w:val="both"/>
        <w:rPr/>
      </w:pPr>
      <w:r w:rsidDel="00000000" w:rsidR="00000000" w:rsidRPr="00000000">
        <w:rPr>
          <w:i w:val="1"/>
          <w:iCs w:val="1"/>
          <w:rtl w:val="0"/>
        </w:rPr>
        <w:t xml:space="preserve">Nota. </w:t>
      </w:r>
      <w:r w:rsidDel="00000000" w:rsidR="00000000" w:rsidRPr="00000000">
        <w:rPr>
          <w:rtl w:val="0"/>
        </w:rPr>
        <w:t xml:space="preserve">Elaboración propia con base en las fuentes citadas en cada celda; los vacíos de información se declaran de forma explícita conforme al criterio de evidencia de la sección 3.1 del Entregable 2.</w:t>
      </w:r>
    </w:p>
    <w:p w:rsidR="00000000" w:rsidDel="00000000" w:rsidP="00000000" w:rsidRDefault="00000000" w:rsidRPr="00000000" w14:paraId="000000AF">
      <w:pPr>
        <w:spacing w:after="200" w:before="0" w:line="360" w:lineRule="auto"/>
        <w:jc w:val="both"/>
        <w:rPr/>
      </w:pPr>
      <w:r w:rsidDel="00000000" w:rsidR="00000000" w:rsidRPr="00000000">
        <w:rPr>
          <w:rtl w:val="0"/>
        </w:rPr>
        <w:t xml:space="preserve">De los tres dolores, DC1 y DC3 comparten el mismo tipo de vacío: ninguno cuenta con línea base pública de tiempos ni de costos para su ruta asistida o derivada, porque esa información corresponde a gestión interna que la entidad no publica en sus reportes al mercado —la misma limitación ya declarada en la sección 4.4 del Entregable 2—. DC2 es el único de los tres dolores críticos que cuenta con una línea base pública completa de tiempos e indicadores de volumen, por derivar de un reporte regulatorio de periodicidad mensual. Esta asimetría en la disponibilidad de evidencia debe considerarse al momento de definir el orden de implementación de las tres iniciativas: la hipótesis del DC2 es la que puede medirse desde el primer día sin depender de un levantamiento interno previo.</w:t>
      </w:r>
      <w:r>
        <w:t xml:space="preserve"> No obstante esta asimetría, el equipo ha decidido concentrar el desarrollo de la iniciativa a partir de esta entrega en el dolor DC3, conforme a los motivos de disponibilidad de información expuestos en la sección 5.1; el primer objetivo de la fase de implementación será cerrar precisamente el vacío de línea base señalado en el párrafo anterior, mediante levantamiento interno o mediante instrumentación directa del propio agente conversacional propuesto en la sección 5.4.</w:t>
      </w:r>
    </w:p>
    <w:p w:rsidR="00000000" w:rsidDel="00000000" w:rsidP="00000000" w:rsidRDefault="00000000" w:rsidRPr="00000000" w14:paraId="000000B0">
      <w:pPr>
        <w:pStyle w:val="Heading1"/>
        <w:spacing w:after="200" w:before="320" w:line="360" w:lineRule="auto"/>
        <w:rPr>
          <w:sz w:val="22"/>
          <w:szCs w:val="22"/>
        </w:rPr>
      </w:pPr>
      <w:r w:rsidDel="00000000" w:rsidR="00000000" w:rsidRPr="00000000">
        <w:rPr>
          <w:b w:val="1"/>
          <w:bCs w:val="1"/>
          <w:color w:val="1f3864"/>
          <w:sz w:val="22"/>
          <w:szCs w:val="22"/>
          <w:rtl w:val="0"/>
        </w:rPr>
        <w:t xml:space="preserve">7. Referencias bibliográficas</w:t>
      </w:r>
      <w:r w:rsidDel="00000000" w:rsidR="00000000" w:rsidRPr="00000000">
        <w:rPr>
          <w:rtl w:val="0"/>
        </w:rPr>
      </w:r>
    </w:p>
    <w:p w:rsidR="00000000" w:rsidDel="00000000" w:rsidP="00000000" w:rsidRDefault="00000000" w:rsidRPr="00000000" w14:paraId="000000B1">
      <w:pPr>
        <w:spacing w:after="160" w:line="360" w:lineRule="auto"/>
        <w:ind w:left="720" w:hanging="720"/>
        <w:rPr/>
      </w:pPr>
      <w:r w:rsidDel="00000000" w:rsidR="00000000" w:rsidRPr="00000000">
        <w:rPr>
          <w:rtl w:val="0"/>
        </w:rPr>
        <w:t xml:space="preserve">Alarcón, L. (2023, 27 de agosto). Robos digitales: las millonarias multas a los bancos por consumos no reconocidos. </w:t>
      </w:r>
      <w:r w:rsidDel="00000000" w:rsidR="00000000" w:rsidRPr="00000000">
        <w:rPr>
          <w:i w:val="1"/>
          <w:iCs w:val="1"/>
          <w:rtl w:val="0"/>
        </w:rPr>
        <w:t xml:space="preserve">Ojo Público</w:t>
      </w:r>
      <w:r w:rsidDel="00000000" w:rsidR="00000000" w:rsidRPr="00000000">
        <w:rPr>
          <w:rtl w:val="0"/>
        </w:rPr>
        <w:t xml:space="preserve">. </w:t>
      </w:r>
      <w:hyperlink r:id="rId8">
        <w:r w:rsidDel="00000000" w:rsidR="00000000" w:rsidRPr="00000000">
          <w:rPr>
            <w:color w:val="1155cc"/>
            <w:u w:val="single"/>
            <w:rtl w:val="0"/>
          </w:rPr>
          <w:t xml:space="preserve">https://ojo-publico.com/4559/las-millonarias-multas-los-bancos-por-consumos-no-reconocidos</w:t>
        </w:r>
      </w:hyperlink>
      <w:r w:rsidDel="00000000" w:rsidR="00000000" w:rsidRPr="00000000">
        <w:rPr>
          <w:rtl w:val="0"/>
        </w:rPr>
      </w:r>
    </w:p>
    <w:p w:rsidR="00000000" w:rsidDel="00000000" w:rsidP="00000000" w:rsidRDefault="00000000" w:rsidRPr="00000000" w14:paraId="000000B2">
      <w:pPr>
        <w:spacing w:after="160" w:line="360" w:lineRule="auto"/>
        <w:ind w:left="720" w:hanging="720"/>
        <w:rPr/>
      </w:pPr>
      <w:r w:rsidDel="00000000" w:rsidR="00000000" w:rsidRPr="00000000">
        <w:rPr>
          <w:rtl w:val="0"/>
        </w:rPr>
        <w:t xml:space="preserve">Andina. (2025, 16 de abril). Indecopi: sistema financiero concentra 90 % de sanciones por operaciones no reconocidas. </w:t>
      </w:r>
      <w:r w:rsidDel="00000000" w:rsidR="00000000" w:rsidRPr="00000000">
        <w:rPr>
          <w:i w:val="1"/>
          <w:iCs w:val="1"/>
          <w:rtl w:val="0"/>
        </w:rPr>
        <w:t xml:space="preserve">Agencia Peruana de Noticias Andina</w:t>
      </w:r>
      <w:r w:rsidDel="00000000" w:rsidR="00000000" w:rsidRPr="00000000">
        <w:rPr>
          <w:rtl w:val="0"/>
        </w:rPr>
        <w:t xml:space="preserve">. </w:t>
      </w:r>
      <w:hyperlink r:id="rId9">
        <w:r w:rsidDel="00000000" w:rsidR="00000000" w:rsidRPr="00000000">
          <w:rPr>
            <w:color w:val="1155cc"/>
            <w:u w:val="single"/>
            <w:rtl w:val="0"/>
          </w:rPr>
          <w:t xml:space="preserve">https://andina.pe/agencia/noticia-indecopi-sistema-financiero-concentra-90-sanciones-operaciones-no-reconocidas-1026373.aspx</w:t>
        </w:r>
      </w:hyperlink>
      <w:r w:rsidDel="00000000" w:rsidR="00000000" w:rsidRPr="00000000">
        <w:rPr>
          <w:rtl w:val="0"/>
        </w:rPr>
      </w:r>
    </w:p>
    <w:p w:rsidR="00000000" w:rsidDel="00000000" w:rsidP="00000000" w:rsidRDefault="00000000" w:rsidRPr="00000000" w14:paraId="000000B3">
      <w:pPr>
        <w:spacing w:after="160" w:line="360" w:lineRule="auto"/>
        <w:ind w:left="720" w:hanging="720"/>
        <w:rPr/>
      </w:pPr>
      <w:r w:rsidDel="00000000" w:rsidR="00000000" w:rsidRPr="00000000">
        <w:rPr>
          <w:rtl w:val="0"/>
        </w:rPr>
        <w:t xml:space="preserve">Backbase. (2026, 26 de mayo). </w:t>
      </w:r>
      <w:r w:rsidDel="00000000" w:rsidR="00000000" w:rsidRPr="00000000">
        <w:rPr>
          <w:i w:val="1"/>
          <w:iCs w:val="1"/>
          <w:rtl w:val="0"/>
        </w:rPr>
        <w:t xml:space="preserve">AI banking dispute resolution automation</w:t>
      </w:r>
      <w:r w:rsidDel="00000000" w:rsidR="00000000" w:rsidRPr="00000000">
        <w:rPr>
          <w:rtl w:val="0"/>
        </w:rPr>
        <w:t xml:space="preserve">. </w:t>
      </w:r>
      <w:hyperlink r:id="rId10">
        <w:r w:rsidDel="00000000" w:rsidR="00000000" w:rsidRPr="00000000">
          <w:rPr>
            <w:color w:val="1155cc"/>
            <w:u w:val="single"/>
            <w:rtl w:val="0"/>
          </w:rPr>
          <w:t xml:space="preserve">https://www.backbase.com/blog/ai-banking-dispute-resolution-automation</w:t>
        </w:r>
      </w:hyperlink>
      <w:r w:rsidDel="00000000" w:rsidR="00000000" w:rsidRPr="00000000">
        <w:rPr>
          <w:rtl w:val="0"/>
        </w:rPr>
      </w:r>
    </w:p>
    <w:p w:rsidR="00000000" w:rsidDel="00000000" w:rsidP="00000000" w:rsidRDefault="00000000" w:rsidRPr="00000000" w14:paraId="000000B4">
      <w:pPr>
        <w:spacing w:after="160" w:line="360" w:lineRule="auto"/>
        <w:ind w:left="720" w:hanging="720"/>
        <w:rPr/>
      </w:pPr>
      <w:r w:rsidDel="00000000" w:rsidR="00000000" w:rsidRPr="00000000">
        <w:rPr>
          <w:rtl w:val="0"/>
        </w:rPr>
        <w:t xml:space="preserve">Banco BBVA Perú. (s. f.-b). Fast Cash. Recuperado el 12 de setiembre de 2026, de </w:t>
      </w:r>
      <w:hyperlink r:id="rId11">
        <w:r w:rsidDel="00000000" w:rsidR="00000000" w:rsidRPr="00000000">
          <w:rPr>
            <w:color w:val="1155cc"/>
            <w:u w:val="single"/>
            <w:rtl w:val="0"/>
          </w:rPr>
          <w:t xml:space="preserve">https://www.bbva.pe/pymes/productos/financiamiento/fast-cash.html</w:t>
        </w:r>
      </w:hyperlink>
      <w:r w:rsidDel="00000000" w:rsidR="00000000" w:rsidRPr="00000000">
        <w:rPr>
          <w:rtl w:val="0"/>
        </w:rPr>
      </w:r>
    </w:p>
    <w:p w:rsidR="00000000" w:rsidDel="00000000" w:rsidP="00000000" w:rsidRDefault="00000000" w:rsidRPr="00000000" w14:paraId="000000B5">
      <w:pPr>
        <w:spacing w:after="160" w:line="360" w:lineRule="auto"/>
        <w:ind w:left="720" w:hanging="720"/>
        <w:rPr/>
      </w:pPr>
      <w:r w:rsidDel="00000000" w:rsidR="00000000" w:rsidRPr="00000000">
        <w:rPr>
          <w:rtl w:val="0"/>
        </w:rPr>
        <w:t xml:space="preserve">Banco BBVA Perú. (s. f.-c). Préstamo digital negocio. Recuperado el 12 de setiembre de 2026, de </w:t>
      </w:r>
      <w:hyperlink r:id="rId12">
        <w:r w:rsidDel="00000000" w:rsidR="00000000" w:rsidRPr="00000000">
          <w:rPr>
            <w:color w:val="1155cc"/>
            <w:u w:val="single"/>
            <w:rtl w:val="0"/>
          </w:rPr>
          <w:t xml:space="preserve">https://www.bbva.pe/pymes/productos/financiamiento/prestamo-digital-negocio.html</w:t>
        </w:r>
      </w:hyperlink>
      <w:r w:rsidDel="00000000" w:rsidR="00000000" w:rsidRPr="00000000">
        <w:rPr>
          <w:rtl w:val="0"/>
        </w:rPr>
      </w:r>
    </w:p>
    <w:p w:rsidR="00000000" w:rsidDel="00000000" w:rsidP="00000000" w:rsidRDefault="00000000" w:rsidRPr="00000000" w14:paraId="000000B6">
      <w:pPr>
        <w:spacing w:after="160" w:line="360" w:lineRule="auto"/>
        <w:ind w:left="720" w:hanging="720"/>
        <w:rPr/>
      </w:pPr>
      <w:r w:rsidDel="00000000" w:rsidR="00000000" w:rsidRPr="00000000">
        <w:rPr>
          <w:rtl w:val="0"/>
        </w:rPr>
        <w:t xml:space="preserve">Banco BBVA Perú. (2025). Informe de gerencia: Cuarto trimestre 2025. </w:t>
      </w:r>
      <w:hyperlink r:id="rId13">
        <w:r w:rsidDel="00000000" w:rsidR="00000000" w:rsidRPr="00000000">
          <w:rPr>
            <w:color w:val="1155cc"/>
            <w:u w:val="single"/>
            <w:rtl w:val="0"/>
          </w:rPr>
          <w:t xml:space="preserve">https://www.bbva.pe/content/dam/public-web/peru/documents/personas/investor-relations/BBVA_Peru_Informe_de_Gestion_4Q25.pdf</w:t>
        </w:r>
      </w:hyperlink>
      <w:r w:rsidDel="00000000" w:rsidR="00000000" w:rsidRPr="00000000">
        <w:rPr>
          <w:rtl w:val="0"/>
        </w:rPr>
      </w:r>
    </w:p>
    <w:p w:rsidR="00000000" w:rsidDel="00000000" w:rsidP="00000000" w:rsidRDefault="00000000" w:rsidRPr="00000000" w14:paraId="000000B7">
      <w:pPr>
        <w:spacing w:after="160" w:line="360" w:lineRule="auto"/>
        <w:ind w:left="720" w:hanging="720"/>
        <w:rPr/>
      </w:pPr>
      <w:r w:rsidDel="00000000" w:rsidR="00000000" w:rsidRPr="00000000">
        <w:rPr>
          <w:rtl w:val="0"/>
        </w:rPr>
        <w:t xml:space="preserve">Banco BBVA Perú. (2026a). </w:t>
      </w:r>
      <w:r w:rsidDel="00000000" w:rsidR="00000000" w:rsidRPr="00000000">
        <w:rPr>
          <w:i w:val="1"/>
          <w:iCs w:val="1"/>
          <w:rtl w:val="0"/>
        </w:rPr>
        <w:t xml:space="preserve">Informe de gestión 2T 2026</w:t>
      </w:r>
      <w:r w:rsidDel="00000000" w:rsidR="00000000" w:rsidRPr="00000000">
        <w:rPr>
          <w:rtl w:val="0"/>
        </w:rPr>
        <w:t xml:space="preserve">. </w:t>
      </w:r>
      <w:hyperlink r:id="rId14">
        <w:r w:rsidDel="00000000" w:rsidR="00000000" w:rsidRPr="00000000">
          <w:rPr>
            <w:color w:val="1155cc"/>
            <w:u w:val="single"/>
            <w:rtl w:val="0"/>
          </w:rPr>
          <w:t xml:space="preserve">https://www.bbva.pe/content/dam/public-web/peru/documents/prefooter/informacion-financiera/informacion-anual/2026/informe-de-gestion-2T2026.pdf</w:t>
        </w:r>
      </w:hyperlink>
      <w:r w:rsidDel="00000000" w:rsidR="00000000" w:rsidRPr="00000000">
        <w:rPr>
          <w:rtl w:val="0"/>
        </w:rPr>
      </w:r>
    </w:p>
    <w:p w:rsidR="00000000" w:rsidDel="00000000" w:rsidP="00000000" w:rsidRDefault="00000000" w:rsidRPr="00000000" w14:paraId="000000B8">
      <w:pPr>
        <w:spacing w:after="160" w:line="360" w:lineRule="auto"/>
        <w:ind w:left="720" w:hanging="720"/>
        <w:rPr/>
      </w:pPr>
      <w:r w:rsidDel="00000000" w:rsidR="00000000" w:rsidRPr="00000000">
        <w:rPr>
          <w:rtl w:val="0"/>
        </w:rPr>
        <w:t xml:space="preserve">Banco BBVA Perú. (2026b). </w:t>
      </w:r>
      <w:r w:rsidDel="00000000" w:rsidR="00000000" w:rsidRPr="00000000">
        <w:rPr>
          <w:i w:val="1"/>
          <w:iCs w:val="1"/>
          <w:rtl w:val="0"/>
        </w:rPr>
        <w:t xml:space="preserve">Memoria anual 2025: ¿Avanzamos? Informe integrado</w:t>
      </w:r>
      <w:r w:rsidDel="00000000" w:rsidR="00000000" w:rsidRPr="00000000">
        <w:rPr>
          <w:rtl w:val="0"/>
        </w:rPr>
        <w:t xml:space="preserve">. </w:t>
      </w:r>
      <w:hyperlink r:id="rId15">
        <w:r w:rsidDel="00000000" w:rsidR="00000000" w:rsidRPr="00000000">
          <w:rPr>
            <w:color w:val="1155cc"/>
            <w:u w:val="single"/>
            <w:rtl w:val="0"/>
          </w:rPr>
          <w:t xml:space="preserve">https://www.bbva.pe/content/dam/public-web/peru/documents/personas/investor-relations/vii-Memoria-Anual-2025.pdf</w:t>
        </w:r>
      </w:hyperlink>
      <w:r w:rsidDel="00000000" w:rsidR="00000000" w:rsidRPr="00000000">
        <w:rPr>
          <w:rtl w:val="0"/>
        </w:rPr>
      </w:r>
    </w:p>
    <w:p w:rsidR="00000000" w:rsidDel="00000000" w:rsidP="00000000" w:rsidRDefault="00000000" w:rsidRPr="00000000" w14:paraId="000000B9">
      <w:pPr>
        <w:spacing w:after="160" w:line="360" w:lineRule="auto"/>
        <w:ind w:left="720" w:hanging="720"/>
        <w:rPr/>
      </w:pPr>
      <w:r w:rsidDel="00000000" w:rsidR="00000000" w:rsidRPr="00000000">
        <w:rPr>
          <w:rtl w:val="0"/>
        </w:rPr>
        <w:t xml:space="preserve">Banco BBVA Perú. (2026c, abril). Información de reclamos atendidos: Periodo del 1 al 30 de abril de 2026. </w:t>
      </w:r>
      <w:hyperlink r:id="rId16">
        <w:r w:rsidDel="00000000" w:rsidR="00000000" w:rsidRPr="00000000">
          <w:rPr>
            <w:color w:val="1155cc"/>
            <w:u w:val="single"/>
            <w:rtl w:val="0"/>
          </w:rPr>
          <w:t xml:space="preserve">https://www.bbva.pe/content/dam/public-web/peru/documents/personas/informacion-reclamos-atendidos-abril-2026.pdf</w:t>
        </w:r>
      </w:hyperlink>
      <w:r w:rsidDel="00000000" w:rsidR="00000000" w:rsidRPr="00000000">
        <w:rPr>
          <w:rtl w:val="0"/>
        </w:rPr>
      </w:r>
    </w:p>
    <w:p w:rsidR="00000000" w:rsidDel="00000000" w:rsidP="00000000" w:rsidRDefault="00000000" w:rsidRPr="00000000" w14:paraId="000000BA">
      <w:pPr>
        <w:spacing w:after="160" w:line="360" w:lineRule="auto"/>
        <w:ind w:left="720" w:hanging="720"/>
        <w:rPr/>
      </w:pPr>
      <w:r w:rsidDel="00000000" w:rsidR="00000000" w:rsidRPr="00000000">
        <w:rPr>
          <w:rtl w:val="0"/>
        </w:rPr>
        <w:t xml:space="preserve">Banco BBVA Perú. (2026d, mayo). Información de reclamos atendidos: Periodo del 1 al 31 de mayo de 2026. </w:t>
      </w:r>
      <w:hyperlink r:id="rId17">
        <w:r w:rsidDel="00000000" w:rsidR="00000000" w:rsidRPr="00000000">
          <w:rPr>
            <w:color w:val="1155cc"/>
            <w:u w:val="single"/>
            <w:rtl w:val="0"/>
          </w:rPr>
          <w:t xml:space="preserve">https://www.bbva.pe/content/dam/public-web/peru/documents/personas/Informacion_de_Reclamos_Atendidos_Mayo_2026.pdf</w:t>
        </w:r>
      </w:hyperlink>
      <w:r w:rsidDel="00000000" w:rsidR="00000000" w:rsidRPr="00000000">
        <w:rPr>
          <w:rtl w:val="0"/>
        </w:rPr>
      </w:r>
    </w:p>
    <w:p w:rsidR="00000000" w:rsidDel="00000000" w:rsidP="00000000" w:rsidRDefault="00000000" w:rsidRPr="00000000" w14:paraId="000000BB">
      <w:pPr>
        <w:spacing w:after="160" w:line="360" w:lineRule="auto"/>
        <w:ind w:left="720" w:hanging="720"/>
        <w:rPr/>
      </w:pPr>
      <w:r w:rsidDel="00000000" w:rsidR="00000000" w:rsidRPr="00000000">
        <w:rPr>
          <w:rtl w:val="0"/>
        </w:rPr>
        <w:t xml:space="preserve">Banco BBVA Perú. (2026e, junio). Información de reclamos atendidos: Periodo del 1 al 30 de junio de 2026. </w:t>
      </w:r>
      <w:hyperlink r:id="rId18">
        <w:r w:rsidDel="00000000" w:rsidR="00000000" w:rsidRPr="00000000">
          <w:rPr>
            <w:color w:val="1155cc"/>
            <w:u w:val="single"/>
            <w:rtl w:val="0"/>
          </w:rPr>
          <w:t xml:space="preserve">https://www.bbva.pe/content/dam/public-web/peru/documents/personas/Informacion_de_Reclamos_atendidos_Junio2026.pdf</w:t>
        </w:r>
      </w:hyperlink>
      <w:r w:rsidDel="00000000" w:rsidR="00000000" w:rsidRPr="00000000">
        <w:rPr>
          <w:rtl w:val="0"/>
        </w:rPr>
      </w:r>
    </w:p>
    <w:p w:rsidR="00000000" w:rsidDel="00000000" w:rsidP="00000000" w:rsidRDefault="00000000" w:rsidRPr="00000000" w14:paraId="000000BC">
      <w:pPr>
        <w:spacing w:after="160" w:line="360" w:lineRule="auto"/>
        <w:ind w:left="720" w:hanging="720"/>
        <w:rPr/>
      </w:pPr>
      <w:r w:rsidDel="00000000" w:rsidR="00000000" w:rsidRPr="00000000">
        <w:rPr>
          <w:rtl w:val="0"/>
        </w:rPr>
        <w:t xml:space="preserve">BBVA. (2026b, 5 de marzo). </w:t>
      </w:r>
      <w:r w:rsidDel="00000000" w:rsidR="00000000" w:rsidRPr="00000000">
        <w:rPr>
          <w:i w:val="1"/>
          <w:iCs w:val="1"/>
          <w:rtl w:val="0"/>
        </w:rPr>
        <w:t xml:space="preserve">La app BBVA Empresas 2.0 crece 141 % y acelera la digitalización de las pymes</w:t>
      </w:r>
      <w:r w:rsidDel="00000000" w:rsidR="00000000" w:rsidRPr="00000000">
        <w:rPr>
          <w:rtl w:val="0"/>
        </w:rPr>
        <w:t xml:space="preserve">. </w:t>
      </w:r>
      <w:hyperlink r:id="rId19">
        <w:r w:rsidDel="00000000" w:rsidR="00000000" w:rsidRPr="00000000">
          <w:rPr>
            <w:color w:val="1155cc"/>
            <w:u w:val="single"/>
            <w:rtl w:val="0"/>
          </w:rPr>
          <w:t xml:space="preserve">https://www.bbva.com/es/pe/empresas/la-app-bbva-empresas-2-0-crece-141-y-acelera-la-digitalizacion-de-las-pymes/</w:t>
        </w:r>
      </w:hyperlink>
      <w:r w:rsidDel="00000000" w:rsidR="00000000" w:rsidRPr="00000000">
        <w:rPr>
          <w:rtl w:val="0"/>
        </w:rPr>
      </w:r>
    </w:p>
    <w:p w:rsidR="00000000" w:rsidDel="00000000" w:rsidP="00000000" w:rsidRDefault="00000000" w:rsidRPr="00000000" w14:paraId="000000BD">
      <w:pPr>
        <w:spacing w:after="160" w:line="360" w:lineRule="auto"/>
        <w:ind w:left="720" w:hanging="720"/>
        <w:rPr/>
      </w:pPr>
      <w:r w:rsidDel="00000000" w:rsidR="00000000" w:rsidRPr="00000000">
        <w:rPr>
          <w:rtl w:val="0"/>
        </w:rPr>
        <w:t xml:space="preserve">Blue Ocean Strategy. (s. f.). </w:t>
      </w:r>
      <w:r w:rsidDel="00000000" w:rsidR="00000000" w:rsidRPr="00000000">
        <w:rPr>
          <w:i w:val="1"/>
          <w:iCs w:val="1"/>
          <w:rtl w:val="0"/>
        </w:rPr>
        <w:t xml:space="preserve">Eliminate-Reduce-Raise-Create Grid (ERRC Grid)</w:t>
      </w:r>
      <w:r w:rsidDel="00000000" w:rsidR="00000000" w:rsidRPr="00000000">
        <w:rPr>
          <w:rtl w:val="0"/>
        </w:rPr>
        <w:t xml:space="preserve">. Recuperado el 15 de setiembre de 2026, de </w:t>
      </w:r>
      <w:hyperlink r:id="rId20">
        <w:r w:rsidDel="00000000" w:rsidR="00000000" w:rsidRPr="00000000">
          <w:rPr>
            <w:color w:val="1155cc"/>
            <w:u w:val="single"/>
            <w:rtl w:val="0"/>
          </w:rPr>
          <w:t xml:space="preserve">https://www.blueoceanstrategy.com/tools/errc-grid/</w:t>
        </w:r>
      </w:hyperlink>
      <w:r w:rsidDel="00000000" w:rsidR="00000000" w:rsidRPr="00000000">
        <w:rPr>
          <w:rtl w:val="0"/>
        </w:rPr>
      </w:r>
    </w:p>
    <w:p>
      <w:pPr>
        <w:spacing w:after="160" w:line="360" w:lineRule="auto"/>
        <w:ind w:left="720" w:hanging="720"/>
        <w:rPr/>
      </w:pPr>
      <w:r>
        <w:rPr>
          <w:rtl w:val="0"/>
        </w:rPr>
        <w:t xml:space="preserve">Europa Press. (2026, 1 de setiembre). Revolut lanza Air en España, su nuevo asistente de inteligencia artificial para gestionar las finanzas. Bolsamanía. </w:t>
      </w:r>
      <w:hyperlink r:id="rId30">
        <w:r>
          <w:rPr>
            <w:color w:val="1155cc"/>
            <w:u w:val="single"/>
            <w:rtl w:val="0"/>
          </w:rPr>
          <w:t xml:space="preserve">https://www.bolsamania.com/noticias/mercados/economia--revolut-lanza-air-en-espana-su-nuevo-asistente-de-inteligencia-artificial-para-gestionar-las-finanzas--23442762.html</w:t>
        </w:r>
      </w:hyperlink>
    </w:p>
    <w:p w:rsidR="00000000" w:rsidDel="00000000" w:rsidP="00000000" w:rsidRDefault="00000000" w:rsidRPr="00000000" w14:paraId="000000BE">
      <w:pPr>
        <w:spacing w:after="160" w:line="360" w:lineRule="auto"/>
        <w:ind w:left="720" w:hanging="720"/>
        <w:rPr/>
      </w:pPr>
      <w:r w:rsidDel="00000000" w:rsidR="00000000" w:rsidRPr="00000000">
        <w:rPr>
          <w:rtl w:val="0"/>
        </w:rPr>
        <w:t xml:space="preserve">Kim, W. C., &amp; Mauborgne, R. (2005). </w:t>
      </w:r>
      <w:r w:rsidDel="00000000" w:rsidR="00000000" w:rsidRPr="00000000">
        <w:rPr>
          <w:i w:val="1"/>
          <w:iCs w:val="1"/>
          <w:rtl w:val="0"/>
        </w:rPr>
        <w:t xml:space="preserve">Blue Ocean Strategy: How to Create Uncontested Market Space and Make the Competition Irrelevant</w:t>
      </w:r>
      <w:r w:rsidDel="00000000" w:rsidR="00000000" w:rsidRPr="00000000">
        <w:rPr>
          <w:rtl w:val="0"/>
        </w:rPr>
        <w:t xml:space="preserve">. Harvard Business School Press.</w:t>
      </w:r>
    </w:p>
    <w:p w:rsidR="00000000" w:rsidDel="00000000" w:rsidP="00000000" w:rsidRDefault="00000000" w:rsidRPr="00000000" w14:paraId="000000BF">
      <w:pPr>
        <w:spacing w:after="160" w:line="360" w:lineRule="auto"/>
        <w:ind w:left="720" w:hanging="720"/>
        <w:rPr/>
      </w:pPr>
      <w:r w:rsidDel="00000000" w:rsidR="00000000" w:rsidRPr="00000000">
        <w:rPr>
          <w:rtl w:val="0"/>
        </w:rPr>
        <w:t xml:space="preserve">Kore.ai. (2026, 20 de febrero). </w:t>
      </w:r>
      <w:r w:rsidDel="00000000" w:rsidR="00000000" w:rsidRPr="00000000">
        <w:rPr>
          <w:i w:val="1"/>
          <w:iCs w:val="1"/>
          <w:rtl w:val="0"/>
        </w:rPr>
        <w:t xml:space="preserve">AI agents in finance and banking: 12 proven use cases (2026)</w:t>
      </w:r>
      <w:r w:rsidDel="00000000" w:rsidR="00000000" w:rsidRPr="00000000">
        <w:rPr>
          <w:rtl w:val="0"/>
        </w:rPr>
        <w:t xml:space="preserve">. </w:t>
      </w:r>
      <w:hyperlink r:id="rId21">
        <w:r w:rsidDel="00000000" w:rsidR="00000000" w:rsidRPr="00000000">
          <w:rPr>
            <w:color w:val="1155cc"/>
            <w:u w:val="single"/>
            <w:rtl w:val="0"/>
          </w:rPr>
          <w:t xml:space="preserve">https://www.kore.ai/blog/ai-agents-in-finance-banking-12-proven-use-cases-2026</w:t>
        </w:r>
      </w:hyperlink>
      <w:r w:rsidDel="00000000" w:rsidR="00000000" w:rsidRPr="00000000">
        <w:rPr>
          <w:rtl w:val="0"/>
        </w:rPr>
      </w:r>
    </w:p>
    <w:p w:rsidR="00000000" w:rsidDel="00000000" w:rsidP="00000000" w:rsidRDefault="00000000" w:rsidRPr="00000000" w14:paraId="000000C0">
      <w:pPr>
        <w:spacing w:after="160" w:line="360" w:lineRule="auto"/>
        <w:ind w:left="720" w:hanging="720"/>
        <w:rPr/>
      </w:pPr>
      <w:r w:rsidDel="00000000" w:rsidR="00000000" w:rsidRPr="00000000">
        <w:rPr>
          <w:rtl w:val="0"/>
        </w:rPr>
        <w:t xml:space="preserve">Melo, Y. (2026, 24 de marzo). Solo 1 de cada 4 mypes accede a crédito y paga más por falta de información financiera. </w:t>
      </w:r>
      <w:r w:rsidDel="00000000" w:rsidR="00000000" w:rsidRPr="00000000">
        <w:rPr>
          <w:i w:val="1"/>
          <w:iCs w:val="1"/>
          <w:rtl w:val="0"/>
        </w:rPr>
        <w:t xml:space="preserve">Infobae</w:t>
      </w:r>
      <w:r w:rsidDel="00000000" w:rsidR="00000000" w:rsidRPr="00000000">
        <w:rPr>
          <w:rtl w:val="0"/>
        </w:rPr>
        <w:t xml:space="preserve">. </w:t>
      </w:r>
      <w:hyperlink r:id="rId22">
        <w:r w:rsidDel="00000000" w:rsidR="00000000" w:rsidRPr="00000000">
          <w:rPr>
            <w:color w:val="1155cc"/>
            <w:u w:val="single"/>
            <w:rtl w:val="0"/>
          </w:rPr>
          <w:t xml:space="preserve">https://www.infobae.com/peru/2026/03/24/solo-1-de-cada-4-mypes-accede-a-credito-y-paga-mas-por-falta-de-informacion-financiera/</w:t>
        </w:r>
      </w:hyperlink>
      <w:r w:rsidDel="00000000" w:rsidR="00000000" w:rsidRPr="00000000">
        <w:rPr>
          <w:rtl w:val="0"/>
        </w:rPr>
      </w:r>
    </w:p>
    <w:p w:rsidR="00000000" w:rsidDel="00000000" w:rsidP="00000000" w:rsidRDefault="00000000" w:rsidRPr="00000000" w14:paraId="000000C1">
      <w:pPr>
        <w:spacing w:after="160" w:line="360" w:lineRule="auto"/>
        <w:ind w:left="720" w:hanging="720"/>
        <w:rPr/>
      </w:pPr>
      <w:r w:rsidDel="00000000" w:rsidR="00000000" w:rsidRPr="00000000">
        <w:rPr>
          <w:rtl w:val="0"/>
        </w:rPr>
        <w:t xml:space="preserve">Mestanza Arquiñigo, C. (2024, 13 de noviembre). La inteligencia artificial llega al "call center": ¿cómo responde el voicebot bancario y qué será capaz de hacer? </w:t>
      </w:r>
      <w:r w:rsidDel="00000000" w:rsidR="00000000" w:rsidRPr="00000000">
        <w:rPr>
          <w:i w:val="1"/>
          <w:iCs w:val="1"/>
          <w:rtl w:val="0"/>
        </w:rPr>
        <w:t xml:space="preserve">El Comercio</w:t>
      </w:r>
      <w:r w:rsidDel="00000000" w:rsidR="00000000" w:rsidRPr="00000000">
        <w:rPr>
          <w:rtl w:val="0"/>
        </w:rPr>
        <w:t xml:space="preserve">. </w:t>
      </w:r>
      <w:hyperlink r:id="rId23">
        <w:r w:rsidDel="00000000" w:rsidR="00000000" w:rsidRPr="00000000">
          <w:rPr>
            <w:color w:val="1155cc"/>
            <w:u w:val="single"/>
            <w:rtl w:val="0"/>
          </w:rPr>
          <w:t xml:space="preserve">https://elcomercio.pe/tecnologia/inteligencia-artificial/la-inteligencia-artificial-llega-al-call-center-como-responde-el-voicebot-bancario-y-que-sera-capaz-de-hacer-ia-bancos-sistema-financiero-atencion-al-cliente-noticia/</w:t>
        </w:r>
      </w:hyperlink>
      <w:r w:rsidDel="00000000" w:rsidR="00000000" w:rsidRPr="00000000">
        <w:rPr>
          <w:rtl w:val="0"/>
        </w:rPr>
      </w:r>
    </w:p>
    <w:p w:rsidR="00000000" w:rsidDel="00000000" w:rsidP="00000000" w:rsidRDefault="00000000" w:rsidRPr="00000000" w14:paraId="000000C2">
      <w:pPr>
        <w:spacing w:after="160" w:line="360" w:lineRule="auto"/>
        <w:ind w:left="720" w:hanging="720"/>
        <w:rPr/>
      </w:pPr>
      <w:r w:rsidDel="00000000" w:rsidR="00000000" w:rsidRPr="00000000">
        <w:rPr>
          <w:rtl w:val="0"/>
        </w:rPr>
        <w:t xml:space="preserve">PressPerú. (2026, 23 de julio). </w:t>
      </w:r>
      <w:r w:rsidDel="00000000" w:rsidR="00000000" w:rsidRPr="00000000">
        <w:rPr>
          <w:i w:val="1"/>
          <w:iCs w:val="1"/>
          <w:rtl w:val="0"/>
        </w:rPr>
        <w:t xml:space="preserve">Mibanco lleva la IA agéntica de AWS a WhatsApp para transformar el acceso a las microfinanzas en Perú</w:t>
      </w:r>
      <w:r w:rsidDel="00000000" w:rsidR="00000000" w:rsidRPr="00000000">
        <w:rPr>
          <w:rtl w:val="0"/>
        </w:rPr>
        <w:t xml:space="preserve">. </w:t>
      </w:r>
      <w:hyperlink r:id="rId24">
        <w:r w:rsidDel="00000000" w:rsidR="00000000" w:rsidRPr="00000000">
          <w:rPr>
            <w:color w:val="1155cc"/>
            <w:u w:val="single"/>
            <w:rtl w:val="0"/>
          </w:rPr>
          <w:t xml:space="preserve">https://pressperu.com/2026/07/23/mibanco-lleva-la-ia-agentica-de-aws-a-whatsapp-para-transformar-el-acceso-a-las-microfinanzas-en-peru/</w:t>
        </w:r>
      </w:hyperlink>
      <w:r w:rsidDel="00000000" w:rsidR="00000000" w:rsidRPr="00000000">
        <w:rPr>
          <w:rtl w:val="0"/>
        </w:rPr>
      </w:r>
    </w:p>
    <w:p w:rsidR="00000000" w:rsidDel="00000000" w:rsidP="00000000" w:rsidRDefault="00000000" w:rsidRPr="00000000" w14:paraId="000000C3">
      <w:pPr>
        <w:spacing w:after="160" w:line="360" w:lineRule="auto"/>
        <w:ind w:left="720" w:hanging="720"/>
        <w:rPr/>
      </w:pPr>
      <w:r w:rsidDel="00000000" w:rsidR="00000000" w:rsidRPr="00000000">
        <w:rPr>
          <w:rtl w:val="0"/>
        </w:rPr>
        <w:t xml:space="preserve">Ramírez Huancayo, Z. (2026, 14 de setiembre). Habrá más control a créditos bancarios que se otorguen con IA, ¿qué ganarán clientes? </w:t>
      </w:r>
      <w:r w:rsidDel="00000000" w:rsidR="00000000" w:rsidRPr="00000000">
        <w:rPr>
          <w:i w:val="1"/>
          <w:iCs w:val="1"/>
          <w:rtl w:val="0"/>
        </w:rPr>
        <w:t xml:space="preserve">Gestión</w:t>
      </w:r>
      <w:r w:rsidDel="00000000" w:rsidR="00000000" w:rsidRPr="00000000">
        <w:rPr>
          <w:rtl w:val="0"/>
        </w:rPr>
        <w:t xml:space="preserve">. </w:t>
      </w:r>
      <w:hyperlink r:id="rId25">
        <w:r w:rsidDel="00000000" w:rsidR="00000000" w:rsidRPr="00000000">
          <w:rPr>
            <w:color w:val="1155cc"/>
            <w:u w:val="single"/>
            <w:rtl w:val="0"/>
          </w:rPr>
          <w:t xml:space="preserve">https://gestion.pe/economia/empresas/habra-mas-control-a-creditos-bancarios-que-se-otorguen-con-ia-que-ganaran-clientes-noticia/</w:t>
        </w:r>
      </w:hyperlink>
      <w:r w:rsidDel="00000000" w:rsidR="00000000" w:rsidRPr="00000000">
        <w:rPr>
          <w:rtl w:val="0"/>
        </w:rPr>
      </w:r>
    </w:p>
    <w:p w:rsidR="00000000" w:rsidDel="00000000" w:rsidP="00000000" w:rsidRDefault="00000000" w:rsidRPr="00000000" w14:paraId="000000C4">
      <w:pPr>
        <w:spacing w:after="160" w:line="360" w:lineRule="auto"/>
        <w:ind w:left="720" w:hanging="720"/>
        <w:rPr/>
      </w:pPr>
      <w:r w:rsidDel="00000000" w:rsidR="00000000" w:rsidRPr="00000000">
        <w:rPr>
          <w:rtl w:val="0"/>
        </w:rPr>
        <w:t xml:space="preserve">Reusche, I. (2026, 4 de agosto). </w:t>
      </w:r>
      <w:r w:rsidDel="00000000" w:rsidR="00000000" w:rsidRPr="00000000">
        <w:rPr>
          <w:i w:val="1"/>
          <w:iCs w:val="1"/>
          <w:rtl w:val="0"/>
        </w:rPr>
        <w:t xml:space="preserve">BBVA en Perú alcanza una facturación trimestral histórica en el segmento Pymes con 48 % de crecimiento versus 2025</w:t>
      </w:r>
      <w:r w:rsidDel="00000000" w:rsidR="00000000" w:rsidRPr="00000000">
        <w:rPr>
          <w:rtl w:val="0"/>
        </w:rPr>
        <w:t xml:space="preserve">. BBVA. </w:t>
      </w:r>
      <w:hyperlink r:id="rId26">
        <w:r w:rsidDel="00000000" w:rsidR="00000000" w:rsidRPr="00000000">
          <w:rPr>
            <w:color w:val="1155cc"/>
            <w:u w:val="single"/>
            <w:rtl w:val="0"/>
          </w:rPr>
          <w:t xml:space="preserve">https://www.bbva.com/es/pe/empresas/bbva-en-peru-alcanza-una-facturacion-trimestral-historica-en-el-segmento-pymes-con-48-de-crecimiento-versus-2025/</w:t>
        </w:r>
      </w:hyperlink>
      <w:r w:rsidDel="00000000" w:rsidR="00000000" w:rsidRPr="00000000">
        <w:rPr>
          <w:rtl w:val="0"/>
        </w:rPr>
      </w:r>
    </w:p>
    <w:p w:rsidR="00000000" w:rsidDel="00000000" w:rsidP="00000000" w:rsidRDefault="00000000" w:rsidRPr="00000000" w14:paraId="000000C5">
      <w:pPr>
        <w:spacing w:after="160" w:line="360" w:lineRule="auto"/>
        <w:ind w:left="720" w:hanging="720"/>
        <w:rPr/>
      </w:pPr>
      <w:r w:rsidDel="00000000" w:rsidR="00000000" w:rsidRPr="00000000">
        <w:rPr>
          <w:rtl w:val="0"/>
        </w:rPr>
        <w:t xml:space="preserve">Stealth Agents. (2026, 25 de junio). </w:t>
      </w:r>
      <w:r w:rsidDel="00000000" w:rsidR="00000000" w:rsidRPr="00000000">
        <w:rPr>
          <w:i w:val="1"/>
          <w:iCs w:val="1"/>
          <w:rtl w:val="0"/>
        </w:rPr>
        <w:t xml:space="preserve">AI loan underwriting automation stats 2026</w:t>
      </w:r>
      <w:r w:rsidDel="00000000" w:rsidR="00000000" w:rsidRPr="00000000">
        <w:rPr>
          <w:rtl w:val="0"/>
        </w:rPr>
        <w:t xml:space="preserve">. </w:t>
      </w:r>
      <w:hyperlink r:id="rId27">
        <w:r w:rsidDel="00000000" w:rsidR="00000000" w:rsidRPr="00000000">
          <w:rPr>
            <w:color w:val="1155cc"/>
            <w:u w:val="single"/>
            <w:rtl w:val="0"/>
          </w:rPr>
          <w:t xml:space="preserve">https://stealthagents.com/research/ai-loan-underwriting-automation-statistics-2026</w:t>
        </w:r>
      </w:hyperlink>
      <w:r w:rsidDel="00000000" w:rsidR="00000000" w:rsidRPr="00000000">
        <w:rPr>
          <w:rtl w:val="0"/>
        </w:rPr>
      </w:r>
    </w:p>
    <w:p w:rsidR="00000000" w:rsidDel="00000000" w:rsidP="00000000" w:rsidRDefault="00000000" w:rsidRPr="00000000" w14:paraId="000000C6">
      <w:pPr>
        <w:spacing w:after="160" w:line="360" w:lineRule="auto"/>
        <w:ind w:left="720" w:hanging="720"/>
        <w:rPr/>
      </w:pPr>
      <w:r w:rsidDel="00000000" w:rsidR="00000000" w:rsidRPr="00000000">
        <w:rPr>
          <w:rtl w:val="0"/>
        </w:rPr>
        <w:t xml:space="preserve">Sundararajan, R., &amp; Jeenah, U. (2025, 15 de agosto). El fin de la inercia: los agentes de IA y la disrupción en la banca minorista y PyME. </w:t>
      </w:r>
      <w:r w:rsidDel="00000000" w:rsidR="00000000" w:rsidRPr="00000000">
        <w:rPr>
          <w:i w:val="1"/>
          <w:iCs w:val="1"/>
          <w:rtl w:val="0"/>
        </w:rPr>
        <w:t xml:space="preserve">McKinsey &amp; Company</w:t>
      </w:r>
      <w:r w:rsidDel="00000000" w:rsidR="00000000" w:rsidRPr="00000000">
        <w:rPr>
          <w:rtl w:val="0"/>
        </w:rPr>
        <w:t xml:space="preserve">. </w:t>
      </w:r>
      <w:hyperlink r:id="rId28">
        <w:r w:rsidDel="00000000" w:rsidR="00000000" w:rsidRPr="00000000">
          <w:rPr>
            <w:color w:val="1155cc"/>
            <w:u w:val="single"/>
            <w:rtl w:val="0"/>
          </w:rPr>
          <w:t xml:space="preserve">https://www.mckinsey.com/locations/south-america/latam/hispanoamerica-en-potencia/el-fin-de-la-inercia-los-agentes-de-ia-y-la-disrupcion-en-la-banca-minorista-y-pyme/es-CL</w:t>
        </w:r>
      </w:hyperlink>
      <w:r w:rsidDel="00000000" w:rsidR="00000000" w:rsidRPr="00000000">
        <w:rPr>
          <w:rtl w:val="0"/>
        </w:rPr>
      </w:r>
    </w:p>
    <w:p w:rsidR="00000000" w:rsidDel="00000000" w:rsidP="00000000" w:rsidRDefault="00000000" w:rsidRPr="00000000" w14:paraId="000000C7">
      <w:pPr>
        <w:spacing w:after="160" w:line="360" w:lineRule="auto"/>
        <w:ind w:left="720" w:hanging="720"/>
        <w:rPr/>
      </w:pPr>
      <w:r w:rsidDel="00000000" w:rsidR="00000000" w:rsidRPr="00000000">
        <w:rPr>
          <w:rtl w:val="0"/>
        </w:rPr>
        <w:t xml:space="preserve">Superintendencia de Banca, Seguros y Administradoras Privadas de Fondos de Pensiones. (2022, 28 de diciembre). </w:t>
      </w:r>
      <w:r w:rsidDel="00000000" w:rsidR="00000000" w:rsidRPr="00000000">
        <w:rPr>
          <w:i w:val="1"/>
          <w:iCs w:val="1"/>
          <w:rtl w:val="0"/>
        </w:rPr>
        <w:t xml:space="preserve">Resolución SBS N.º 04036-2022: Reglamento de Gestión de Reclamos y Requerimientos</w:t>
      </w:r>
      <w:r w:rsidDel="00000000" w:rsidR="00000000" w:rsidRPr="00000000">
        <w:rPr>
          <w:rtl w:val="0"/>
        </w:rPr>
        <w:t xml:space="preserve">. </w:t>
      </w:r>
      <w:hyperlink r:id="rId29">
        <w:r w:rsidDel="00000000" w:rsidR="00000000" w:rsidRPr="00000000">
          <w:rPr>
            <w:color w:val="1155cc"/>
            <w:u w:val="single"/>
            <w:rtl w:val="0"/>
          </w:rPr>
          <w:t xml:space="preserve">https://intranet2.sbs.gob.pe/dv_int_cn/2230/v1.0/Adjuntos/4036-2022.r.pdf</w:t>
        </w:r>
      </w:hyperlink>
      <w:r w:rsidDel="00000000" w:rsidR="00000000" w:rsidRPr="00000000">
        <w:rPr>
          <w:rtl w:val="0"/>
        </w:rPr>
      </w:r>
    </w:p>
    <w:p w:rsidR="00000000" w:rsidDel="00000000" w:rsidP="00000000" w:rsidRDefault="00000000" w:rsidRPr="00000000" w14:paraId="000000C8">
      <w:pPr>
        <w:spacing w:after="200" w:before="0" w:line="360" w:lineRule="auto"/>
        <w:jc w:val="both"/>
        <w:rPr/>
      </w:pPr>
      <w:r w:rsidDel="00000000" w:rsidR="00000000" w:rsidRPr="00000000">
        <w:rPr>
          <w:b w:val="1"/>
          <w:bCs w:val="1"/>
          <w:rtl w:val="0"/>
        </w:rPr>
        <w:t xml:space="preserve">Nota sobre las referencias.</w:t>
      </w:r>
      <w:r w:rsidDel="00000000" w:rsidR="00000000" w:rsidRPr="00000000">
        <w:rPr>
          <w:rtl w:val="0"/>
        </w:rPr>
        <w:t xml:space="preserve"> Las entradas correspondientes a Banco BBVA Perú, BBVA, Melo (2026), Reusche (2026), Andina (2025), Alarcón (2023) y la Superintendencia de Banca, Seguros y AFP (2022) provienen del Entregable 1 y del Entregable 2, y se repiten en esta lista porque vuelven a citarse en las secciones 5 y 6. Las demás fuentes fueron consultadas y verificadas específicamente para la elaboración de esta entrega. La comunicación personal con A. Moquillaza (11 de setiembre de 2026), citada en las secciones 5.4 y 6.3, no figura en esta lista porque, conforme a la norma APA 7.ª edición, las comunicaciones personales se citan solo en el texto.</w:t>
      </w:r>
    </w:p>
    <w:sectPr>
      <w:pgSz w:h="16838" w:w="11906" w:orient="portrait"/>
      <w:pgMar w:bottom="1440" w:top="1440" w:left="1440" w:right="1440" w:header="708" w:footer="708"/>
      <w:pgNumType w:start="1"/>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Equipo — nota de revisión" w:initials="NR" w:date="2026-09-24T04:58:44Z">
    <w:p>
      <w:pPr>
        <w:pStyle w:val="CommentText"/>
      </w:pPr>
      <w:r>
        <w:rPr>
          <w:rStyle w:val="CommentReference"/>
        </w:rPr>
        <w:annotationRef/>
      </w:r>
      <w:r>
        <w:t>Validar: no se encontró fuente pública para el tiempo promedio de la ruta asistida de originación de crédito Pyme. Buscar en reportes de gestión más recientes de BBVA Perú o consultar directamente a A. Moquillaza.</w:t>
      </w:r>
    </w:p>
  </w:comment>
  <w:comment w:id="1" w:author="Equipo — nota de revisión" w:initials="NR" w:date="2026-09-24T04:58:44Z">
    <w:p>
      <w:pPr>
        <w:pStyle w:val="CommentText"/>
      </w:pPr>
      <w:r>
        <w:rPr>
          <w:rStyle w:val="CommentReference"/>
        </w:rPr>
        <w:annotationRef/>
      </w:r>
      <w:r>
        <w:t>Validar: no hay fuente propia de BBVA Perú sobre la tasa de error o reproceso en esta etapa; solo se dispone de una referencia sectorial indirecta (Melo, 2026). Buscar una fuente más específica o consultar a A. Moquillaza.</w:t>
      </w:r>
    </w:p>
  </w:comment>
  <w:comment w:id="2" w:author="Equipo — nota de revisión" w:initials="NR" w:date="2026-09-24T04:58:44Z">
    <w:p>
      <w:pPr>
        <w:pStyle w:val="CommentText"/>
      </w:pPr>
      <w:r>
        <w:rPr>
          <w:rStyle w:val="CommentReference"/>
        </w:rPr>
        <w:annotationRef/>
      </w:r>
      <w:r>
        <w:t>Validar: no se encontró el costo unitario de originación por canal en BBVA Perú. Buscar en internet o consultar a A. Moquillaza.</w:t>
      </w:r>
    </w:p>
  </w:comment>
  <w:comment w:id="3" w:author="Equipo — nota de revisión" w:initials="NR" w:date="2026-09-24T04:58:44Z">
    <w:p>
      <w:pPr>
        <w:pStyle w:val="CommentText"/>
      </w:pPr>
      <w:r>
        <w:rPr>
          <w:rStyle w:val="CommentReference"/>
        </w:rPr>
        <w:annotationRef/>
      </w:r>
      <w:r>
        <w:t>Cifra de un mercado no peruano (hipotecario, EE. UU.), ya señalada en el texto como no extrapolable. Evaluar si existe un estudio equivalente para banca Pyme en Perú o América Latina que la sustituya o complemente.</w:t>
      </w:r>
    </w:p>
  </w:comment>
  <w:comment w:id="4" w:author="Equipo — nota de revisión" w:initials="NR" w:date="2026-09-24T04:58:44Z">
    <w:p>
      <w:pPr>
        <w:pStyle w:val="CommentText"/>
      </w:pPr>
      <w:r>
        <w:rPr>
          <w:rStyle w:val="CommentReference"/>
        </w:rPr>
        <w:annotationRef/>
      </w:r>
      <w:r>
        <w:t>Validar: no hay fuente propia de BBVA Perú sobre el tipo de error operativo en este proceso; solo se dispone de evidencia indirecta de exposición sancionatoria (Alarcón, 2023). Buscar una fuente más específica o consultar a A. Moquillaza.</w:t>
      </w:r>
    </w:p>
  </w:comment>
  <w:comment w:id="5" w:author="Equipo — nota de revisión" w:initials="NR" w:date="2026-09-24T04:58:44Z">
    <w:p>
      <w:pPr>
        <w:pStyle w:val="CommentText"/>
      </w:pPr>
      <w:r>
        <w:rPr>
          <w:rStyle w:val="CommentReference"/>
        </w:rPr>
        <w:annotationRef/>
      </w:r>
      <w:r>
        <w:t>Validar: no se encontró el costo operativo propio de BBVA Perú por caso de reclamo. Buscar en internet o consultar a A. Moquillaza.</w:t>
      </w:r>
    </w:p>
  </w:comment>
  <w:comment w:id="6" w:author="Equipo — nota de revisión" w:initials="NR" w:date="2026-09-24T04:58:44Z">
    <w:p>
      <w:pPr>
        <w:pStyle w:val="CommentText"/>
      </w:pPr>
      <w:r>
        <w:rPr>
          <w:rStyle w:val="CommentReference"/>
        </w:rPr>
        <w:annotationRef/>
      </w:r>
      <w:r>
        <w:t>Cifra de bancos estadounidenses, ya señalada en el texto como no atribuible a BBVA Perú. Evaluar si existe una cifra sectorial peruana (por ejemplo, de la SBS o Indecopi) que la sustituya o complemente.</w:t>
      </w:r>
    </w:p>
  </w:comment>
  <w:comment w:id="7" w:author="Equipo — nota de revisión" w:initials="NR" w:date="2026-09-24T04:58:44Z">
    <w:p>
      <w:pPr>
        <w:pStyle w:val="CommentText"/>
      </w:pPr>
      <w:r>
        <w:rPr>
          <w:rStyle w:val="CommentReference"/>
        </w:rPr>
        <w:annotationRef/>
      </w:r>
      <w:r>
        <w:t>Validar: A. Moquillaza confirmó que existe una derivación a oficina física para estos perfiles, pero no se cuenta con su duración. Consultarle directamente para obtener una cifra o estimado.</w:t>
      </w:r>
    </w:p>
  </w:comment>
  <w:comment w:id="8" w:author="Equipo — nota de revisión" w:initials="NR" w:date="2026-09-24T04:58:44Z">
    <w:p>
      <w:pPr>
        <w:pStyle w:val="CommentText"/>
      </w:pPr>
      <w:r>
        <w:rPr>
          <w:rStyle w:val="CommentReference"/>
        </w:rPr>
        <w:annotationRef/>
      </w:r>
      <w:r>
        <w:t>Validar: no hay fuente propia de BBVA Perú sobre la tasa de abandono en este flujo; solo se dispone de una referencia de industria (Kore.ai, 2026). Buscar una fuente más específica o consultar a A. Moquillaza.</w:t>
      </w:r>
    </w:p>
  </w:comment>
  <w:comment w:id="9" w:author="Equipo — nota de revisión" w:initials="NR" w:date="2026-09-24T04:58:44Z">
    <w:p>
      <w:pPr>
        <w:pStyle w:val="CommentText"/>
      </w:pPr>
      <w:r>
        <w:rPr>
          <w:rStyle w:val="CommentReference"/>
        </w:rPr>
        <w:annotationRef/>
      </w:r>
      <w:r>
        <w:t>Validar: no se encontró ninguna fuente, ni siquiera referencial, sobre el costo de adquisición por canal en BBVA Perú. Buscar en internet o consultar a A. Moquillaza.</w:t>
      </w:r>
    </w:p>
  </w:comment>
  <w:comment w:id="10" w:author="Equipo — nota de revisión" w:initials="NR" w:date="2026-09-24T04:59:06Z">
    <w:p>
      <w:pPr>
        <w:pStyle w:val="CommentText"/>
      </w:pPr>
      <w:r>
        <w:rPr>
          <w:rStyle w:val="CommentReference"/>
        </w:rPr>
        <w:annotationRef/>
      </w:r>
      <w:r>
        <w:t>La meta de 60 % fue propuesta por el equipo y aún no ha sido validada con la entidad, conforme a lo señalado en la sección 4.3 del Entregable 2. Confirmar su viabilidad, de ser posible, con A. Moquillaza u otra fuente de BBVA Perú.</w:t>
      </w:r>
    </w:p>
  </w:comment>
  <w:comment w:id="11" w:author="Equipo — nota de revisión" w:initials="NR" w:date="2026-09-24T04:59:06Z">
    <w:p>
      <w:pPr>
        <w:pStyle w:val="CommentText"/>
      </w:pPr>
      <w:r>
        <w:rPr>
          <w:rStyle w:val="CommentReference"/>
        </w:rPr>
        <w:annotationRef/>
      </w:r>
      <w:r>
        <w:t>La meta de convergencia a 8.02 días fue propuesta por el equipo y aún no ha sido validada con la entidad, conforme a lo señalado en la sección 4.3 del Entregable 2. Confirmar su viabilidad de ser posible.</w:t>
      </w:r>
    </w:p>
  </w:comment>
  <w:comment w:id="12" w:author="Equipo — nota de revisión" w:initials="NR" w:date="2026-09-24T04:59:06Z">
    <w:p>
      <w:pPr>
        <w:pStyle w:val="CommentText"/>
      </w:pPr>
      <w:r>
        <w:rPr>
          <w:rStyle w:val="CommentReference"/>
        </w:rPr>
        <w:annotationRef/>
      </w:r>
      <w:r>
        <w:t>La meta de 55 % fue propuesta por el equipo y aún no ha sido validada con la entidad, conforme a lo señalado en la sección 4.3 del Entregable 2. Confirmar su viabilidad, de ser posible, con A. Moquillaza.</w:t>
      </w:r>
    </w:p>
  </w:comment>
  <w:comment w:id="13" w:author="Equipo — nota de revisión" w:initials="NR" w:date="2026-09-24T04:59:06Z">
    <w:p>
      <w:pPr>
        <w:pStyle w:val="CommentText"/>
      </w:pPr>
      <w:r>
        <w:rPr>
          <w:rStyle w:val="CommentReference"/>
        </w:rPr>
        <w:annotationRef/>
      </w:r>
      <w:r>
        <w:t>Las cifras citadas en este párrafo (Sundararajan y Jeenah, 2025; Stealth Agents, 2026; Kore.ai, 2026) provienen de mercados desarrollados, tal como ya advierte el propio texto. Si el tiempo lo permite, buscar un estudio o cifra equivalente para banca Pyme en Perú o América Latina.</w:t>
      </w:r>
    </w:p>
  </w:comment>
  <w:comment w:id="14" w:author="Equipo — nota de revisión" w:initials="NR" w:date="2026-09-24T04:59:06Z">
    <w:p>
      <w:pPr>
        <w:pStyle w:val="CommentText"/>
      </w:pPr>
      <w:r>
        <w:rPr>
          <w:rStyle w:val="CommentReference"/>
        </w:rPr>
        <w:annotationRef/>
      </w:r>
      <w:r>
        <w:t>Las cifras citadas en este párrafo (Backbase, 2026; Kore.ai, 2026) no son propias de BBVA Perú, tal como ya advierte el propio texto. Si el tiempo lo permite, buscar una cifra peruana o regional equivalente sobre automatización de disputas.</w:t>
      </w:r>
    </w:p>
  </w:comment>
  <w:comment w:id="15" w:author="Equipo — nota de revisión" w:initials="NR" w:date="2026-09-24T04:59:06Z">
    <w:p>
      <w:pPr>
        <w:pStyle w:val="CommentText"/>
      </w:pPr>
      <w:r>
        <w:rPr>
          <w:rStyle w:val="CommentReference"/>
        </w:rPr>
        <w:annotationRef/>
      </w:r>
      <w:r>
        <w:t>La cifra de Kore.ai (2026) es de industria general, no específica de Perú. Mibanco y BCP sí aportan evidencia local, pero conviene verificar si existe un estudio adicional sobre onboarding digital en la banca peruana o latinoamericana.</w:t>
      </w:r>
    </w:p>
  </w:comment>
  <w:comment w:id="16" w:author="Equipo — nota de revisión" w:initials="NR" w:date="2026-09-24T04:59:06Z">
    <w:p>
      <w:pPr>
        <w:pStyle w:val="CommentText"/>
      </w:pPr>
      <w:r>
        <w:rPr>
          <w:rStyle w:val="CommentReference"/>
        </w:rPr>
        <w:annotationRef/>
      </w:r>
      <w:r>
        <w:t>Ninguna de las tres hipótesis se vincula explícitamente con el OE2 (Impulsar la sostenibilidad como motor de crecimiento). La Práctica 1 penalizó la falta de trazabilidad completa de los objetivos estratégicos (Tabla 12 del Entregable 1). Evaluar si corresponde justificar esta ausencia o preguntar al profesor/evaluador si se espera cobertura explícita de OE2 en esta entrega.</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blueoceanstrategy.com/tools/errc-grid/" TargetMode="External"/><Relationship Id="rId22" Type="http://schemas.openxmlformats.org/officeDocument/2006/relationships/hyperlink" Target="https://www.infobae.com/peru/2026/03/24/solo-1-de-cada-4-mypes-accede-a-credito-y-paga-mas-por-falta-de-informacion-financiera/" TargetMode="External"/><Relationship Id="rId21" Type="http://schemas.openxmlformats.org/officeDocument/2006/relationships/hyperlink" Target="https://www.kore.ai/blog/ai-agents-in-finance-banking-12-proven-use-cases-2026" TargetMode="External"/><Relationship Id="rId24" Type="http://schemas.openxmlformats.org/officeDocument/2006/relationships/hyperlink" Target="https://pressperu.com/2026/07/23/mibanco-lleva-la-ia-agentica-de-aws-a-whatsapp-para-transformar-el-acceso-a-las-microfinanzas-en-peru/" TargetMode="External"/><Relationship Id="rId23" Type="http://schemas.openxmlformats.org/officeDocument/2006/relationships/hyperlink" Target="https://elcomercio.pe/tecnologia/inteligencia-artificial/la-inteligencia-artificial-llega-al-call-center-como-responde-el-voicebot-bancario-y-que-sera-capaz-de-hacer-ia-bancos-sistema-financiero-atencion-al-cliente-notici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ndina.pe/agencia/noticia-indecopi-sistema-financiero-concentra-90-sanciones-operaciones-no-reconocidas-1026373.aspx" TargetMode="External"/><Relationship Id="rId26" Type="http://schemas.openxmlformats.org/officeDocument/2006/relationships/hyperlink" Target="https://www.bbva.com/es/pe/empresas/bbva-en-peru-alcanza-una-facturacion-trimestral-historica-en-el-segmento-pymes-con-48-de-crecimiento-versus-2025/" TargetMode="External"/><Relationship Id="rId25" Type="http://schemas.openxmlformats.org/officeDocument/2006/relationships/hyperlink" Target="https://gestion.pe/economia/empresas/habra-mas-control-a-creditos-bancarios-que-se-otorguen-con-ia-que-ganaran-clientes-noticia/" TargetMode="External"/><Relationship Id="rId28" Type="http://schemas.openxmlformats.org/officeDocument/2006/relationships/hyperlink" Target="https://www.mckinsey.com/locations/south-america/latam/hispanoamerica-en-potencia/el-fin-de-la-inercia-los-agentes-de-ia-y-la-disrupcion-en-la-banca-minorista-y-pyme/es-CL" TargetMode="External"/><Relationship Id="rId27" Type="http://schemas.openxmlformats.org/officeDocument/2006/relationships/hyperlink" Target="https://stealthagents.com/research/ai-loan-underwriting-automation-statistics-2026"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intranet2.sbs.gob.pe/dv_int_cn/2230/v1.0/Adjuntos/4036-2022.r.pdf" TargetMode="External"/><Relationship Id="rId7" Type="http://schemas.openxmlformats.org/officeDocument/2006/relationships/image" Target="media/image1.png"/><Relationship Id="rId8" Type="http://schemas.openxmlformats.org/officeDocument/2006/relationships/hyperlink" Target="https://ojo-publico.com/4559/las-millonarias-multas-los-bancos-por-consumos-no-reconocidos" TargetMode="External"/><Relationship Id="rId11" Type="http://schemas.openxmlformats.org/officeDocument/2006/relationships/hyperlink" Target="https://www.bbva.pe/pymes/productos/financiamiento/fast-cash.html" TargetMode="External"/><Relationship Id="rId10" Type="http://schemas.openxmlformats.org/officeDocument/2006/relationships/hyperlink" Target="https://www.backbase.com/blog/ai-banking-dispute-resolution-automation" TargetMode="External"/><Relationship Id="rId13" Type="http://schemas.openxmlformats.org/officeDocument/2006/relationships/hyperlink" Target="https://www.bbva.pe/content/dam/public-web/peru/documents/personas/investor-relations/BBVA_Peru_Informe_de_Gestion_4Q25.pdf" TargetMode="External"/><Relationship Id="rId12" Type="http://schemas.openxmlformats.org/officeDocument/2006/relationships/hyperlink" Target="https://www.bbva.pe/pymes/productos/financiamiento/prestamo-digital-negocio.html" TargetMode="External"/><Relationship Id="rId15" Type="http://schemas.openxmlformats.org/officeDocument/2006/relationships/hyperlink" Target="https://www.bbva.pe/content/dam/public-web/peru/documents/personas/investor-relations/vii-Memoria-Anual-2025.pdf" TargetMode="External"/><Relationship Id="rId14" Type="http://schemas.openxmlformats.org/officeDocument/2006/relationships/hyperlink" Target="https://www.bbva.pe/content/dam/public-web/peru/documents/prefooter/informacion-financiera/informacion-anual/2026/informe-de-gestion-2T2026.pdf" TargetMode="External"/><Relationship Id="rId17" Type="http://schemas.openxmlformats.org/officeDocument/2006/relationships/hyperlink" Target="https://www.bbva.pe/content/dam/public-web/peru/documents/personas/Informacion_de_Reclamos_Atendidos_Mayo_2026.pdf" TargetMode="External"/><Relationship Id="rId16" Type="http://schemas.openxmlformats.org/officeDocument/2006/relationships/hyperlink" Target="https://www.bbva.pe/content/dam/public-web/peru/documents/personas/informacion-reclamos-atendidos-abril-2026.pdf" TargetMode="External"/><Relationship Id="rId19" Type="http://schemas.openxmlformats.org/officeDocument/2006/relationships/hyperlink" Target="https://www.bbva.com/es/pe/empresas/la-app-bbva-empresas-2-0-crece-141-y-acelera-la-digitalizacion-de-las-pymes/" TargetMode="External"/><Relationship Id="rId18" Type="http://schemas.openxmlformats.org/officeDocument/2006/relationships/hyperlink" Target="https://www.bbva.pe/content/dam/public-web/peru/documents/personas/Informacion_de_Reclamos_atendidos_Junio2026.pdf" TargetMode="External"/><Relationship Id="rId30" Type="http://schemas.openxmlformats.org/officeDocument/2006/relationships/hyperlink" Target="https://www.bolsamania.com/noticias/mercados/economia--revolut-lanza-air-en-espana-su-nuevo-asistente-de-inteligencia-artificial-para-gestionar-las-finanzas--23442762.html" TargetMode="External"/><Relationship Id="rId3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gP/Fg6azqakNU6InEfQWGj2HTg==">CgMxLjA4AHIhMS1kRjNJZld0ckRYOHZkMy1Tc0Z0QTFaTzQxNXNUcFlX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2026-09-15T18:58:12.530Z</dcterms:created>
  <dc:creator>Un-named</dc:creator>
</cp:coreProperties>
</file>

<file path=docProps/custom.xml><?xml version="1.0" encoding="utf-8"?>
<Properties xmlns="http://schemas.openxmlformats.org/officeDocument/2006/custom-properties" xmlns:vt="http://schemas.openxmlformats.org/officeDocument/2006/docPropsVTypes"/>
</file>