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PONTIFICIA UNIVERSIDAD CATÓLICA DEL PERÚ</w:t>
      </w:r>
    </w:p>
    <w:p w:rsidR="00000000" w:rsidDel="00000000" w:rsidP="00000000" w:rsidRDefault="00000000" w:rsidRPr="00000000" w14:paraId="0000000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FACULTAD DE CIENCIAS E INGENIERÍA</w:t>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109059" cy="2088281"/>
            <wp:effectExtent b="0" l="0" r="0" t="0"/>
            <wp:docPr descr="A blue circle with white text and a ship in the water&#10;&#10;Description automatically generated" id="3" name="image1.png"/>
            <a:graphic>
              <a:graphicData uri="http://schemas.openxmlformats.org/drawingml/2006/picture">
                <pic:pic>
                  <pic:nvPicPr>
                    <pic:cNvPr descr="A blue circle with white text and a ship in the water&#10;&#10;Description automatically generated" id="0" name="image1.png"/>
                    <pic:cNvPicPr preferRelativeResize="0"/>
                  </pic:nvPicPr>
                  <pic:blipFill>
                    <a:blip r:embed="rId10"/>
                    <a:srcRect b="0" l="0" r="0" t="0"/>
                    <a:stretch>
                      <a:fillRect/>
                    </a:stretch>
                  </pic:blipFill>
                  <pic:spPr>
                    <a:xfrm>
                      <a:off x="0" y="0"/>
                      <a:ext cx="2109059" cy="208828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ESTRATEGIAS Y GESTIÓN DE SISTEMAS DE INFORMACIÓN</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rPr>
      </w:pPr>
      <w:commentRangeStart w:id="0"/>
      <w:r w:rsidDel="00000000" w:rsidR="00000000" w:rsidRPr="00000000">
        <w:rPr>
          <w:rFonts w:ascii="Times New Roman" w:cs="Times New Roman" w:eastAsia="Times New Roman" w:hAnsi="Times New Roman"/>
          <w:b w:val="1"/>
          <w:bCs w:val="1"/>
          <w:rtl w:val="0"/>
        </w:rPr>
        <w:t xml:space="preserve">Entrega 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p w:rsidR="00000000" w:rsidDel="00000000" w:rsidP="00000000" w:rsidRDefault="00000000" w:rsidRPr="00000000" w14:paraId="00000008">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SALAS COHAILA, Gabriel Lucio - 20200606</w:t>
      </w:r>
    </w:p>
    <w:p w:rsidR="00000000" w:rsidDel="00000000" w:rsidP="00000000" w:rsidRDefault="00000000" w:rsidRPr="00000000" w14:paraId="00000009">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CHAMORRO CAYETANO, Jorge Josue - 20206234</w:t>
      </w:r>
    </w:p>
    <w:p w:rsidR="00000000" w:rsidDel="00000000" w:rsidP="00000000" w:rsidRDefault="00000000" w:rsidRPr="00000000" w14:paraId="0000000A">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SANCHEZ PASTOR, Rodrigo Alonso - 20201230</w:t>
      </w:r>
    </w:p>
    <w:p w:rsidR="00000000" w:rsidDel="00000000" w:rsidP="00000000" w:rsidRDefault="00000000" w:rsidRPr="00000000" w14:paraId="0000000B">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SANTILLÁN HUAMÁN, Aarón Ulises - 20200445</w:t>
      </w:r>
    </w:p>
    <w:p w:rsidR="00000000" w:rsidDel="00000000" w:rsidP="00000000" w:rsidRDefault="00000000" w:rsidRPr="00000000" w14:paraId="0000000C">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ORIHUELA MONTERO, Johnny Fabricio - 20211000</w:t>
      </w:r>
    </w:p>
    <w:p w:rsidR="00000000" w:rsidDel="00000000" w:rsidP="00000000" w:rsidRDefault="00000000" w:rsidRPr="00000000" w14:paraId="0000000D">
      <w:pPr>
        <w:numPr>
          <w:ilvl w:val="0"/>
          <w:numId w:val="2"/>
        </w:numPr>
        <w:spacing w:line="480" w:lineRule="auto"/>
        <w:ind w:left="720" w:hanging="36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PROFESOR:</w:t>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Lima, agosto, 2026</w:t>
      </w:r>
    </w:p>
    <w:p w:rsidR="00000000" w:rsidDel="00000000" w:rsidP="00000000" w:rsidRDefault="00000000" w:rsidRPr="00000000" w14:paraId="00000014">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w:t>
      </w:r>
    </w:p>
    <w:sdt>
      <w:sdtPr>
        <w:id w:val="1690700529"/>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pkmoo4juw18">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 Descripción de la empresa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roonidc01yof">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 Identificación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z60f5u89qbh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 Tamaño y participación de mercado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w1piczq241g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 Servicios y segmentos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z2jusr2ilh7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 Canales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8jpcjb8fteq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1.5. Tipos de clientes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ev1213koqrs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1.6. Situación actual</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7l5gw78uxg9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1.7. Sistemas existentes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lw60c8p8frc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1.8. Business Model Canvas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Times New Roman" w:cs="Times New Roman" w:eastAsia="Times New Roman" w:hAnsi="Times New Roman"/>
              <w:b w:val="1"/>
              <w:bCs w:val="1"/>
              <w:color w:val="000000"/>
              <w:u w:val="none"/>
            </w:rPr>
          </w:pPr>
          <w:hyperlink w:anchor="_tqwlbgle03yu">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 Objetivos estratégicos del negocio y procesos críticos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49xqzspbsst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2.1. Objetivos estratégicos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tosgnrhasqtx">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2.2. Inventarios de procesos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frsmtn7zpxy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2.3. Procesos críticos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b w:val="1"/>
              <w:bCs w:val="1"/>
              <w:color w:val="000000"/>
              <w:u w:val="none"/>
            </w:rPr>
          </w:pPr>
          <w:hyperlink w:anchor="_at2p2npcubj4">
            <w:r w:rsidDel="00000000" w:rsidR="00000000" w:rsidRPr="00000000">
              <w:rPr>
                <w:rFonts w:ascii="Times New Roman" w:cs="Times New Roman" w:eastAsia="Times New Roman" w:hAnsi="Times New Roman"/>
                <w:b w:val="1"/>
                <w:bCs w:val="1"/>
                <w:color w:val="000000"/>
                <w:u w:val="none"/>
                <w:rtl w:val="0"/>
              </w:rPr>
              <w:t xml:space="preserve">3. Análisis de competitividad</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bCs w:val="1"/>
              <w:color w:val="000000"/>
              <w:u w:val="none"/>
            </w:rPr>
          </w:pPr>
          <w:hyperlink w:anchor="_uipuv34bifbe">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 Referencias bibliográficas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line="48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numPr>
          <w:ilvl w:val="0"/>
          <w:numId w:val="1"/>
        </w:numPr>
        <w:ind w:left="566.9291338582675" w:hanging="360"/>
        <w:rPr>
          <w:rFonts w:ascii="Times New Roman" w:cs="Times New Roman" w:eastAsia="Times New Roman" w:hAnsi="Times New Roman"/>
          <w:b w:val="1"/>
          <w:bCs w:val="1"/>
          <w:sz w:val="22"/>
          <w:szCs w:val="22"/>
        </w:rPr>
      </w:pPr>
      <w:bookmarkStart w:colFirst="0" w:colLast="0" w:name="_2pkmoo4juw18" w:id="0"/>
      <w:bookmarkEnd w:id="0"/>
      <w:r w:rsidDel="00000000" w:rsidR="00000000" w:rsidRPr="00000000">
        <w:rPr>
          <w:rFonts w:ascii="Times New Roman" w:cs="Times New Roman" w:eastAsia="Times New Roman" w:hAnsi="Times New Roman"/>
          <w:b w:val="1"/>
          <w:bCs w:val="1"/>
          <w:sz w:val="22"/>
          <w:szCs w:val="22"/>
          <w:rtl w:val="0"/>
        </w:rPr>
        <w:t xml:space="preserve">Descripción de la empresa</w:t>
      </w:r>
    </w:p>
    <w:p w:rsidR="00000000" w:rsidDel="00000000" w:rsidP="00000000" w:rsidRDefault="00000000" w:rsidRPr="00000000" w14:paraId="00000029">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roonidc01yof" w:id="1"/>
      <w:bookmarkEnd w:id="1"/>
      <w:r w:rsidDel="00000000" w:rsidR="00000000" w:rsidRPr="00000000">
        <w:rPr>
          <w:rFonts w:ascii="Times New Roman" w:cs="Times New Roman" w:eastAsia="Times New Roman" w:hAnsi="Times New Roman"/>
          <w:b w:val="1"/>
          <w:bCs w:val="1"/>
          <w:sz w:val="22"/>
          <w:szCs w:val="22"/>
          <w:rtl w:val="0"/>
        </w:rPr>
        <w:t xml:space="preserve">Identificación</w:t>
      </w:r>
    </w:p>
    <w:p w:rsidR="00000000" w:rsidDel="00000000" w:rsidP="00000000" w:rsidRDefault="00000000" w:rsidRPr="00000000" w14:paraId="0000002A">
      <w:pPr>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es una sociedad anónima abierta constituida en 1951 y autorizada para operar como entidad bancaria bajo supervisión de la Superintendencia de Banca, Seguros y AFP. Su actividad corresponde a la banca múltiple: capta recursos, concede financiamiento, procesa pagos, administra inversiones y presta servicios financieros a personas, empresas e instituciones. La entidad opera con el RUC 20100130204 y tiene su sede principal en la avenida República de Panamá 3055, San Isidro, Lima (Banco BBVA Perú, 2026b; BBVA Perú, s. f.).</w:t>
      </w:r>
    </w:p>
    <w:p w:rsidR="00000000" w:rsidDel="00000000" w:rsidP="00000000" w:rsidRDefault="00000000" w:rsidRPr="00000000" w14:paraId="0000002B">
      <w:pPr>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propiedad se concentra en dos accionistas con participaciones equivalentes: BBVA Perú Holding S. A. C., vinculada al Grupo BBVA, y Holding Continental S. A., vinculada al Grupo Breca, cada una con 47.13 %; el 5.74 % restante se encuentra distribuido entre otros accionistas. Esta composición combina capacidades de un grupo financiero internacional con conocimiento y presencia empresarial local (Banco BBVA Perú, 2026b).</w:t>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w:t>
      </w:r>
    </w:p>
    <w:p w:rsidR="00000000" w:rsidDel="00000000" w:rsidP="00000000" w:rsidRDefault="00000000" w:rsidRPr="00000000" w14:paraId="0000002E">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Ficha general de Banco BBVA Perú</w:t>
      </w:r>
    </w:p>
    <w:tbl>
      <w:tblPr>
        <w:tblStyle w:val="Table1"/>
        <w:tblW w:w="838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030"/>
        <w:tblGridChange w:id="0">
          <w:tblGrid>
            <w:gridCol w:w="2355"/>
            <w:gridCol w:w="6030"/>
          </w:tblGrid>
        </w:tblGridChange>
      </w:tblGrid>
      <w:tr>
        <w:trPr>
          <w:cantSplit w:val="0"/>
          <w:trHeight w:val="423.251408051408"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2F">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Campo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30">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Razón social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2">
            <w:pPr>
              <w:spacing w:line="252.00000000000003" w:lineRule="auto"/>
              <w:ind w:right="-316.417322834645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3">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Sector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financieros - banca múltiple</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5">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Naturaleza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Sociedad anónima abierta, supervisada por la SBS</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RUC</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20100130204</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9">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Año de constitución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B">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Sede principal</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 República de Panamá 3055, San Isidro, Lima</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D">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Ámbito del informe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bancaria en el mercado peruano</w:t>
            </w:r>
          </w:p>
        </w:tc>
      </w:tr>
    </w:tbl>
    <w:p w:rsidR="00000000" w:rsidDel="00000000" w:rsidP="00000000" w:rsidRDefault="00000000" w:rsidRPr="00000000" w14:paraId="0000003F">
      <w:pPr>
        <w:spacing w:after="160" w:before="200" w:lineRule="auto"/>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(2026b) y BBVA Perú (s. f.).</w:t>
      </w:r>
      <w:r w:rsidDel="00000000" w:rsidR="00000000" w:rsidRPr="00000000">
        <w:rPr>
          <w:rtl w:val="0"/>
        </w:rPr>
      </w:r>
    </w:p>
    <w:p w:rsidR="00000000" w:rsidDel="00000000" w:rsidP="00000000" w:rsidRDefault="00000000" w:rsidRPr="00000000" w14:paraId="00000040">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z60f5u89qbhv" w:id="2"/>
      <w:bookmarkEnd w:id="2"/>
      <w:r w:rsidDel="00000000" w:rsidR="00000000" w:rsidRPr="00000000">
        <w:rPr>
          <w:rFonts w:ascii="Times New Roman" w:cs="Times New Roman" w:eastAsia="Times New Roman" w:hAnsi="Times New Roman"/>
          <w:b w:val="1"/>
          <w:bCs w:val="1"/>
          <w:sz w:val="22"/>
          <w:szCs w:val="22"/>
          <w:rtl w:val="0"/>
        </w:rPr>
        <w:t xml:space="preserve">Tamaño y participación de mercado</w:t>
      </w:r>
    </w:p>
    <w:p w:rsidR="00000000" w:rsidDel="00000000" w:rsidP="00000000" w:rsidRDefault="00000000" w:rsidRPr="00000000" w14:paraId="00000041">
      <w:pPr>
        <w:spacing w:after="160" w:lineRule="auto"/>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escala financiera, número de clientes, red de atención y dotación de personal, BBVA Perú puede clasificarse como una organización grande y sistémicamente relevante dentro de la banca peruana. Al 30 de junio de 2026 registró S/ 117,146 millones en activos y S/ 82,194 millones en colocaciones netas; en el primer semestre obtuvo una utilidad neta de S/ 1,465 millones, 32.3 % superior a la del mismo periodo de 2025 (Banco BBVA Perú, 2026a, pp. 20-21).</w:t>
      </w:r>
    </w:p>
    <w:p w:rsidR="00000000" w:rsidDel="00000000" w:rsidP="00000000" w:rsidRDefault="00000000" w:rsidRPr="00000000" w14:paraId="00000042">
      <w:pPr>
        <w:ind w:left="720" w:hanging="11.338582677165334"/>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Figura 1</w:t>
      </w:r>
    </w:p>
    <w:p w:rsidR="00000000" w:rsidDel="00000000" w:rsidP="00000000" w:rsidRDefault="00000000" w:rsidRPr="00000000" w14:paraId="00000043">
      <w:pPr>
        <w:spacing w:after="100" w:lineRule="auto"/>
        <w:ind w:left="720" w:hanging="11.338582677165334"/>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Escala financiera de BBVA Perú al 30 de junio de 2026</w:t>
      </w:r>
    </w:p>
    <w:p w:rsidR="00000000" w:rsidDel="00000000" w:rsidP="00000000" w:rsidRDefault="00000000" w:rsidRPr="00000000" w14:paraId="00000044">
      <w:pPr>
        <w:spacing w:after="40" w:lineRule="auto"/>
        <w:ind w:left="705"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48023" cy="2347913"/>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48023"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before="4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Los importes se expresan en miles de millones de soles. Elaboración propia con datos de Banco BBVA Perú (2026a, p. 20).</w:t>
      </w:r>
    </w:p>
    <w:p w:rsidR="00000000" w:rsidDel="00000000" w:rsidP="00000000" w:rsidRDefault="00000000" w:rsidRPr="00000000" w14:paraId="00000046">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2</w:t>
      </w:r>
    </w:p>
    <w:p w:rsidR="00000000" w:rsidDel="00000000" w:rsidP="00000000" w:rsidRDefault="00000000" w:rsidRPr="00000000" w14:paraId="00000047">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Indicadores de dimensión y desempeño</w:t>
      </w:r>
    </w:p>
    <w:tbl>
      <w:tblPr>
        <w:tblStyle w:val="Table2"/>
        <w:tblW w:w="840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830"/>
        <w:gridCol w:w="3930"/>
        <w:tblGridChange w:id="0">
          <w:tblGrid>
            <w:gridCol w:w="2640"/>
            <w:gridCol w:w="1830"/>
            <w:gridCol w:w="3930"/>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48">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Indicador</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49">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Valor</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4A">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Periodo / lectura</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4B">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Activo total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4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117,146 millones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4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+7.6 %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4E">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Colocaciones netas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4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82,194 millones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+10.4 %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Obligaciones con el público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87,202 millones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+14.5 %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4">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Patrimonio neto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15,217 millones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+12.1 % interanual</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Utilidad neta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1,465 millones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Acumulada a junio de 2026; +32.3 %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A">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Clientes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9,465,848</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 2025; personas y personas jurídicas</w:t>
            </w:r>
          </w:p>
        </w:tc>
      </w:tr>
      <w:tr>
        <w:trPr>
          <w:cantSplit w:val="0"/>
          <w:trHeight w:val="9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D">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Posiciones estructurales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7,092</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52.5 % mujeres y 47.5 % hombres</w:t>
            </w:r>
          </w:p>
        </w:tc>
      </w:tr>
    </w:tbl>
    <w:p w:rsidR="00000000" w:rsidDel="00000000" w:rsidP="00000000" w:rsidRDefault="00000000" w:rsidRPr="00000000" w14:paraId="00000060">
      <w:pPr>
        <w:spacing w:after="160" w:before="40" w:lineRule="auto"/>
        <w:ind w:left="1275.590551181102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(2026a, pp. 6 y 20-21) y Banco BBVA Perú (2026b).</w:t>
      </w:r>
      <w:r w:rsidDel="00000000" w:rsidR="00000000" w:rsidRPr="00000000">
        <w:rPr>
          <w:rtl w:val="0"/>
        </w:rPr>
      </w:r>
    </w:p>
    <w:p w:rsidR="00000000" w:rsidDel="00000000" w:rsidP="00000000" w:rsidRDefault="00000000" w:rsidRPr="00000000" w14:paraId="00000061">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w1piczq241gu" w:id="3"/>
      <w:bookmarkEnd w:id="3"/>
      <w:r w:rsidDel="00000000" w:rsidR="00000000" w:rsidRPr="00000000">
        <w:rPr>
          <w:rFonts w:ascii="Times New Roman" w:cs="Times New Roman" w:eastAsia="Times New Roman" w:hAnsi="Times New Roman"/>
          <w:b w:val="1"/>
          <w:bCs w:val="1"/>
          <w:sz w:val="22"/>
          <w:szCs w:val="22"/>
          <w:rtl w:val="0"/>
        </w:rPr>
        <w:t xml:space="preserve">Servicios y segmentos</w:t>
      </w:r>
    </w:p>
    <w:p w:rsidR="00000000" w:rsidDel="00000000" w:rsidP="00000000" w:rsidRDefault="00000000" w:rsidRPr="00000000" w14:paraId="00000062">
      <w:pPr>
        <w:spacing w:after="160" w:lineRule="auto"/>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BBVA Perú opera como banco universal. Su portafolio cubre necesidades de administración cotidiana del dinero, ahorro, inversión, protección, financiamiento y gestión transaccional. En el segmento de personas ofrece cuentas, depósitos, tarjetas, préstamos de consumo, créditos hipotecarios y vehiculares, fondos mutuos, seguros y operaciones de cambio. Para empresas añade capital de trabajo, financiamiento estructurado, cash management, comercio exterior, pagos, planillas y servicios de mercado. En corporaciones e instituciones incorpora Global Transaction Banking, Global Markets y banca de inversión (Banco BBVA Perú, 2026b).</w:t>
      </w:r>
    </w:p>
    <w:p w:rsidR="00000000" w:rsidDel="00000000" w:rsidP="00000000" w:rsidRDefault="00000000" w:rsidRPr="00000000" w14:paraId="00000063">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3</w:t>
      </w:r>
    </w:p>
    <w:p w:rsidR="00000000" w:rsidDel="00000000" w:rsidP="00000000" w:rsidRDefault="00000000" w:rsidRPr="00000000" w14:paraId="00000064">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Servicios agrupados por segmento y necesidad del cliente</w:t>
      </w:r>
    </w:p>
    <w:tbl>
      <w:tblPr>
        <w:tblStyle w:val="Table3"/>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640"/>
        <w:gridCol w:w="3975"/>
        <w:tblGridChange w:id="0">
          <w:tblGrid>
            <w:gridCol w:w="1710"/>
            <w:gridCol w:w="2640"/>
            <w:gridCol w:w="397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65">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Segmento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66">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Necesidad principal</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67">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Servicios representativos</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8">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Personas - mercado masivo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Recibir, custodiar, pagar y financiar necesidades personales.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Cuentas, tarjetas, transferencias, Plin, préstamos de consumo, hipotecas, créditos vehiculares y seguros.</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B">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Personas de alto valor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Preservar y hacer crecer el patrimonio con asesoramiento.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Depósitos, fondos mutuos, inversiones, banca privada, seguros y soluciones cambiarias.</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E">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Pymes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Sostener liquidez, cobrar, pagar y financiar el crecimiento.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Cuentas empresa, capital de trabajo, recaudación, pagos, planillas, comercio exterior y Net Cash.</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7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Empresas e instituciones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7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tesorería y financiar operaciones de mayor escala.</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7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management, financiamiento, comercio exterior, mercados, coberturas y soluciones sostenibles.</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4">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Corporaciones / CIB</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Estructurar decisiones financieras complejas y transfronterizas.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Transaction Banking, Global Markets e Investment Banking &amp; Finance.</w:t>
            </w:r>
          </w:p>
        </w:tc>
      </w:tr>
    </w:tbl>
    <w:p w:rsidR="00000000" w:rsidDel="00000000" w:rsidP="00000000" w:rsidRDefault="00000000" w:rsidRPr="00000000" w14:paraId="00000077">
      <w:pPr>
        <w:spacing w:after="160" w:before="40" w:lineRule="auto"/>
        <w:ind w:left="9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 segmentación y oferta declaradas por Banco BBVA Perú (2026b).</w:t>
      </w:r>
      <w:r w:rsidDel="00000000" w:rsidR="00000000" w:rsidRPr="00000000">
        <w:rPr>
          <w:rtl w:val="0"/>
        </w:rPr>
      </w:r>
    </w:p>
    <w:p w:rsidR="00000000" w:rsidDel="00000000" w:rsidP="00000000" w:rsidRDefault="00000000" w:rsidRPr="00000000" w14:paraId="00000078">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z2jusr2ilh79" w:id="4"/>
      <w:bookmarkEnd w:id="4"/>
      <w:r w:rsidDel="00000000" w:rsidR="00000000" w:rsidRPr="00000000">
        <w:rPr>
          <w:rFonts w:ascii="Times New Roman" w:cs="Times New Roman" w:eastAsia="Times New Roman" w:hAnsi="Times New Roman"/>
          <w:b w:val="1"/>
          <w:bCs w:val="1"/>
          <w:sz w:val="22"/>
          <w:szCs w:val="22"/>
          <w:rtl w:val="0"/>
        </w:rPr>
        <w:t xml:space="preserve">Canales</w:t>
      </w:r>
    </w:p>
    <w:p w:rsidR="00000000" w:rsidDel="00000000" w:rsidP="00000000" w:rsidRDefault="00000000" w:rsidRPr="00000000" w14:paraId="00000079">
      <w:pPr>
        <w:spacing w:after="16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atención es omnicanal. La aplicación móvil es el principal canal transaccional, mientras la web, la red física, los cajeros, los agentes corresponsales y los canales asistidos cubren necesidades de autoservicio, asesoría o contingencia. Al cierre del segundo trimestre de 2026, la app concentró 85 % de las operaciones monetarias, superó los tres millones de usuarios activos y acumuló más de 350 millones de transacciones; las ventas digitales representaron 79.57 % de las ventas totales del banco (Banco BBVA Perú, 2026a, p. 3).</w:t>
      </w:r>
    </w:p>
    <w:p w:rsidR="00000000" w:rsidDel="00000000" w:rsidP="00000000" w:rsidRDefault="00000000" w:rsidRPr="00000000" w14:paraId="0000007A">
      <w:pPr>
        <w:spacing w:line="21.818181818181817"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w:t>
      </w:r>
    </w:p>
    <w:p w:rsidR="00000000" w:rsidDel="00000000" w:rsidP="00000000" w:rsidRDefault="00000000" w:rsidRPr="00000000" w14:paraId="0000007B">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Figura 2</w:t>
      </w:r>
    </w:p>
    <w:p w:rsidR="00000000" w:rsidDel="00000000" w:rsidP="00000000" w:rsidRDefault="00000000" w:rsidRPr="00000000" w14:paraId="0000007C">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Intensidad digital y penetración de ventas por producto</w:t>
      </w:r>
    </w:p>
    <w:p w:rsidR="00000000" w:rsidDel="00000000" w:rsidP="00000000" w:rsidRDefault="00000000" w:rsidRPr="00000000" w14:paraId="0000007D">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842038" cy="2563992"/>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42038" cy="256399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Las dos primeras barras corresponden a participación de operaciones y ventas; las cuatro restantes, a penetración digital por producto. Elaboración propia con datos de Banco BBVA Perú (2026a, p. 3).</w:t>
      </w:r>
    </w:p>
    <w:p w:rsidR="00000000" w:rsidDel="00000000" w:rsidP="00000000" w:rsidRDefault="00000000" w:rsidRPr="00000000" w14:paraId="0000007F">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4</w:t>
      </w:r>
    </w:p>
    <w:p w:rsidR="00000000" w:rsidDel="00000000" w:rsidP="00000000" w:rsidRDefault="00000000" w:rsidRPr="00000000" w14:paraId="00000080">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Canales y función dentro de la experiencia</w:t>
      </w:r>
    </w:p>
    <w:tbl>
      <w:tblPr>
        <w:tblStyle w:val="Table4"/>
        <w:tblW w:w="828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925"/>
        <w:gridCol w:w="3780"/>
        <w:tblGridChange w:id="0">
          <w:tblGrid>
            <w:gridCol w:w="1575"/>
            <w:gridCol w:w="2925"/>
            <w:gridCol w:w="3780"/>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81">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Canal</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82">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Función predominante</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83">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Evidencia / alcance</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4">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App BBVA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Autoservicio, pagos, contratación y seguimiento.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 de operaciones monetarias; más de 3 millones de usuarios activos a junio de 2026.</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Banca por internet</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Operaciones y consultas desde navegador.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Complementa la app y soporta operaciones que requieren mayor detalle.</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A">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Plin y QR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 inmediatos e interoperables.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Plin fue la funcionalidad preferida de la app en el segundo trimestre de 2026.</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D">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BBVA Net Cash</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financiera de empresas.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 tesorería, recaudación y consulta para clientes empresariales.</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0">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Oficinas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Asesoría y resolución de operaciones complejas.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 oficinas al cierre de 2025; sistema de citas digitales desplegado.</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93">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ATM y Agentes Express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9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física y cobertura de efectivo.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9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1,988 cajeros y 7,489 agentes al cierre de 2025.</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6">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Blue / Blue Buddy</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Atención conversacional y apoyo a la red.</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Buddy incorporó trazabilidad de reclamos y ofertas personalizadas; 90 % de adopción interna reportada en junio de 2026.</w:t>
            </w:r>
          </w:p>
        </w:tc>
      </w:tr>
    </w:tbl>
    <w:p w:rsidR="00000000" w:rsidDel="00000000" w:rsidP="00000000" w:rsidRDefault="00000000" w:rsidRPr="00000000" w14:paraId="00000099">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(2026a, pp. 3-4) y Banco BBVA Perú (2026b).</w:t>
      </w:r>
      <w:r w:rsidDel="00000000" w:rsidR="00000000" w:rsidRPr="00000000">
        <w:rPr>
          <w:rtl w:val="0"/>
        </w:rPr>
      </w:r>
    </w:p>
    <w:p w:rsidR="00000000" w:rsidDel="00000000" w:rsidP="00000000" w:rsidRDefault="00000000" w:rsidRPr="00000000" w14:paraId="0000009A">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8jpcjb8fteqs" w:id="5"/>
      <w:bookmarkEnd w:id="5"/>
      <w:r w:rsidDel="00000000" w:rsidR="00000000" w:rsidRPr="00000000">
        <w:rPr>
          <w:rFonts w:ascii="Times New Roman" w:cs="Times New Roman" w:eastAsia="Times New Roman" w:hAnsi="Times New Roman"/>
          <w:b w:val="1"/>
          <w:bCs w:val="1"/>
          <w:sz w:val="22"/>
          <w:szCs w:val="22"/>
          <w:rtl w:val="0"/>
        </w:rPr>
        <w:t xml:space="preserve">Tipos de clientes</w:t>
      </w:r>
    </w:p>
    <w:p w:rsidR="00000000" w:rsidDel="00000000" w:rsidP="00000000" w:rsidRDefault="00000000" w:rsidRPr="00000000" w14:paraId="0000009B">
      <w:pPr>
        <w:spacing w:after="160" w:lineRule="auto"/>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clientes es heterogénea en valor, comportamiento, complejidad regulatoria y necesidad de asesoramiento. En personas coexisten clientes de mercado masivo y patrimoniales; en negocios se distingue entre pymes, empresas, grandes empresas, corporaciones e instituciones. Esta segmentación exige propuestas diferenciadas, pero también una visión integrada del cliente que evite fragmentar su información entre productos y canales.</w:t>
      </w:r>
    </w:p>
    <w:p w:rsidR="00000000" w:rsidDel="00000000" w:rsidP="00000000" w:rsidRDefault="00000000" w:rsidRPr="00000000" w14:paraId="0000009C">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5</w:t>
      </w:r>
    </w:p>
    <w:p w:rsidR="00000000" w:rsidDel="00000000" w:rsidP="00000000" w:rsidRDefault="00000000" w:rsidRPr="00000000" w14:paraId="0000009D">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Segmentos de clientes considerados en el análisis</w:t>
      </w:r>
    </w:p>
    <w:tbl>
      <w:tblPr>
        <w:tblStyle w:val="Table5"/>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370"/>
        <w:gridCol w:w="4185"/>
        <w:tblGridChange w:id="0">
          <w:tblGrid>
            <w:gridCol w:w="1770"/>
            <w:gridCol w:w="2370"/>
            <w:gridCol w:w="418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9E">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Macrosegmento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9F">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Subsegmentos</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A0">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Rasgos de servicio</w:t>
            </w:r>
          </w:p>
        </w:tc>
      </w:tr>
      <w:tr>
        <w:trPr>
          <w:cantSplit w:val="0"/>
          <w:trHeight w:val="501.994628906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Personas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Mercado masivo y personas de alto valor.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 volumen, autoservicio digital, personalización, asesoría patrimonial en los estratos de mayor valor.</w:t>
            </w:r>
          </w:p>
        </w:tc>
      </w:tr>
      <w:tr>
        <w:trPr>
          <w:cantSplit w:val="0"/>
          <w:trHeight w:val="55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4">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Negocios y pymes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Emprendimientos, pymes y pymes de alto valor.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Necesidad de rapidez, liquidez, recaudo, pagos y crédito con información empresarial diversa.</w:t>
            </w:r>
          </w:p>
        </w:tc>
      </w:tr>
      <w:tr>
        <w:trPr>
          <w:cantSplit w:val="0"/>
          <w:trHeight w:val="27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Empresas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Empresarial y gran empresa.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Atención especializada, cash management, comercio exterior y financiamiento estructurado.</w:t>
            </w:r>
          </w:p>
        </w:tc>
      </w:tr>
      <w:tr>
        <w:trPr>
          <w:cantSplit w:val="0"/>
          <w:trHeight w:val="194.663085937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A">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Corporaciones e instituciones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Corporativo, institucional y clientes CIB.</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Operaciones complejas, gestión de riesgos, mercados y cobertura internacional.</w:t>
            </w:r>
          </w:p>
        </w:tc>
      </w:tr>
    </w:tbl>
    <w:p w:rsidR="00000000" w:rsidDel="00000000" w:rsidP="00000000" w:rsidRDefault="00000000" w:rsidRPr="00000000" w14:paraId="000000AD">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(2026b).</w:t>
      </w:r>
    </w:p>
    <w:p w:rsidR="00000000" w:rsidDel="00000000" w:rsidP="00000000" w:rsidRDefault="00000000" w:rsidRPr="00000000" w14:paraId="000000AE">
      <w:pPr>
        <w:spacing w:after="16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memoria anual reporta 9,465,848 clientes al cierre de 2025, mientras que el informe de gestión informa más de tres millones de usuarios activos en la app a junio de 2026. Estas magnitudes no deben dividirse de manera directa: corresponden a fechas, universos y definiciones distintas, y la categoría de cliente total incluye personas jurídicas. En consecuencia, cualquier conclusión sobre activación o abandono digital requerirá una línea base homogénea y evidencia adicional.</w:t>
      </w:r>
      <w:r w:rsidDel="00000000" w:rsidR="00000000" w:rsidRPr="00000000">
        <w:rPr>
          <w:rtl w:val="0"/>
        </w:rPr>
      </w:r>
    </w:p>
    <w:p w:rsidR="00000000" w:rsidDel="00000000" w:rsidP="00000000" w:rsidRDefault="00000000" w:rsidRPr="00000000" w14:paraId="000000AF">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ev1213koqrs1" w:id="6"/>
      <w:bookmarkEnd w:id="6"/>
      <w:r w:rsidDel="00000000" w:rsidR="00000000" w:rsidRPr="00000000">
        <w:rPr>
          <w:rFonts w:ascii="Times New Roman" w:cs="Times New Roman" w:eastAsia="Times New Roman" w:hAnsi="Times New Roman"/>
          <w:b w:val="1"/>
          <w:bCs w:val="1"/>
          <w:sz w:val="22"/>
          <w:szCs w:val="22"/>
          <w:rtl w:val="0"/>
        </w:rPr>
        <w:t xml:space="preserve">Situación actual</w:t>
      </w:r>
    </w:p>
    <w:p w:rsidR="00000000" w:rsidDel="00000000" w:rsidP="00000000" w:rsidRDefault="00000000" w:rsidRPr="00000000" w14:paraId="000000B0">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situación actual del negocio refleja una sólida posición de rentabilidad y eficiencia operativa, contrastada por desafíos específicos en la morosidad y la satisfacción del segmento Pyme. Asimismo, el entorno competitivo exige adaptación ante la disrupción de las billeteras digitales y la reciente interoperabilidad del sistema de pagos.</w:t>
      </w:r>
    </w:p>
    <w:p w:rsidR="00000000" w:rsidDel="00000000" w:rsidP="00000000" w:rsidRDefault="00000000" w:rsidRPr="00000000" w14:paraId="000000B1">
      <w:pP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6</w:t>
      </w:r>
    </w:p>
    <w:p w:rsidR="00000000" w:rsidDel="00000000" w:rsidP="00000000" w:rsidRDefault="00000000" w:rsidRPr="00000000" w14:paraId="000000B2">
      <w:pPr>
        <w:spacing w:after="16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Dimensiones clave de la situación actual del negocio</w:t>
      </w:r>
    </w:p>
    <w:tbl>
      <w:tblPr>
        <w:tblStyle w:val="Table6"/>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370"/>
        <w:gridCol w:w="4185"/>
        <w:tblGridChange w:id="0">
          <w:tblGrid>
            <w:gridCol w:w="1770"/>
            <w:gridCol w:w="2370"/>
            <w:gridCol w:w="418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B3">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Dimensión</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B4">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Métrica o enfoque</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B5">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Estado actual y lectura estratégica</w:t>
            </w:r>
          </w:p>
        </w:tc>
      </w:tr>
      <w:tr>
        <w:trPr>
          <w:cantSplit w:val="0"/>
          <w:trHeight w:val="501.994628906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6">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Desempeño y eficiencia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7">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Utilidad, ROE y ratio de eficiencia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Rentabilidad en máximos con utilidad de S/ 2,391 millones y ROE de 17.21% en 2025. El ratio de eficiencia cerró en 35.9%, posicionándose mejor que el promedio del sistema.</w:t>
            </w:r>
          </w:p>
        </w:tc>
      </w:tr>
      <w:tr>
        <w:trPr>
          <w:cantSplit w:val="0"/>
          <w:trHeight w:val="55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9">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crediticio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A">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Calidad de cartera y morosidad</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B">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cartera de alto riesgo mejoró a 5.1% con una cobertura del 95.0%. Sin embargo, la morosidad (3.38% a junio 2025) supera el promedio del sistema (2.28%), representando un frente abierto.</w:t>
            </w:r>
          </w:p>
        </w:tc>
      </w:tr>
      <w:tr>
        <w:trPr>
          <w:cantSplit w:val="0"/>
          <w:trHeight w:val="27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C">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Composición y satisfacción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D">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Cartera por segmento y NPS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E">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Cartera concentrada en banca corporativa/comercial (58.3%) frente a personas (41.7%). Existe una brecha crítica en satisfacción: NPS retail de 52.57% frente a un NPS Pyme de 33.6%.</w:t>
            </w:r>
          </w:p>
        </w:tc>
      </w:tr>
      <w:tr>
        <w:trPr>
          <w:cantSplit w:val="0"/>
          <w:trHeight w:val="194.663085937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F">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Sostenibilidad</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0">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Financiamiento e inclusión</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1">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Consolidada como línea de negocio con S/ 16.5 mil millones en colocaciones sostenibles, 100% de electricidad renovable y S/ 80 millones destinados a inclusión financiera</w:t>
            </w:r>
          </w:p>
        </w:tc>
      </w:tr>
    </w:tbl>
    <w:p w:rsidR="00000000" w:rsidDel="00000000" w:rsidP="00000000" w:rsidRDefault="00000000" w:rsidRPr="00000000" w14:paraId="000000C2">
      <w:pPr>
        <w:spacing w:after="1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la evaluación de los resultados financieros de Banco BBVA Perú. (2026b).</w:t>
      </w:r>
    </w:p>
    <w:p w:rsidR="00000000" w:rsidDel="00000000" w:rsidP="00000000" w:rsidRDefault="00000000" w:rsidRPr="00000000" w14:paraId="000000C3">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contexto competitivo, el entorno en el que opera BBVA Perú muestra una marcada dualidad entre un sistema bancario concentrado y un escenario transaccional altamente disruptivo. Actualmente, la mayor exigencia competitiva no proviene de la banca múltiple tradicional, sino de la rápida evolución de las billeteras digitales y las recientes normativas de interoperabilidad en los medios de pago.</w:t>
      </w:r>
    </w:p>
    <w:p w:rsidR="00000000" w:rsidDel="00000000" w:rsidP="00000000" w:rsidRDefault="00000000" w:rsidRPr="00000000" w14:paraId="000000C4">
      <w:pP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7</w:t>
      </w:r>
    </w:p>
    <w:p w:rsidR="00000000" w:rsidDel="00000000" w:rsidP="00000000" w:rsidRDefault="00000000" w:rsidRPr="00000000" w14:paraId="000000C5">
      <w:pPr>
        <w:spacing w:after="16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Dinámica del entorno competitivo y disrupción digital</w:t>
      </w:r>
    </w:p>
    <w:tbl>
      <w:tblPr>
        <w:tblStyle w:val="Table7"/>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370"/>
        <w:gridCol w:w="4185"/>
        <w:tblGridChange w:id="0">
          <w:tblGrid>
            <w:gridCol w:w="1770"/>
            <w:gridCol w:w="2370"/>
            <w:gridCol w:w="418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C6">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Factor competitivo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C7">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Situación del mercado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C8">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Impacto estratégico</w:t>
            </w:r>
          </w:p>
        </w:tc>
      </w:tr>
      <w:tr>
        <w:trPr>
          <w:cantSplit w:val="0"/>
          <w:trHeight w:val="501.994628906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9">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Concentración bancaria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A">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Cuatro bancos concentran el 82.3% de los créditos directos del sistema financiero peruano.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B">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Mantiene el dominio de las entidades líderes tradicionales en los segmentos de financiamiento clásico.</w:t>
            </w:r>
          </w:p>
        </w:tc>
      </w:tr>
      <w:tr>
        <w:trPr>
          <w:cantSplit w:val="0"/>
          <w:trHeight w:val="55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C">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Disrupción por billeteras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D">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Yape lidera el mercado con 19.1 millones de usuarios totales y 15.9 millones activos al mes; BBVA compite a través de Plin sin un activo equivalente propio.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E">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Desplaza gran parte de la transaccionalidad hacia canales externos a la app bancaria tradicional.</w:t>
            </w:r>
          </w:p>
        </w:tc>
      </w:tr>
      <w:tr>
        <w:trPr>
          <w:cantSplit w:val="0"/>
          <w:trHeight w:val="27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F">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Interoperabilidad (BCRP)</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0">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normativa del BCRP permite transferencias inmediatas y fluidas entre distintas entidades y billeteras digitales.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1">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significativamente las barreras de cambio para el usuario y erosiona el efecto de red de los bancos más grandes.</w:t>
            </w:r>
          </w:p>
        </w:tc>
      </w:tr>
    </w:tbl>
    <w:p w:rsidR="00000000" w:rsidDel="00000000" w:rsidP="00000000" w:rsidRDefault="00000000" w:rsidRPr="00000000" w14:paraId="000000D2">
      <w:pPr>
        <w:spacing w:after="1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datos del sistema financiero y el desarrollo del ecosistema nacional de pagos.</w:t>
      </w:r>
      <w:r w:rsidDel="00000000" w:rsidR="00000000" w:rsidRPr="00000000">
        <w:rPr>
          <w:rtl w:val="0"/>
        </w:rPr>
      </w:r>
    </w:p>
    <w:p w:rsidR="00000000" w:rsidDel="00000000" w:rsidP="00000000" w:rsidRDefault="00000000" w:rsidRPr="00000000" w14:paraId="000000D3">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7l5gw78uxg99" w:id="7"/>
      <w:bookmarkEnd w:id="7"/>
      <w:r w:rsidDel="00000000" w:rsidR="00000000" w:rsidRPr="00000000">
        <w:rPr>
          <w:rFonts w:ascii="Times New Roman" w:cs="Times New Roman" w:eastAsia="Times New Roman" w:hAnsi="Times New Roman"/>
          <w:b w:val="1"/>
          <w:bCs w:val="1"/>
          <w:sz w:val="22"/>
          <w:szCs w:val="22"/>
          <w:rtl w:val="0"/>
        </w:rPr>
        <w:t xml:space="preserve">Sistemas existentes</w:t>
      </w:r>
    </w:p>
    <w:p w:rsidR="00000000" w:rsidDel="00000000" w:rsidP="00000000" w:rsidRDefault="00000000" w:rsidRPr="00000000" w14:paraId="000000D4">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ecosistema tecnológico de Banco BBVA Perú refleja una estrategia orientada hacia la adopción de canales digitales, la explotación de datos y la implementación de Inteligencia Artificial (IA) a nivel operativo y corporativo. Si bien la entidad cuenta con soluciones globales heredadas de su matriz, mantiene componentes locales integrados para su transaccionalidad.</w:t>
      </w:r>
    </w:p>
    <w:p w:rsidR="00000000" w:rsidDel="00000000" w:rsidP="00000000" w:rsidRDefault="00000000" w:rsidRPr="00000000" w14:paraId="000000D5">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detalla el inventario de los principales sistemas y plataformas identificados en la operación del banco:</w:t>
      </w:r>
    </w:p>
    <w:p w:rsidR="00000000" w:rsidDel="00000000" w:rsidP="00000000" w:rsidRDefault="00000000" w:rsidRPr="00000000" w14:paraId="000000D6">
      <w:pP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8</w:t>
      </w:r>
    </w:p>
    <w:p w:rsidR="00000000" w:rsidDel="00000000" w:rsidP="00000000" w:rsidRDefault="00000000" w:rsidRPr="00000000" w14:paraId="000000D7">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Principales sistemas de información y plataformas tecnológicas</w:t>
      </w:r>
      <w:r w:rsidDel="00000000" w:rsidR="00000000" w:rsidRPr="00000000">
        <w:rPr>
          <w:rtl w:val="0"/>
        </w:rPr>
      </w:r>
    </w:p>
    <w:tbl>
      <w:tblPr>
        <w:tblStyle w:val="Table8"/>
        <w:tblW w:w="814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470"/>
        <w:gridCol w:w="4860"/>
        <w:tblGridChange w:id="0">
          <w:tblGrid>
            <w:gridCol w:w="1815"/>
            <w:gridCol w:w="1470"/>
            <w:gridCol w:w="4860"/>
          </w:tblGrid>
        </w:tblGridChange>
      </w:tblGrid>
      <w:tr>
        <w:trPr>
          <w:cantSplit w:val="0"/>
          <w:trHeight w:val="570"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D8">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Capa / Dominio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D9">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Sistema o elemento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DA">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 y alcance</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B">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e Inteligencia Artificial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C">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(Analytics, Data, AI)</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D">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global del Grupo BBVA, desplegada en Perú en 2025. Habilita modelos analíticos complejos y agiliza la toma de decisiones.</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DE">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Productividad interna</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DF">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Workspace con Gemini</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E0">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 de IA generativa para colaboradores en uso generalizado, orientada a la mejora de la eficiencia operativa.</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1">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Canal móvil (Retail)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2">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BBVA Perú y Asistente Blue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3">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 principal de interacción del cliente masivo; procesa más del 81% de las operaciones monetarias e integra al asistente virtual Blue.</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4">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Banca Empresas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5">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BBVA Net Cash</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6">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especializada de </w:t>
            </w:r>
            <w:r w:rsidDel="00000000" w:rsidR="00000000" w:rsidRPr="00000000">
              <w:rPr>
                <w:rFonts w:ascii="Times New Roman" w:cs="Times New Roman" w:eastAsia="Times New Roman" w:hAnsi="Times New Roman"/>
                <w:i w:val="1"/>
                <w:iCs w:val="1"/>
                <w:rtl w:val="0"/>
              </w:rPr>
              <w:t xml:space="preserve">cash management</w:t>
            </w:r>
            <w:r w:rsidDel="00000000" w:rsidR="00000000" w:rsidRPr="00000000">
              <w:rPr>
                <w:rFonts w:ascii="Times New Roman" w:cs="Times New Roman" w:eastAsia="Times New Roman" w:hAnsi="Times New Roman"/>
                <w:rtl w:val="0"/>
              </w:rPr>
              <w:t xml:space="preserve"> para la gestión transaccional y liquidez de clientes jurídicos.</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7">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Pagos y transferencias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 al Toque y QR Plin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9">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Ecosistema para transferencias instantáneas e interoperables, soportando altos volúmenes de transacciones digitales.</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A">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Onboarding e Inversiones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B">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Apertura digital y plataformas de inversión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C">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alta de cliente en 4 minutos. Además, integra la comercialización de fondos mutuos y asesoría de inversión asistida por IA en la app.</w:t>
            </w:r>
          </w:p>
        </w:tc>
      </w:tr>
    </w:tbl>
    <w:p w:rsidR="00000000" w:rsidDel="00000000" w:rsidP="00000000" w:rsidRDefault="00000000" w:rsidRPr="00000000" w14:paraId="000000ED">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los sistemas y capacidades digitales declarados por la entidad financiera.</w:t>
      </w:r>
    </w:p>
    <w:p w:rsidR="00000000" w:rsidDel="00000000" w:rsidP="00000000" w:rsidRDefault="00000000" w:rsidRPr="00000000" w14:paraId="000000EE">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Supuesto metodológico sobre la arquitectura transaccional: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 se identifica información pública oficial sobre el </w:t>
      </w:r>
      <w:r w:rsidDel="00000000" w:rsidR="00000000" w:rsidRPr="00000000">
        <w:rPr>
          <w:rFonts w:ascii="Times New Roman" w:cs="Times New Roman" w:eastAsia="Times New Roman" w:hAnsi="Times New Roman"/>
          <w:i w:val="1"/>
          <w:iCs w:val="1"/>
          <w:rtl w:val="0"/>
        </w:rPr>
        <w:t xml:space="preserve">core</w:t>
      </w:r>
      <w:r w:rsidDel="00000000" w:rsidR="00000000" w:rsidRPr="00000000">
        <w:rPr>
          <w:rFonts w:ascii="Times New Roman" w:cs="Times New Roman" w:eastAsia="Times New Roman" w:hAnsi="Times New Roman"/>
          <w:rtl w:val="0"/>
        </w:rPr>
        <w:t xml:space="preserve"> bancario, el motor de decisión crediticia, el CRM ni la plataforma central de prevención de fraude del banco. Para efectos del presente trabajo, se asume una arquitectura de </w:t>
      </w:r>
      <w:r w:rsidDel="00000000" w:rsidR="00000000" w:rsidRPr="00000000">
        <w:rPr>
          <w:rFonts w:ascii="Times New Roman" w:cs="Times New Roman" w:eastAsia="Times New Roman" w:hAnsi="Times New Roman"/>
          <w:i w:val="1"/>
          <w:iCs w:val="1"/>
          <w:rtl w:val="0"/>
        </w:rPr>
        <w:t xml:space="preserve">core</w:t>
      </w:r>
      <w:r w:rsidDel="00000000" w:rsidR="00000000" w:rsidRPr="00000000">
        <w:rPr>
          <w:rFonts w:ascii="Times New Roman" w:cs="Times New Roman" w:eastAsia="Times New Roman" w:hAnsi="Times New Roman"/>
          <w:rtl w:val="0"/>
        </w:rPr>
        <w:t xml:space="preserve"> transaccional moderno con una capa de servicios (API) e integración directa a la plataforma global de datos ADA.</w:t>
      </w:r>
      <w:r w:rsidDel="00000000" w:rsidR="00000000" w:rsidRPr="00000000">
        <w:rPr>
          <w:rtl w:val="0"/>
        </w:rPr>
      </w:r>
    </w:p>
    <w:p w:rsidR="00000000" w:rsidDel="00000000" w:rsidP="00000000" w:rsidRDefault="00000000" w:rsidRPr="00000000" w14:paraId="000000EF">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lw60c8p8frcr" w:id="8"/>
      <w:bookmarkEnd w:id="8"/>
      <w:r w:rsidDel="00000000" w:rsidR="00000000" w:rsidRPr="00000000">
        <w:rPr>
          <w:rFonts w:ascii="Times New Roman" w:cs="Times New Roman" w:eastAsia="Times New Roman" w:hAnsi="Times New Roman"/>
          <w:b w:val="1"/>
          <w:bCs w:val="1"/>
          <w:sz w:val="22"/>
          <w:szCs w:val="22"/>
          <w:rtl w:val="0"/>
        </w:rPr>
        <w:t xml:space="preserve">Business Model Canvas</w:t>
      </w:r>
    </w:p>
    <w:p w:rsidR="00000000" w:rsidDel="00000000" w:rsidP="00000000" w:rsidRDefault="00000000" w:rsidRPr="00000000" w14:paraId="000000F0">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Business Model Canvas permite sintetizar cómo la organización crea, entrega y captura valor mediante nueve bloques interrelacionados (Osterwalder &amp; Pigneur, 2010). En este caso, el elemento articulador es una propuesta de banca universal que combina escala, confianza regulatoria, cobertura omnicanal, capacidades globales y personalización basada en datos.</w:t>
      </w:r>
    </w:p>
    <w:p w:rsidR="00000000" w:rsidDel="00000000" w:rsidP="00000000" w:rsidRDefault="00000000" w:rsidRPr="00000000" w14:paraId="000000F1">
      <w:pPr>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9</w:t>
      </w:r>
    </w:p>
    <w:p w:rsidR="00000000" w:rsidDel="00000000" w:rsidP="00000000" w:rsidRDefault="00000000" w:rsidRPr="00000000" w14:paraId="000000F2">
      <w:pPr>
        <w:spacing w:after="10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Business Model Canvas de Banco BBVA Perú</w:t>
      </w:r>
    </w:p>
    <w:tbl>
      <w:tblPr>
        <w:tblStyle w:val="Table9"/>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250"/>
        <w:tblGridChange w:id="0">
          <w:tblGrid>
            <w:gridCol w:w="3060"/>
            <w:gridCol w:w="5250"/>
          </w:tblGrid>
        </w:tblGridChange>
      </w:tblGrid>
      <w:tr>
        <w:trPr>
          <w:cantSplit w:val="0"/>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F3">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Bloque</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F4">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Contenido aplicado a BBVA Perú</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5">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Segmentos de clientes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Personas de mercado masivo y alto valor; pymes; empresas; grandes empresas; corporaciones; instituciones y clientes CIB.</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Propuesta de valor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financieros seguros y accesibles, resolución digital de necesidades cotidianas, asesoramiento especializado, cobertura física y capacidades de un grupo global.</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9">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Canales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web, Plin/QR, Net Cash, oficinas, cajeros, Agentes Express, contact center y asistentes conversacionales.</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B">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Relación con clientes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Autoservicio digital, personalización, gestores especializados, atención asistida, citas y gestión de satisfacción y reclamos.</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D">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Fuentes de ingresos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Margen financiero; comisiones por pagos, tarjetas y servicios; gestión de activos; seguros; mercados; banca de inversión y soluciones transaccionales.</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F">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Recursos clave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0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 capital, marca, base de clientes, talento, red física, core transaccional, canales, datos, modelos de riesgo y plataforma ADA.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Actividades clave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Captación; originación y administración de crédito; pagos; inversiones; gestión de riesgos; atención; cumplimiento; datos, tecnología y ciberseguridad.</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03">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Socios clave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0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Grupo BBVA, Grupo Breca, redes y esquemas de pago, corresponsales, proveedores tecnológicos, centrales de riesgo y organismos del ecosistema financiero.</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5">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Estructura de costos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red física, tecnología y nube, seguridad, riesgo de crédito, fondeo, cumplimiento, proveedores y operación continua.</w:t>
            </w:r>
          </w:p>
        </w:tc>
      </w:tr>
    </w:tbl>
    <w:p w:rsidR="00000000" w:rsidDel="00000000" w:rsidP="00000000" w:rsidRDefault="00000000" w:rsidRPr="00000000" w14:paraId="00000107">
      <w:pPr>
        <w:spacing w:after="160" w:before="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según el modelo de Osterwalder y Pigneur (2010), con evidencia de Banco BBVA Perú (2026a, 2026b).</w:t>
      </w:r>
      <w:r w:rsidDel="00000000" w:rsidR="00000000" w:rsidRPr="00000000">
        <w:rPr>
          <w:rtl w:val="0"/>
        </w:rPr>
      </w:r>
    </w:p>
    <w:p w:rsidR="00000000" w:rsidDel="00000000" w:rsidP="00000000" w:rsidRDefault="00000000" w:rsidRPr="00000000" w14:paraId="00000108">
      <w:pPr>
        <w:pStyle w:val="Heading1"/>
        <w:numPr>
          <w:ilvl w:val="0"/>
          <w:numId w:val="1"/>
        </w:numPr>
        <w:ind w:left="566.9291338582675" w:hanging="360"/>
        <w:rPr>
          <w:rFonts w:ascii="Times New Roman" w:cs="Times New Roman" w:eastAsia="Times New Roman" w:hAnsi="Times New Roman"/>
          <w:b w:val="1"/>
          <w:bCs w:val="1"/>
          <w:sz w:val="22"/>
          <w:szCs w:val="22"/>
        </w:rPr>
      </w:pPr>
      <w:bookmarkStart w:colFirst="0" w:colLast="0" w:name="_tqwlbgle03yu" w:id="9"/>
      <w:bookmarkEnd w:id="9"/>
      <w:r w:rsidDel="00000000" w:rsidR="00000000" w:rsidRPr="00000000">
        <w:rPr>
          <w:rFonts w:ascii="Times New Roman" w:cs="Times New Roman" w:eastAsia="Times New Roman" w:hAnsi="Times New Roman"/>
          <w:b w:val="1"/>
          <w:bCs w:val="1"/>
          <w:sz w:val="22"/>
          <w:szCs w:val="22"/>
          <w:rtl w:val="0"/>
        </w:rPr>
        <w:t xml:space="preserve">Objetivos estratégicos del negocio y procesos críticos</w:t>
      </w:r>
    </w:p>
    <w:p w:rsidR="00000000" w:rsidDel="00000000" w:rsidP="00000000" w:rsidRDefault="00000000" w:rsidRPr="00000000" w14:paraId="00000109">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49xqzspbsste" w:id="10"/>
      <w:bookmarkEnd w:id="10"/>
      <w:r w:rsidDel="00000000" w:rsidR="00000000" w:rsidRPr="00000000">
        <w:rPr>
          <w:rFonts w:ascii="Times New Roman" w:cs="Times New Roman" w:eastAsia="Times New Roman" w:hAnsi="Times New Roman"/>
          <w:b w:val="1"/>
          <w:bCs w:val="1"/>
          <w:sz w:val="22"/>
          <w:szCs w:val="22"/>
          <w:rtl w:val="0"/>
        </w:rPr>
        <w:t xml:space="preserve">Objetivos estratégicos</w:t>
      </w:r>
    </w:p>
    <w:p w:rsidR="00000000" w:rsidDel="00000000" w:rsidP="00000000" w:rsidRDefault="00000000" w:rsidRPr="00000000" w14:paraId="0000010A">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ciclo 2025-2029, BBVA organiza su estrategia alrededor de seis prioridades. El informe las adopta como marco corporativo y las traduce a la realidad peruana mediante descripciones operativas, indicadores candidatos y capacidades necesarias. Esta traducción es relevante porque un objetivo adquiere utilidad para la gestión de sistemas cuando puede relacionarse con procesos, información, responsables y resultados verificables (BBVA, 2025).</w:t>
      </w:r>
    </w:p>
    <w:p w:rsidR="00000000" w:rsidDel="00000000" w:rsidP="00000000" w:rsidRDefault="00000000" w:rsidRPr="00000000" w14:paraId="0000010B">
      <w:pPr>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10</w:t>
      </w:r>
    </w:p>
    <w:p w:rsidR="00000000" w:rsidDel="00000000" w:rsidP="00000000" w:rsidRDefault="00000000" w:rsidRPr="00000000" w14:paraId="0000010C">
      <w:pPr>
        <w:spacing w:after="10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Objetivos estratégicos, indicadores y capacidades requeridas</w:t>
      </w:r>
    </w:p>
    <w:tbl>
      <w:tblPr>
        <w:tblStyle w:val="Table10"/>
        <w:tblW w:w="82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880"/>
        <w:gridCol w:w="3495"/>
        <w:tblGridChange w:id="0">
          <w:tblGrid>
            <w:gridCol w:w="1920"/>
            <w:gridCol w:w="2880"/>
            <w:gridCol w:w="3495"/>
          </w:tblGrid>
        </w:tblGridChange>
      </w:tblGrid>
      <w:tr>
        <w:trPr>
          <w:cantSplit w:val="0"/>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0D">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Objetivo estratégico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0E">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 operativa</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0F">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Indicadores candidatos y capacidades</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0">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OE1. “Incorporar radicalmente la perspectiva del cliente”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Rediseñar journeys y decisiones desde las necesidades del cliente; asegurar una experiencia coherente, disponible y contextual en todos los canales.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NPS, resolución en primer contacto, tiempo de ciclo, conversión y abandono. Capacidades: visión 360°, analítica de journeys, personalización, orquestación omnicanal y voz del cliente.</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3">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OE2. “Impulsar la sostenibilidad como motor de crecimiento”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criterios ambientales y sociales en la propuesta, la originación, el riesgo, el asesoramiento y el seguimiento, no solo en el reporte.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negocio sostenible movilizado, cartera elegible, tiempo de evaluación y calidad del dato ESG. Capacidades: taxonomía, trazabilidad, datos ESG, reglas de elegibilidad y reporting.</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6">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OE3. “Crecer en todos los segmentos de empresas”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Expandir la relación con pymes, empresas, instituciones y corporaciones mediante asesoramiento, rapidez de respuesta y soluciones transaccionales integrales.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cuota, clientes activos, vinculación, ingresos transaccionales, conversión y tiempo de aprobación. Capacidades: onboarding empresarial, cash management, scoring, integración y visión sectorial.</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9">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OE4. “Promover una mentalidad de creación de valor y capital</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Orientar crecimiento, precios y asignación de recursos a rentabilidad ajustada por riesgo y uso eficiente del capital.</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ROE, RORWA, eficiencia, costo de riesgo y rentabilidad por cliente/producto. Capacidades: rentabilidad granular, pricing, modelos de riesgo, automatización y gestión de portafolio.</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C">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OE5. “Maximizar IA, innovación, datos y tecnologías Next Gen”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Escalar datos e IA desde pilotos hacia decisiones, interacciones y automatizaciones gobernadas a lo largo de la cadena de valor.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casos en producción, adopción, tiempo de despliegue, calidad de datos, impacto económico y desempeño de modelos. Capacidades: ADA, MLOps, APIs, datos gobernados, seguridad y observabilidad.</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F">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OE6. “Fortalecer nuestra empatía, triunfar como un equipo ganador”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2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los procesos internos de la empresa, para maximizar el bienestar de los empleados y aumentar las capacidades digitales internas.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2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Nivel de productividad, tiempo de mejora de implementación de automatizaciones, calidad de datos y desempeño de la estrategia de mejora.</w:t>
            </w:r>
          </w:p>
        </w:tc>
      </w:tr>
    </w:tbl>
    <w:p w:rsidR="00000000" w:rsidDel="00000000" w:rsidP="00000000" w:rsidRDefault="00000000" w:rsidRPr="00000000" w14:paraId="00000122">
      <w:pPr>
        <w:spacing w:after="160" w:before="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w:t>
      </w:r>
      <w:r w:rsidDel="00000000" w:rsidR="00000000" w:rsidRPr="00000000">
        <w:rPr>
          <w:rtl w:val="0"/>
        </w:rPr>
      </w:r>
    </w:p>
    <w:p w:rsidR="00000000" w:rsidDel="00000000" w:rsidP="00000000" w:rsidRDefault="00000000" w:rsidRPr="00000000" w14:paraId="00000123">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tosgnrhasqtx" w:id="11"/>
      <w:bookmarkEnd w:id="11"/>
      <w:r w:rsidDel="00000000" w:rsidR="00000000" w:rsidRPr="00000000">
        <w:rPr>
          <w:rFonts w:ascii="Times New Roman" w:cs="Times New Roman" w:eastAsia="Times New Roman" w:hAnsi="Times New Roman"/>
          <w:b w:val="1"/>
          <w:bCs w:val="1"/>
          <w:sz w:val="22"/>
          <w:szCs w:val="22"/>
          <w:rtl w:val="0"/>
        </w:rPr>
        <w:t xml:space="preserve">Inventarios de procesos</w:t>
      </w:r>
    </w:p>
    <w:p w:rsidR="00000000" w:rsidDel="00000000" w:rsidP="00000000" w:rsidRDefault="00000000" w:rsidRPr="00000000" w14:paraId="00000124">
      <w:pPr>
        <w:spacing w:before="20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operación tecnológica del Banco combina plataformas transaccionales de alta disponibilidad, canales digitales que concentran la mayor parte de la actividad del cliente y una capa de datos y analítica en despliegue. A ello se suman procesos de control cuya forma responde a la regulación prudencial más que a decisiones internas, lo que permite especificarlos con mayor precisión que al resto.</w:t>
      </w:r>
    </w:p>
    <w:p w:rsidR="00000000" w:rsidDel="00000000" w:rsidP="00000000" w:rsidRDefault="00000000" w:rsidRPr="00000000" w14:paraId="00000125">
      <w:pPr>
        <w:spacing w:before="200" w:lineRule="auto"/>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11</w:t>
      </w:r>
    </w:p>
    <w:p w:rsidR="00000000" w:rsidDel="00000000" w:rsidP="00000000" w:rsidRDefault="00000000" w:rsidRPr="00000000" w14:paraId="00000126">
      <w:pPr>
        <w:spacing w:after="1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Inventario de procesos</w:t>
      </w:r>
      <w:r w:rsidDel="00000000" w:rsidR="00000000" w:rsidRPr="00000000">
        <w:rPr>
          <w:rtl w:val="0"/>
        </w:rPr>
      </w:r>
    </w:p>
    <w:tbl>
      <w:tblPr>
        <w:tblStyle w:val="Table11"/>
        <w:tblW w:w="8376.377952755905"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3.8488766885794"/>
        <w:gridCol w:w="3016.2645380336635"/>
        <w:gridCol w:w="3016.2645380336635"/>
        <w:tblGridChange w:id="0">
          <w:tblGrid>
            <w:gridCol w:w="2343.8488766885794"/>
            <w:gridCol w:w="3016.2645380336635"/>
            <w:gridCol w:w="3016.2645380336635"/>
          </w:tblGrid>
        </w:tblGridChange>
      </w:tblGrid>
      <w:tr>
        <w:trPr>
          <w:cantSplit w:val="0"/>
          <w:tblHeader w:val="0"/>
        </w:trPr>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afbfc"/>
              </w:rPr>
            </w:pPr>
            <w:r w:rsidDel="00000000" w:rsidR="00000000" w:rsidRPr="00000000">
              <w:rPr>
                <w:rFonts w:ascii="Times New Roman" w:cs="Times New Roman" w:eastAsia="Times New Roman" w:hAnsi="Times New Roman"/>
                <w:b w:val="1"/>
                <w:bCs w:val="1"/>
                <w:color w:val="fafbfc"/>
                <w:rtl w:val="0"/>
              </w:rPr>
              <w:t xml:space="preserve">Macroproceso</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b w:val="1"/>
                <w:bCs w:val="1"/>
                <w:color w:val="fafbfc"/>
              </w:rPr>
            </w:pPr>
            <w:r w:rsidDel="00000000" w:rsidR="00000000" w:rsidRPr="00000000">
              <w:rPr>
                <w:rFonts w:ascii="Times New Roman" w:cs="Times New Roman" w:eastAsia="Times New Roman" w:hAnsi="Times New Roman"/>
                <w:b w:val="1"/>
                <w:bCs w:val="1"/>
                <w:color w:val="fafbfc"/>
                <w:rtl w:val="0"/>
              </w:rPr>
              <w:t xml:space="preserve">Procesos</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b w:val="1"/>
                <w:bCs w:val="1"/>
                <w:color w:val="fafbfc"/>
              </w:rPr>
            </w:pPr>
            <w:r w:rsidDel="00000000" w:rsidR="00000000" w:rsidRPr="00000000">
              <w:rPr>
                <w:rFonts w:ascii="Times New Roman" w:cs="Times New Roman" w:eastAsia="Times New Roman" w:hAnsi="Times New Roman"/>
                <w:b w:val="1"/>
                <w:bCs w:val="1"/>
                <w:color w:val="fafbfc"/>
                <w:rtl w:val="0"/>
              </w:rPr>
              <w:t xml:space="preserve">Clasificación según cadena de valor</w:t>
            </w:r>
          </w:p>
        </w:tc>
      </w:tr>
      <w:tr>
        <w:trPr>
          <w:cantSplit w:val="0"/>
          <w:trHeight w:val="150" w:hRule="atLeast"/>
          <w:tblHeader w:val="0"/>
        </w:trPr>
        <w:tc>
          <w:tcPr>
            <w:vMerge w:val="restart"/>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Desarrollo de soluciones digitales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desarrollo de soluciones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plataformas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Calidad y pruebas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Operación de canales y servicios digitales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del core transaccional</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Primaria</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de canales digitales</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Primaria</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y atención de incidentes</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Primaria</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Gestión de datos, analítica e inteligencia artificial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Gobierno de datos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de la plataforma de datos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y operación de modelos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Seguridad de la información y ciberseguridad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gestión de seguridad de la información</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Identidades y accesos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Monitoreo y respuesta a incidentes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vulnerabilidades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Continuidad del negocio y resiliencia operacional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impacto en el negocio</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Estrategias de continuidad</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y simulacros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proveedores tecnológicos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bl>
    <w:p w:rsidR="00000000" w:rsidDel="00000000" w:rsidP="00000000" w:rsidRDefault="00000000" w:rsidRPr="00000000" w14:paraId="0000015D">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w:t>
      </w:r>
      <w:r w:rsidDel="00000000" w:rsidR="00000000" w:rsidRPr="00000000">
        <w:rPr>
          <w:rtl w:val="0"/>
        </w:rPr>
      </w:r>
    </w:p>
    <w:p w:rsidR="00000000" w:rsidDel="00000000" w:rsidP="00000000" w:rsidRDefault="00000000" w:rsidRPr="00000000" w14:paraId="0000015E">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frsmtn7zpxyg" w:id="12"/>
      <w:bookmarkEnd w:id="12"/>
      <w:r w:rsidDel="00000000" w:rsidR="00000000" w:rsidRPr="00000000">
        <w:rPr>
          <w:rFonts w:ascii="Times New Roman" w:cs="Times New Roman" w:eastAsia="Times New Roman" w:hAnsi="Times New Roman"/>
          <w:b w:val="1"/>
          <w:bCs w:val="1"/>
          <w:sz w:val="22"/>
          <w:szCs w:val="22"/>
          <w:rtl w:val="0"/>
        </w:rPr>
        <w:t xml:space="preserve">Procesos críticos</w:t>
      </w:r>
    </w:p>
    <w:p w:rsidR="00000000" w:rsidDel="00000000" w:rsidP="00000000" w:rsidRDefault="00000000" w:rsidRPr="00000000" w14:paraId="0000015F">
      <w:pPr>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proceso se considera crítico cuando su falla impide alcanzar un objetivo estratégico declarado, genera pérdida económica material o expone al Banco a incumplimiento regulatorio. La evaluación pondera cinco criterios: contribución a las prioridades del ciclo 2025-2029, impacto económico, exposición regulatoria, volumen de ejecución y dependencia de los demás procesos. El criterio regulatorio recoge la orientación reciente del supervisor, que trasladó la exigencia de resiliencia operacional hacia los servicios prestados por canales digitales (SBS, 2025).</w:t>
      </w:r>
    </w:p>
    <w:p w:rsidR="00000000" w:rsidDel="00000000" w:rsidP="00000000" w:rsidRDefault="00000000" w:rsidRPr="00000000" w14:paraId="00000160">
      <w:pPr>
        <w:spacing w:before="200" w:lineRule="auto"/>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12</w:t>
      </w:r>
    </w:p>
    <w:p w:rsidR="00000000" w:rsidDel="00000000" w:rsidP="00000000" w:rsidRDefault="00000000" w:rsidRPr="00000000" w14:paraId="00000161">
      <w:pPr>
        <w:spacing w:after="10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Macroprocesos y procesos críticos</w:t>
      </w:r>
    </w:p>
    <w:tbl>
      <w:tblPr>
        <w:tblStyle w:val="Table12"/>
        <w:tblW w:w="838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5100"/>
        <w:tblGridChange w:id="0">
          <w:tblGrid>
            <w:gridCol w:w="3285"/>
            <w:gridCol w:w="5100"/>
          </w:tblGrid>
        </w:tblGridChange>
      </w:tblGrid>
      <w:tr>
        <w:trPr>
          <w:cantSplit w:val="0"/>
          <w:tblHeader w:val="1"/>
        </w:trPr>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afbfc"/>
              </w:rPr>
            </w:pPr>
            <w:r w:rsidDel="00000000" w:rsidR="00000000" w:rsidRPr="00000000">
              <w:rPr>
                <w:rFonts w:ascii="Times New Roman" w:cs="Times New Roman" w:eastAsia="Times New Roman" w:hAnsi="Times New Roman"/>
                <w:color w:val="fafbfc"/>
                <w:rtl w:val="0"/>
              </w:rPr>
              <w:t xml:space="preserve">Macroproceso </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afbfc"/>
              </w:rPr>
            </w:pPr>
            <w:r w:rsidDel="00000000" w:rsidR="00000000" w:rsidRPr="00000000">
              <w:rPr>
                <w:rFonts w:ascii="Times New Roman" w:cs="Times New Roman" w:eastAsia="Times New Roman" w:hAnsi="Times New Roman"/>
                <w:color w:val="fafbfc"/>
                <w:rtl w:val="0"/>
              </w:rPr>
              <w:t xml:space="preserve">Fundamento de la criticidad </w:t>
            </w:r>
          </w:p>
        </w:tc>
      </w:tr>
      <w:tr>
        <w:trPr>
          <w:cantSplit w:val="0"/>
          <w:tblHeader w:val="0"/>
        </w:trPr>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Operación de canales y servicios digitales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 581.7 millones de transacciones digitales anuales y más del 81% de las operaciones del Banco. La norma de continuidad exige priorizar los servicios prestados por canales digitales </w:t>
            </w:r>
          </w:p>
        </w:tc>
      </w:tr>
      <w:tr>
        <w:trPr>
          <w:cantSplit w:val="0"/>
          <w:tblHeader w:val="0"/>
        </w:trPr>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Gestión de datos, analítica e inteligencia artificial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Materializa el objetivo OE5, que declara la disponibilidad de datos y las tecnologías de nueva generación como prioridad estratégica. Sustenta la plataforma corporativa de datos desplegada en 2025 </w:t>
            </w:r>
          </w:p>
        </w:tc>
      </w:tr>
      <w:tr>
        <w:trPr>
          <w:cantSplit w:val="0"/>
          <w:tblHeader w:val="0"/>
        </w:trPr>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Seguridad de la información y ciberseguridad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Único macroproceso sujeto a régimen normativo con sanciones propias, construido sobre estándares NIST e ISO/IEC. Protege la operación digital y los datos de 9,465,848 clientes </w:t>
            </w:r>
          </w:p>
        </w:tc>
      </w:tr>
    </w:tbl>
    <w:p w:rsidR="00000000" w:rsidDel="00000000" w:rsidP="00000000" w:rsidRDefault="00000000" w:rsidRPr="00000000" w14:paraId="0000016A">
      <w:pPr>
        <w:ind w:left="144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w:t>
      </w:r>
      <w:r w:rsidDel="00000000" w:rsidR="00000000" w:rsidRPr="00000000">
        <w:rPr>
          <w:rtl w:val="0"/>
        </w:rPr>
      </w:r>
    </w:p>
    <w:p w:rsidR="00000000" w:rsidDel="00000000" w:rsidP="00000000" w:rsidRDefault="00000000" w:rsidRPr="00000000" w14:paraId="0000016B">
      <w:pPr>
        <w:pStyle w:val="Heading1"/>
        <w:numPr>
          <w:ilvl w:val="0"/>
          <w:numId w:val="1"/>
        </w:numPr>
        <w:ind w:left="566.9291338582675" w:hanging="360"/>
        <w:rPr>
          <w:rFonts w:ascii="Times New Roman" w:cs="Times New Roman" w:eastAsia="Times New Roman" w:hAnsi="Times New Roman"/>
          <w:b w:val="1"/>
          <w:bCs w:val="1"/>
          <w:sz w:val="22"/>
          <w:szCs w:val="22"/>
        </w:rPr>
      </w:pPr>
      <w:bookmarkStart w:colFirst="0" w:colLast="0" w:name="_at2p2npcubj4" w:id="13"/>
      <w:bookmarkEnd w:id="13"/>
      <w:r w:rsidDel="00000000" w:rsidR="00000000" w:rsidRPr="00000000">
        <w:rPr>
          <w:rFonts w:ascii="Times New Roman" w:cs="Times New Roman" w:eastAsia="Times New Roman" w:hAnsi="Times New Roman"/>
          <w:b w:val="1"/>
          <w:bCs w:val="1"/>
          <w:sz w:val="22"/>
          <w:szCs w:val="22"/>
          <w:rtl w:val="0"/>
        </w:rPr>
        <w:t xml:space="preserve">Análisis de competitividad</w:t>
      </w:r>
    </w:p>
    <w:p w:rsidR="00000000" w:rsidDel="00000000" w:rsidP="00000000" w:rsidRDefault="00000000" w:rsidRPr="00000000" w14:paraId="0000016C">
      <w:pPr>
        <w:ind w:left="566.92913385826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a lo analizado en los dos puntos anteriores, se procede a realizar una análisis de competitividad, en base al modelo de las 5 fuerzas de Porter.</w:t>
      </w:r>
    </w:p>
    <w:p w:rsidR="00000000" w:rsidDel="00000000" w:rsidP="00000000" w:rsidRDefault="00000000" w:rsidRPr="00000000" w14:paraId="0000016D">
      <w:pPr>
        <w:ind w:left="566.92913385826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after="10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13</w:t>
      </w:r>
    </w:p>
    <w:p w:rsidR="00000000" w:rsidDel="00000000" w:rsidP="00000000" w:rsidRDefault="00000000" w:rsidRPr="00000000" w14:paraId="0000016F">
      <w:pPr>
        <w:spacing w:after="10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Analisis de Fuerzas de Porter</w:t>
      </w:r>
    </w:p>
    <w:tbl>
      <w:tblPr>
        <w:tblStyle w:val="Table13"/>
        <w:tblW w:w="82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265"/>
        <w:gridCol w:w="1110"/>
        <w:tblGridChange w:id="0">
          <w:tblGrid>
            <w:gridCol w:w="1920"/>
            <w:gridCol w:w="5265"/>
            <w:gridCol w:w="1110"/>
          </w:tblGrid>
        </w:tblGridChange>
      </w:tblGrid>
      <w:tr>
        <w:trPr>
          <w:cantSplit w:val="0"/>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70">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Fuerza</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71">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Análisis</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72">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Grado de relevancia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3">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Rivalidad entre competidores existentes </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rtl w:val="0"/>
              </w:rPr>
              <w:t xml:space="preserve">l Banco BBVA Perú compite de manera agresiva frente a otras entidades de primer nivel por el liderazgo de los segmentos clave, registrando al cierre del segundo trimestre de 2026 colocaciones netas por S/ 82,194 millones (+10.4% interanual) y obligaciones con el público por S/ 87,202 millones (+14.5% interanual), impulsadas por los portafolios minorista, corporativo y pyme (Banco BBVA Perú, 2026). Al cierre del ejercicio 2025, el banco consolidó una cuota de mercado del 22.09% en colocaciones vigentes —liderando la banca de personas con un 22.7% de participación y los préstamos de consumo con un 19.7%— y un 20.90% en depósitos totales (Banco BBVA Perú, 2025)</w:t>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6">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Amenaza de nuevos competidores </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marco regulatorio exige a las empresas del Régimen General cumplir con estrictos requerimientos mínimos de solvencia patrimonial, que incluyen límites globales de capital del 10% y el mantenimiento de niveles de Capital Ordinario de Nivel 1 (CET1) por encima de ciertos umbrales (como el requerimiento específico mayor al 10% para el BBVA Perú) (Banco BBVA Perú, 2026). Adicionalmente, la rigurosa y especializada normativa emitida por la Superintendencia de Banca, Seguros y AFP (SBS), reflejada en el Reglamento para la Gestión de la Seguridad de la Información y la Ciberseguridad (Resolución SBS N° 504-2021) y el Reglamento para la Gestión de la Continuidad del Negocio (Resolución SBS N° 877-2020), impone altos estándares y costosos sistemas de control tecnológico y ciberseguridad, lo que restringe significativamente la posibilidad de ingreso de nuevos intermediarios tradicionales (Superintendencia de Banca, Seguros y AFP, 2020, 2021).</w:t>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9">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Amenaza de productos o servicios sustitutos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amenaza de productos sustitutos en el mercado financiero peruano proviene principalmente de la rápida expansión de plataformas de tecnología financiera (fintech), cooperativas de ahorro y crédito, y billeteras digitales móviles de transacciones cotidianas que simplifican el flujo del dinero (Banco BBVA Perú, 2025). Para contrarrestar esta amenaza de desvío digital, el banco ha integrado a su propuesta comercial soluciones móviles de alta adopción inmediata como Plin y cobros inmediatos mediante códigos QR, promoviendo iniciativas de gamificación como "Raspa y gana" para incentivar la retención de flujos y fondos de destino (BBVA Perú, s.f.; Banco BBVA Perú, 2025). De igual manera, el fomento del autoservicio y la digitalización integral, como la apertura de cuentas de manera 100% digital "E2E" desde la App en un promedio de cuatro minutos, permiten mitigar el abandono de los clientes tradicionales frente a competidores ágiles independientes (BBVA Perú, s.f.; Banco BBVA Perú, 2025).</w:t>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C">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Poder de negociación de los clientes </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 de contrarrestar este poder y evitar la fuga de usuarios, BBVA Perú se enfoca activamente en la estrategia "RCP" (Radical Client Perspective) para colocar la visión del cliente en el centro de todas las decisiones corporativas mediante principios de excelencia operativa, propuestas diferenciadas e hiperpersonalización basada en inteligencia artificial (IA) (Banco BBVA Perú, 2025)</w:t>
            </w:r>
          </w:p>
          <w:p w:rsidR="00000000" w:rsidDel="00000000" w:rsidP="00000000" w:rsidRDefault="00000000" w:rsidRPr="00000000" w14:paraId="0000017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a este enfoque de fidelización y a herramientas digitales de salud financiera, el banco logró registrar al cierre del 2025 una destacada tasa de retención de clientes del 83% en número y del 86% en monto, sustentada por un Net Promoter Score (NPS) retail sobresaliente del 52.57%, el cual superó en +241 puntos básicos al segundo banco de la competencia (Banco BBVA Perú, 2025)</w:t>
            </w:r>
          </w:p>
          <w:p w:rsidR="00000000" w:rsidDel="00000000" w:rsidP="00000000" w:rsidRDefault="00000000" w:rsidRPr="00000000" w14:paraId="0000017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Asimismo, el desarrollo de funcionalidades de autoservicio para reprogramaciones y refinanciaciones digitales rápidas coadyuva a disminuir la fricción y a elevar el costo de cambio del cliente bancario (Banco BBVA Perú, 2025)</w:t>
            </w:r>
          </w:p>
          <w:p w:rsidR="00000000" w:rsidDel="00000000" w:rsidP="00000000" w:rsidRDefault="00000000" w:rsidRPr="00000000" w14:paraId="0000018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8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82">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Poder de negociación de los proveedores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8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poder de negociación de los proveedores en la banca peruana recae principalmente en empresas de telecomunicaciones y tecnologías de procesamiento de datos e infraestructura en la nube global (como Amazon Web Services [AWS] y Google Cloud, que soportan plataformas centrales del banco como ADA) (Banco BBVA Perú, 2026; BBVA, 2025)</w:t>
            </w:r>
          </w:p>
          <w:p w:rsidR="00000000" w:rsidDel="00000000" w:rsidP="00000000" w:rsidRDefault="00000000" w:rsidRPr="00000000" w14:paraId="0000018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obstante, este poder se ve mitigado y controlado por la rigurosa gobernanza de compras responsables y Vendor Risk Management (VRM) del banco, la cual evalúa a los proveedores bajo un módulo estandarizado de ocho categorías de riesgo, que incluyen ciberseguridad, reputación, sostenibilidad y protección de datos (Banco BBVA Perú, 2025)</w:t>
            </w:r>
          </w:p>
          <w:p w:rsidR="00000000" w:rsidDel="00000000" w:rsidP="00000000" w:rsidRDefault="00000000" w:rsidRPr="00000000" w14:paraId="0000018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igual forma, las directrices de la SBS (Resolución SBS N° 504-2021) acotan fuertemente este poder al obligar formalmente al banco a evidenciar anualmente certificaciones de seguridad vigentes de sus proveedores (como ISO 27001, ISO 27017, ISO 27018, y reportes SOC 2) y a establecer contractualmente "estrategias de salida" claras para migrar la información sin comprometer la continuidad (Superintendencia de Banca, Seguros y AFP, 2021)</w:t>
            </w:r>
          </w:p>
          <w:p w:rsidR="00000000" w:rsidDel="00000000" w:rsidP="00000000" w:rsidRDefault="00000000" w:rsidRPr="00000000" w14:paraId="0000018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8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bl>
    <w:p w:rsidR="00000000" w:rsidDel="00000000" w:rsidP="00000000" w:rsidRDefault="00000000" w:rsidRPr="00000000" w14:paraId="00000188">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w:t>
      </w:r>
      <w:r w:rsidDel="00000000" w:rsidR="00000000" w:rsidRPr="00000000">
        <w:rPr>
          <w:rtl w:val="0"/>
        </w:rPr>
      </w:r>
    </w:p>
    <w:p w:rsidR="00000000" w:rsidDel="00000000" w:rsidP="00000000" w:rsidRDefault="00000000" w:rsidRPr="00000000" w14:paraId="00000189">
      <w:pPr>
        <w:pStyle w:val="Heading1"/>
        <w:numPr>
          <w:ilvl w:val="0"/>
          <w:numId w:val="1"/>
        </w:numPr>
        <w:ind w:left="566.9291338582675" w:hanging="360"/>
        <w:rPr>
          <w:rFonts w:ascii="Times New Roman" w:cs="Times New Roman" w:eastAsia="Times New Roman" w:hAnsi="Times New Roman"/>
          <w:b w:val="1"/>
          <w:bCs w:val="1"/>
          <w:sz w:val="22"/>
          <w:szCs w:val="22"/>
        </w:rPr>
      </w:pPr>
      <w:bookmarkStart w:colFirst="0" w:colLast="0" w:name="_uipuv34bifbe" w:id="14"/>
      <w:bookmarkEnd w:id="14"/>
      <w:r w:rsidDel="00000000" w:rsidR="00000000" w:rsidRPr="00000000">
        <w:rPr>
          <w:rFonts w:ascii="Times New Roman" w:cs="Times New Roman" w:eastAsia="Times New Roman" w:hAnsi="Times New Roman"/>
          <w:b w:val="1"/>
          <w:bCs w:val="1"/>
          <w:sz w:val="22"/>
          <w:szCs w:val="22"/>
          <w:rtl w:val="0"/>
        </w:rPr>
        <w:t xml:space="preserve">Referencias bibliográficas</w:t>
      </w:r>
      <w:r w:rsidDel="00000000" w:rsidR="00000000" w:rsidRPr="00000000">
        <w:rPr>
          <w:rtl w:val="0"/>
        </w:rPr>
      </w:r>
    </w:p>
    <w:p w:rsidR="00000000" w:rsidDel="00000000" w:rsidP="00000000" w:rsidRDefault="00000000" w:rsidRPr="00000000" w14:paraId="0000018A">
      <w:pPr>
        <w:spacing w:after="160" w:line="276"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Banco BBVA Perú. (2026a). </w:t>
      </w:r>
      <w:r w:rsidDel="00000000" w:rsidR="00000000" w:rsidRPr="00000000">
        <w:rPr>
          <w:rFonts w:ascii="Times New Roman" w:cs="Times New Roman" w:eastAsia="Times New Roman" w:hAnsi="Times New Roman"/>
          <w:i w:val="1"/>
          <w:iCs w:val="1"/>
          <w:rtl w:val="0"/>
        </w:rPr>
        <w:t xml:space="preserve">Informe de gestión 2T 2026</w:t>
      </w:r>
      <w:r w:rsidDel="00000000" w:rsidR="00000000" w:rsidRPr="00000000">
        <w:rPr>
          <w:rFonts w:ascii="Times New Roman" w:cs="Times New Roman" w:eastAsia="Times New Roman" w:hAnsi="Times New Roman"/>
          <w:rtl w:val="0"/>
        </w:rPr>
        <w:t xml:space="preserve">.</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0563c1"/>
            <w:u w:val="single"/>
            <w:rtl w:val="0"/>
          </w:rPr>
          <w:t xml:space="preserve">https://www.bbva.pe/content/dam/public-web/peru/documents/prefooter/informacion-financiera/informacion-anual/2026/informe-de-gestion-2T2026.pdf</w:t>
        </w:r>
      </w:hyperlink>
      <w:r w:rsidDel="00000000" w:rsidR="00000000" w:rsidRPr="00000000">
        <w:rPr>
          <w:rtl w:val="0"/>
        </w:rPr>
      </w:r>
    </w:p>
    <w:p w:rsidR="00000000" w:rsidDel="00000000" w:rsidP="00000000" w:rsidRDefault="00000000" w:rsidRPr="00000000" w14:paraId="0000018B">
      <w:pPr>
        <w:spacing w:after="160" w:line="276"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Banco BBVA Perú. (2026b). </w:t>
      </w:r>
      <w:r w:rsidDel="00000000" w:rsidR="00000000" w:rsidRPr="00000000">
        <w:rPr>
          <w:rFonts w:ascii="Times New Roman" w:cs="Times New Roman" w:eastAsia="Times New Roman" w:hAnsi="Times New Roman"/>
          <w:i w:val="1"/>
          <w:iCs w:val="1"/>
          <w:rtl w:val="0"/>
        </w:rPr>
        <w:t xml:space="preserve">Memoria anual 2025: ¿Avanzamos? Informe integrado</w:t>
      </w:r>
      <w:r w:rsidDel="00000000" w:rsidR="00000000" w:rsidRPr="00000000">
        <w:rPr>
          <w:rFonts w:ascii="Times New Roman" w:cs="Times New Roman" w:eastAsia="Times New Roman" w:hAnsi="Times New Roman"/>
          <w:rtl w:val="0"/>
        </w:rPr>
        <w:t xml:space="preserve">.</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0563c1"/>
            <w:u w:val="single"/>
            <w:rtl w:val="0"/>
          </w:rPr>
          <w:t xml:space="preserve">https://www.bbva.pe/content/dam/public-web/peru/documents/personas/investor-relations/vii-Memoria-Anual-2025.pdf</w:t>
        </w:r>
      </w:hyperlink>
      <w:r w:rsidDel="00000000" w:rsidR="00000000" w:rsidRPr="00000000">
        <w:rPr>
          <w:rtl w:val="0"/>
        </w:rPr>
      </w:r>
    </w:p>
    <w:p w:rsidR="00000000" w:rsidDel="00000000" w:rsidP="00000000" w:rsidRDefault="00000000" w:rsidRPr="00000000" w14:paraId="0000018C">
      <w:pPr>
        <w:spacing w:after="160" w:line="276"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BBVA. (2025, 30 de abril). </w:t>
      </w:r>
      <w:r w:rsidDel="00000000" w:rsidR="00000000" w:rsidRPr="00000000">
        <w:rPr>
          <w:rFonts w:ascii="Times New Roman" w:cs="Times New Roman" w:eastAsia="Times New Roman" w:hAnsi="Times New Roman"/>
          <w:i w:val="1"/>
          <w:iCs w:val="1"/>
          <w:rtl w:val="0"/>
        </w:rPr>
        <w:t xml:space="preserve">Prioridades estratégicas</w:t>
      </w:r>
      <w:r w:rsidDel="00000000" w:rsidR="00000000" w:rsidRPr="00000000">
        <w:rPr>
          <w:rFonts w:ascii="Times New Roman" w:cs="Times New Roman" w:eastAsia="Times New Roman" w:hAnsi="Times New Roman"/>
          <w:rtl w:val="0"/>
        </w:rPr>
        <w:t xml:space="preserve">.</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0563c1"/>
            <w:u w:val="single"/>
            <w:rtl w:val="0"/>
          </w:rPr>
          <w:t xml:space="preserve">https://accionistaseinversores.bbva.com/grupo-bbva/estrategia-la-transformacion-en-bbva/prioridades-estrategicas/</w:t>
        </w:r>
      </w:hyperlink>
      <w:r w:rsidDel="00000000" w:rsidR="00000000" w:rsidRPr="00000000">
        <w:rPr>
          <w:rtl w:val="0"/>
        </w:rPr>
      </w:r>
    </w:p>
    <w:p w:rsidR="00000000" w:rsidDel="00000000" w:rsidP="00000000" w:rsidRDefault="00000000" w:rsidRPr="00000000" w14:paraId="0000018D">
      <w:pPr>
        <w:spacing w:after="160" w:line="276"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BBVA. (2026, 12 de enero). </w:t>
      </w:r>
      <w:r w:rsidDel="00000000" w:rsidR="00000000" w:rsidRPr="00000000">
        <w:rPr>
          <w:rFonts w:ascii="Times New Roman" w:cs="Times New Roman" w:eastAsia="Times New Roman" w:hAnsi="Times New Roman"/>
          <w:i w:val="1"/>
          <w:iCs w:val="1"/>
          <w:rtl w:val="0"/>
        </w:rPr>
        <w:t xml:space="preserve">BBVA completes its global move to the cloud with a single data and artificial intelligence platform</w:t>
      </w:r>
      <w:r w:rsidDel="00000000" w:rsidR="00000000" w:rsidRPr="00000000">
        <w:rPr>
          <w:rFonts w:ascii="Times New Roman" w:cs="Times New Roman" w:eastAsia="Times New Roman" w:hAnsi="Times New Roman"/>
          <w:rtl w:val="0"/>
        </w:rPr>
        <w:t xml:space="preserve">.</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0563c1"/>
            <w:u w:val="single"/>
            <w:rtl w:val="0"/>
          </w:rPr>
          <w:t xml:space="preserve">https://www.bbva.com/en/innovation/bbva-completes-its-global-move-to-the-cloud-with-a-single-data-and-artificial-intelligence-platform/</w:t>
        </w:r>
      </w:hyperlink>
      <w:r w:rsidDel="00000000" w:rsidR="00000000" w:rsidRPr="00000000">
        <w:rPr>
          <w:rtl w:val="0"/>
        </w:rPr>
      </w:r>
    </w:p>
    <w:p w:rsidR="00000000" w:rsidDel="00000000" w:rsidP="00000000" w:rsidRDefault="00000000" w:rsidRPr="00000000" w14:paraId="0000018E">
      <w:pPr>
        <w:spacing w:after="160" w:line="276"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BBVA Perú. (s. f.). </w:t>
      </w:r>
      <w:r w:rsidDel="00000000" w:rsidR="00000000" w:rsidRPr="00000000">
        <w:rPr>
          <w:rFonts w:ascii="Times New Roman" w:cs="Times New Roman" w:eastAsia="Times New Roman" w:hAnsi="Times New Roman"/>
          <w:i w:val="1"/>
          <w:iCs w:val="1"/>
          <w:rtl w:val="0"/>
        </w:rPr>
        <w:t xml:space="preserve">BBVA Perú: El BBVA te da la bienvenida</w:t>
      </w:r>
      <w:r w:rsidDel="00000000" w:rsidR="00000000" w:rsidRPr="00000000">
        <w:rPr>
          <w:rFonts w:ascii="Times New Roman" w:cs="Times New Roman" w:eastAsia="Times New Roman" w:hAnsi="Times New Roman"/>
          <w:rtl w:val="0"/>
        </w:rPr>
        <w:t xml:space="preserve">.</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0563c1"/>
            <w:u w:val="single"/>
            <w:rtl w:val="0"/>
          </w:rPr>
          <w:t xml:space="preserve">https://www.bbva.pe/personas.html</w:t>
        </w:r>
      </w:hyperlink>
      <w:r w:rsidDel="00000000" w:rsidR="00000000" w:rsidRPr="00000000">
        <w:rPr>
          <w:rtl w:val="0"/>
        </w:rPr>
      </w:r>
    </w:p>
    <w:p w:rsidR="00000000" w:rsidDel="00000000" w:rsidP="00000000" w:rsidRDefault="00000000" w:rsidRPr="00000000" w14:paraId="0000018F">
      <w:pPr>
        <w:spacing w:after="160" w:line="276"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Osterwalder, A., &amp; Pigneur, Y. (2010). </w:t>
      </w:r>
      <w:r w:rsidDel="00000000" w:rsidR="00000000" w:rsidRPr="00000000">
        <w:rPr>
          <w:rFonts w:ascii="Times New Roman" w:cs="Times New Roman" w:eastAsia="Times New Roman" w:hAnsi="Times New Roman"/>
          <w:i w:val="1"/>
          <w:iCs w:val="1"/>
          <w:rtl w:val="0"/>
        </w:rPr>
        <w:t xml:space="preserve">Business model generation: A handbook for visionaries, game changers, and challengers</w:t>
      </w:r>
      <w:r w:rsidDel="00000000" w:rsidR="00000000" w:rsidRPr="00000000">
        <w:rPr>
          <w:rFonts w:ascii="Times New Roman" w:cs="Times New Roman" w:eastAsia="Times New Roman" w:hAnsi="Times New Roman"/>
          <w:rtl w:val="0"/>
        </w:rPr>
        <w:t xml:space="preserve">. John Wiley &amp; Sons.</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0563c1"/>
            <w:u w:val="single"/>
            <w:rtl w:val="0"/>
          </w:rPr>
          <w:t xml:space="preserve">https://www.wiley.com/en-us/Business%2BModel%2BGeneration%3A%2BA%2BHandbook%2Bfor%2BVisionaries%2C%2BGame%2BChangers%2C%2Band%2BChallengers-p-9780470876411</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Superintendencia de Banca, Seguros y AFP. (2021). </w:t>
      </w:r>
      <w:r w:rsidDel="00000000" w:rsidR="00000000" w:rsidRPr="00000000">
        <w:rPr>
          <w:rFonts w:ascii="Times New Roman" w:cs="Times New Roman" w:eastAsia="Times New Roman" w:hAnsi="Times New Roman"/>
          <w:i w:val="1"/>
          <w:iCs w:val="1"/>
          <w:rtl w:val="0"/>
        </w:rPr>
        <w:t xml:space="preserve">Resolución S.B.S. N° 504-2021. Reglamento para la Gestión de la Seguridad de la Información y la Ciberseguridad.</w:t>
      </w:r>
      <w:hyperlink r:id="rId25">
        <w:r w:rsidDel="00000000" w:rsidR="00000000" w:rsidRPr="00000000">
          <w:rPr>
            <w:rFonts w:ascii="Times New Roman" w:cs="Times New Roman" w:eastAsia="Times New Roman" w:hAnsi="Times New Roman"/>
            <w:i w:val="1"/>
            <w:iCs w:val="1"/>
            <w:rtl w:val="0"/>
          </w:rPr>
          <w:t xml:space="preserve"> </w:t>
        </w:r>
      </w:hyperlink>
      <w:hyperlink r:id="rId26">
        <w:r w:rsidDel="00000000" w:rsidR="00000000" w:rsidRPr="00000000">
          <w:rPr>
            <w:rFonts w:ascii="Times New Roman" w:cs="Times New Roman" w:eastAsia="Times New Roman" w:hAnsi="Times New Roman"/>
            <w:color w:val="0563c1"/>
            <w:u w:val="single"/>
            <w:rtl w:val="0"/>
          </w:rPr>
          <w:t xml:space="preserve">https://intranet2.sbs.gob.pe/dv_int_cn/2046/v2.0/Adjuntos/504-2021.R.pdf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Superintendencia de Banca, Seguros y AFP. (2020). </w:t>
      </w:r>
      <w:r w:rsidDel="00000000" w:rsidR="00000000" w:rsidRPr="00000000">
        <w:rPr>
          <w:rFonts w:ascii="Times New Roman" w:cs="Times New Roman" w:eastAsia="Times New Roman" w:hAnsi="Times New Roman"/>
          <w:i w:val="1"/>
          <w:iCs w:val="1"/>
          <w:rtl w:val="0"/>
        </w:rPr>
        <w:t xml:space="preserve">Resolución S.B.S. N° 877-2020. Reglamento para la Gestión de la Continuidad del Negocio</w:t>
      </w:r>
      <w:r w:rsidDel="00000000" w:rsidR="00000000" w:rsidRPr="00000000">
        <w:rPr>
          <w:rFonts w:ascii="Times New Roman" w:cs="Times New Roman" w:eastAsia="Times New Roman" w:hAnsi="Times New Roman"/>
          <w:rtl w:val="0"/>
        </w:rPr>
        <w:t xml:space="preserve">.</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https://intranet2.sbs.gob.pe/dv_int_cn/1894/v1.0/Adjuntos/877-2020.R.pdf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Superintendencia de Banca, Seguros y AFP. (2025). </w:t>
      </w:r>
      <w:r w:rsidDel="00000000" w:rsidR="00000000" w:rsidRPr="00000000">
        <w:rPr>
          <w:rFonts w:ascii="Times New Roman" w:cs="Times New Roman" w:eastAsia="Times New Roman" w:hAnsi="Times New Roman"/>
          <w:i w:val="1"/>
          <w:iCs w:val="1"/>
          <w:rtl w:val="0"/>
        </w:rPr>
        <w:t xml:space="preserve">Resolución S.B.S. N° 00814-2025. Modifican el Reglamento para la Gestión de la Continuidad del Negocio y el Reglamento de Infracciones y Sanciones</w:t>
      </w:r>
      <w:r w:rsidDel="00000000" w:rsidR="00000000" w:rsidRPr="00000000">
        <w:rPr>
          <w:rFonts w:ascii="Times New Roman" w:cs="Times New Roman" w:eastAsia="Times New Roman" w:hAnsi="Times New Roman"/>
          <w:rtl w:val="0"/>
        </w:rPr>
        <w:t xml:space="preserve">.</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https://vlex.com.pe/vid/resolucion-sbs-n-00814-1073736902</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pgSz w:h="16834" w:w="11909" w:orient="portrait"/>
      <w:pgMar w:bottom="1440" w:top="1440" w:left="1440" w:right="1399.133858267717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rge Josue Chamorro Cayetano" w:id="0" w:date="2026-09-24T01:36:33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tenemos que aplicar las correcciones en base al feedback del JP para el entregable parcial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3"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4T01:36:33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93"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566.9291338582675" w:hanging="359.99999999999994"/>
      </w:pPr>
      <w:rPr>
        <w:sz w:val="28"/>
        <w:szCs w:val="28"/>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bva.com/en/innovation/bbva-completes-its-global-move-to-the-cloud-with-a-single-data-and-artificial-intelligence-platform/" TargetMode="External"/><Relationship Id="rId22" Type="http://schemas.openxmlformats.org/officeDocument/2006/relationships/hyperlink" Target="https://www.bbva.pe/personas.html" TargetMode="External"/><Relationship Id="rId21" Type="http://schemas.openxmlformats.org/officeDocument/2006/relationships/hyperlink" Target="https://www.bbva.pe/personas.html" TargetMode="External"/><Relationship Id="rId24" Type="http://schemas.openxmlformats.org/officeDocument/2006/relationships/hyperlink" Target="https://www.wiley.com/en-us/Business%2BModel%2BGeneration%3A%2BA%2BHandbook%2Bfor%2BVisionaries%2C%2BGame%2BChangers%2C%2Band%2BChallengers-p-9780470876411" TargetMode="External"/><Relationship Id="rId23" Type="http://schemas.openxmlformats.org/officeDocument/2006/relationships/hyperlink" Target="https://www.wiley.com/en-us/Business%2BModel%2BGeneration%3A%2BA%2BHandbook%2Bfor%2BVisionaries%2C%2BGame%2BChangers%2C%2Band%2BChallengers-p-978047087641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https://intranet2.sbs.gob.pe/dv_int_cn/2046/v2.0/Adjuntos/504-2021.R.pdf" TargetMode="External"/><Relationship Id="rId25" Type="http://schemas.openxmlformats.org/officeDocument/2006/relationships/hyperlink" Target="https://intranet2.sbs.gob.pe/dv_int_cn/2046/v2.0/Adjuntos/504-2021.R.pdf" TargetMode="External"/><Relationship Id="rId28" Type="http://schemas.openxmlformats.org/officeDocument/2006/relationships/hyperlink" Target="https://intranet2.sbs.gob.pe/dv_int_cn/1894/v1.0/Adjuntos/877-2020.R.pdf" TargetMode="External"/><Relationship Id="rId27" Type="http://schemas.openxmlformats.org/officeDocument/2006/relationships/hyperlink" Target="https://intranet2.sbs.gob.pe/dv_int_cn/1894/v1.0/Adjuntos/877-2020.R.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vlex.com.pe/vid/resolucion-sbs-n-00814-1073736902" TargetMode="External"/><Relationship Id="rId7" Type="http://schemas.microsoft.com/office/2011/relationships/commentsExtended" Target="commentsExtended.xml"/><Relationship Id="rId8" Type="http://schemas.microsoft.com/office/2018/08/relationships/commentsExtensible" Target="commentsExtensible.xml"/><Relationship Id="rId30" Type="http://schemas.openxmlformats.org/officeDocument/2006/relationships/hyperlink" Target="https://vlex.com.pe/vid/resolucion-sbs-n-00814-1073736902" TargetMode="External"/><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www.bbva.pe/content/dam/public-web/peru/documents/prefooter/informacion-financiera/informacion-anual/2026/informe-de-gestion-2T2026.pdf" TargetMode="External"/><Relationship Id="rId12" Type="http://schemas.openxmlformats.org/officeDocument/2006/relationships/image" Target="media/image2.png"/><Relationship Id="rId15" Type="http://schemas.openxmlformats.org/officeDocument/2006/relationships/hyperlink" Target="https://www.bbva.pe/content/dam/public-web/peru/documents/personas/investor-relations/vii-Memoria-Anual-2025.pdf" TargetMode="External"/><Relationship Id="rId14" Type="http://schemas.openxmlformats.org/officeDocument/2006/relationships/hyperlink" Target="https://www.bbva.pe/content/dam/public-web/peru/documents/prefooter/informacion-financiera/informacion-anual/2026/informe-de-gestion-2T2026.pdf" TargetMode="External"/><Relationship Id="rId17" Type="http://schemas.openxmlformats.org/officeDocument/2006/relationships/hyperlink" Target="https://accionistaseinversores.bbva.com/grupo-bbva/estrategia-la-transformacion-en-bbva/prioridades-estrategicas/" TargetMode="External"/><Relationship Id="rId16" Type="http://schemas.openxmlformats.org/officeDocument/2006/relationships/hyperlink" Target="https://www.bbva.pe/content/dam/public-web/peru/documents/personas/investor-relations/vii-Memoria-Anual-2025.pdf" TargetMode="External"/><Relationship Id="rId19" Type="http://schemas.openxmlformats.org/officeDocument/2006/relationships/hyperlink" Target="https://www.bbva.com/en/innovation/bbva-completes-its-global-move-to-the-cloud-with-a-single-data-and-artificial-intelligence-platform/" TargetMode="External"/><Relationship Id="rId18" Type="http://schemas.openxmlformats.org/officeDocument/2006/relationships/hyperlink" Target="https://accionistaseinversores.bbva.com/grupo-bbva/estrategia-la-transformacion-en-bbva/prioridades-estrategic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