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b w:val="1"/>
          <w:bCs w:val="1"/>
        </w:rPr>
      </w:pPr>
      <w:r w:rsidDel="00000000" w:rsidR="00000000" w:rsidRPr="00000000">
        <w:rPr>
          <w:b w:val="1"/>
          <w:bCs w:val="1"/>
          <w:rtl w:val="0"/>
        </w:rPr>
        <w:t xml:space="preserve">PONTIFICIA UNIVERSIDAD CATÓLICA DEL PERÚ</w:t>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FACULTAD DE CIENCIAS E INGENIERÍA</w:t>
      </w:r>
      <w:r w:rsidDel="00000000" w:rsidR="00000000" w:rsidRPr="00000000">
        <w:rPr>
          <w:rtl w:val="0"/>
        </w:rPr>
      </w:r>
    </w:p>
    <w:p w:rsidR="00000000" w:rsidDel="00000000" w:rsidP="00000000" w:rsidRDefault="00000000" w:rsidRPr="00000000" w14:paraId="00000003">
      <w:pPr>
        <w:spacing w:line="480" w:lineRule="auto"/>
        <w:jc w:val="center"/>
        <w:rPr/>
      </w:pPr>
      <w:r w:rsidDel="00000000" w:rsidR="00000000" w:rsidRPr="00000000">
        <w:rPr/>
        <w:drawing>
          <wp:inline distB="0" distT="0" distL="0" distR="0">
            <wp:extent cx="2109059" cy="2088281"/>
            <wp:effectExtent b="0" l="0" r="0" t="0"/>
            <wp:docPr descr="A blue circle with white text and a ship in the water&#10;&#10;Description automatically generated" id="2" name="image1.png"/>
            <a:graphic>
              <a:graphicData uri="http://schemas.openxmlformats.org/drawingml/2006/picture">
                <pic:pic>
                  <pic:nvPicPr>
                    <pic:cNvPr descr="A blue circle with white text and a ship in the water&#10;&#10;Description automatically generated" id="0" name="image1.png"/>
                    <pic:cNvPicPr preferRelativeResize="0"/>
                  </pic:nvPicPr>
                  <pic:blipFill>
                    <a:blip r:embed="rId9"/>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480" w:lineRule="auto"/>
        <w:jc w:val="center"/>
        <w:rPr>
          <w:b w:val="1"/>
          <w:bCs w:val="1"/>
        </w:rPr>
      </w:pPr>
      <w:r w:rsidDel="00000000" w:rsidR="00000000" w:rsidRPr="00000000">
        <w:rPr>
          <w:b w:val="1"/>
          <w:bCs w:val="1"/>
          <w:rtl w:val="0"/>
        </w:rPr>
        <w:t xml:space="preserve">ESTRATEGIAS Y GESTIÓN DE SISTEMAS DE INFORMACIÓN</w:t>
      </w:r>
    </w:p>
    <w:p w:rsidR="00000000" w:rsidDel="00000000" w:rsidP="00000000" w:rsidRDefault="00000000" w:rsidRPr="00000000" w14:paraId="00000005">
      <w:pPr>
        <w:spacing w:line="480" w:lineRule="auto"/>
        <w:jc w:val="center"/>
        <w:rPr>
          <w:b w:val="1"/>
          <w:bCs w:val="1"/>
        </w:rPr>
      </w:pPr>
      <w:r w:rsidDel="00000000" w:rsidR="00000000" w:rsidRPr="00000000">
        <w:rPr>
          <w:b w:val="1"/>
          <w:bCs w:val="1"/>
          <w:rtl w:val="0"/>
        </w:rPr>
        <w:t xml:space="preserve">Práctica 3: Hipótesis de las iniciativas a ser </w:t>
      </w:r>
      <w:r w:rsidDel="00000000" w:rsidR="00000000" w:rsidRPr="00000000">
        <w:rPr>
          <w:b w:val="1"/>
          <w:bCs w:val="1"/>
          <w:rtl w:val="0"/>
        </w:rPr>
        <w:t xml:space="preserve">y descripción detallada de los puntos de dolor As Is</w:t>
      </w:r>
    </w:p>
    <w:p w:rsidR="00000000" w:rsidDel="00000000" w:rsidP="00000000" w:rsidRDefault="00000000" w:rsidRPr="00000000" w14:paraId="00000006">
      <w:pPr>
        <w:spacing w:line="480" w:lineRule="auto"/>
        <w:rPr>
          <w:b w:val="1"/>
          <w:bCs w:val="1"/>
        </w:rPr>
      </w:pPr>
      <w:r w:rsidDel="00000000" w:rsidR="00000000" w:rsidRPr="00000000">
        <w:rPr>
          <w:rtl w:val="0"/>
        </w:rPr>
      </w:r>
    </w:p>
    <w:p w:rsidR="00000000" w:rsidDel="00000000" w:rsidP="00000000" w:rsidRDefault="00000000" w:rsidRPr="00000000" w14:paraId="00000007">
      <w:pPr>
        <w:spacing w:line="480" w:lineRule="auto"/>
        <w:jc w:val="center"/>
        <w:rPr>
          <w:b w:val="1"/>
          <w:bCs w:val="1"/>
        </w:rPr>
      </w:pPr>
      <w:r w:rsidDel="00000000" w:rsidR="00000000" w:rsidRPr="00000000">
        <w:rPr>
          <w:b w:val="1"/>
          <w:bCs w:val="1"/>
          <w:rtl w:val="0"/>
        </w:rPr>
        <w:t xml:space="preserve">AUTORES:</w:t>
      </w:r>
    </w:p>
    <w:p w:rsidR="00000000" w:rsidDel="00000000" w:rsidP="00000000" w:rsidRDefault="00000000" w:rsidRPr="00000000" w14:paraId="00000008">
      <w:pPr>
        <w:numPr>
          <w:ilvl w:val="0"/>
          <w:numId w:val="1"/>
        </w:numPr>
        <w:spacing w:line="480" w:lineRule="auto"/>
        <w:ind w:left="720" w:hanging="360"/>
        <w:jc w:val="center"/>
        <w:rPr/>
      </w:pPr>
      <w:r w:rsidDel="00000000" w:rsidR="00000000" w:rsidRPr="00000000">
        <w:rPr>
          <w:rtl w:val="0"/>
        </w:rPr>
        <w:t xml:space="preserve">SALAS COHAILA, Gabriel Lucio - 20200606</w:t>
      </w:r>
    </w:p>
    <w:p w:rsidR="00000000" w:rsidDel="00000000" w:rsidP="00000000" w:rsidRDefault="00000000" w:rsidRPr="00000000" w14:paraId="00000009">
      <w:pPr>
        <w:numPr>
          <w:ilvl w:val="0"/>
          <w:numId w:val="1"/>
        </w:numPr>
        <w:spacing w:line="480" w:lineRule="auto"/>
        <w:ind w:left="720" w:hanging="360"/>
        <w:jc w:val="center"/>
        <w:rPr/>
      </w:pPr>
      <w:r w:rsidDel="00000000" w:rsidR="00000000" w:rsidRPr="00000000">
        <w:rPr>
          <w:rtl w:val="0"/>
        </w:rPr>
        <w:t xml:space="preserve">CHAMORRO CAYETANO, Jorge Josue - 20206234</w:t>
      </w:r>
    </w:p>
    <w:p w:rsidR="00000000" w:rsidDel="00000000" w:rsidP="00000000" w:rsidRDefault="00000000" w:rsidRPr="00000000" w14:paraId="0000000A">
      <w:pPr>
        <w:numPr>
          <w:ilvl w:val="0"/>
          <w:numId w:val="1"/>
        </w:numPr>
        <w:spacing w:line="480" w:lineRule="auto"/>
        <w:ind w:left="720" w:hanging="360"/>
        <w:jc w:val="center"/>
        <w:rPr/>
      </w:pPr>
      <w:r w:rsidDel="00000000" w:rsidR="00000000" w:rsidRPr="00000000">
        <w:rPr>
          <w:rtl w:val="0"/>
        </w:rPr>
        <w:t xml:space="preserve">SANCHEZ PASTOR, Rodrigo Alonso - 20201230</w:t>
      </w:r>
    </w:p>
    <w:p w:rsidR="00000000" w:rsidDel="00000000" w:rsidP="00000000" w:rsidRDefault="00000000" w:rsidRPr="00000000" w14:paraId="0000000B">
      <w:pPr>
        <w:numPr>
          <w:ilvl w:val="0"/>
          <w:numId w:val="1"/>
        </w:numPr>
        <w:spacing w:line="480" w:lineRule="auto"/>
        <w:ind w:left="720" w:hanging="360"/>
        <w:jc w:val="center"/>
        <w:rPr/>
      </w:pPr>
      <w:r w:rsidDel="00000000" w:rsidR="00000000" w:rsidRPr="00000000">
        <w:rPr>
          <w:rtl w:val="0"/>
        </w:rPr>
        <w:t xml:space="preserve">SANTILLÁN HUAMÁN, Aarón Ulises - 20200445</w:t>
      </w:r>
    </w:p>
    <w:p w:rsidR="00000000" w:rsidDel="00000000" w:rsidP="00000000" w:rsidRDefault="00000000" w:rsidRPr="00000000" w14:paraId="0000000C">
      <w:pPr>
        <w:numPr>
          <w:ilvl w:val="0"/>
          <w:numId w:val="1"/>
        </w:numPr>
        <w:spacing w:line="480" w:lineRule="auto"/>
        <w:ind w:left="720" w:hanging="360"/>
        <w:jc w:val="center"/>
        <w:rPr/>
      </w:pPr>
      <w:r w:rsidDel="00000000" w:rsidR="00000000" w:rsidRPr="00000000">
        <w:rPr>
          <w:rtl w:val="0"/>
        </w:rPr>
        <w:t xml:space="preserve">ORIHUELA MONTERO, Johnny Fabricio - 20211000</w:t>
      </w:r>
    </w:p>
    <w:p w:rsidR="00000000" w:rsidDel="00000000" w:rsidP="00000000" w:rsidRDefault="00000000" w:rsidRPr="00000000" w14:paraId="0000000D">
      <w:pPr>
        <w:spacing w:line="480" w:lineRule="auto"/>
        <w:jc w:val="center"/>
        <w:rPr>
          <w:b w:val="1"/>
          <w:bCs w:val="1"/>
        </w:rPr>
      </w:pPr>
      <w:r w:rsidDel="00000000" w:rsidR="00000000" w:rsidRPr="00000000">
        <w:rPr>
          <w:b w:val="1"/>
          <w:bCs w:val="1"/>
          <w:rtl w:val="0"/>
        </w:rPr>
        <w:t xml:space="preserve">PROFESOR:</w:t>
      </w:r>
    </w:p>
    <w:p w:rsidR="00000000" w:rsidDel="00000000" w:rsidP="00000000" w:rsidRDefault="00000000" w:rsidRPr="00000000" w14:paraId="0000000E">
      <w:pPr>
        <w:spacing w:line="480" w:lineRule="auto"/>
        <w:jc w:val="center"/>
        <w:rPr/>
      </w:pPr>
      <w:r w:rsidDel="00000000" w:rsidR="00000000" w:rsidRPr="00000000">
        <w:rPr>
          <w:rtl w:val="0"/>
        </w:rPr>
        <w:t xml:space="preserve">MORALES BARRERA, LUIS ALBERTO</w:t>
      </w:r>
    </w:p>
    <w:p w:rsidR="00000000" w:rsidDel="00000000" w:rsidP="00000000" w:rsidRDefault="00000000" w:rsidRPr="00000000" w14:paraId="0000000F">
      <w:pPr>
        <w:spacing w:line="480" w:lineRule="auto"/>
        <w:jc w:val="center"/>
        <w:rPr>
          <w:b w:val="1"/>
          <w:bCs w:val="1"/>
        </w:rPr>
      </w:pPr>
      <w:r w:rsidDel="00000000" w:rsidR="00000000" w:rsidRPr="00000000">
        <w:rPr>
          <w:rtl w:val="0"/>
        </w:rPr>
      </w:r>
    </w:p>
    <w:p w:rsidR="00000000" w:rsidDel="00000000" w:rsidP="00000000" w:rsidRDefault="00000000" w:rsidRPr="00000000" w14:paraId="00000010">
      <w:pPr>
        <w:spacing w:line="480" w:lineRule="auto"/>
        <w:jc w:val="center"/>
        <w:rPr>
          <w:b w:val="1"/>
          <w:bCs w:val="1"/>
        </w:rPr>
      </w:pPr>
      <w:r w:rsidDel="00000000" w:rsidR="00000000" w:rsidRPr="00000000">
        <w:rPr>
          <w:rtl w:val="0"/>
        </w:rPr>
      </w:r>
    </w:p>
    <w:p w:rsidR="00000000" w:rsidDel="00000000" w:rsidP="00000000" w:rsidRDefault="00000000" w:rsidRPr="00000000" w14:paraId="00000011">
      <w:pPr>
        <w:spacing w:line="480" w:lineRule="auto"/>
        <w:jc w:val="center"/>
        <w:rPr>
          <w:b w:val="1"/>
          <w:bCs w:val="1"/>
        </w:rPr>
      </w:pPr>
      <w:r w:rsidDel="00000000" w:rsidR="00000000" w:rsidRPr="00000000">
        <w:rPr>
          <w:rtl w:val="0"/>
        </w:rPr>
      </w:r>
    </w:p>
    <w:p w:rsidR="00000000" w:rsidDel="00000000" w:rsidP="00000000" w:rsidRDefault="00000000" w:rsidRPr="00000000" w14:paraId="00000012">
      <w:pPr>
        <w:spacing w:line="480" w:lineRule="auto"/>
        <w:jc w:val="center"/>
        <w:rPr>
          <w:b w:val="1"/>
          <w:bCs w:val="1"/>
        </w:rPr>
      </w:pPr>
      <w:r w:rsidDel="00000000" w:rsidR="00000000" w:rsidRPr="00000000">
        <w:rPr>
          <w:rtl w:val="0"/>
        </w:rPr>
      </w:r>
    </w:p>
    <w:p w:rsidR="00000000" w:rsidDel="00000000" w:rsidP="00000000" w:rsidRDefault="00000000" w:rsidRPr="00000000" w14:paraId="00000013">
      <w:pPr>
        <w:spacing w:line="480" w:lineRule="auto"/>
        <w:jc w:val="left"/>
        <w:rPr>
          <w:b w:val="1"/>
          <w:bCs w:val="1"/>
        </w:rPr>
      </w:pPr>
      <w:r w:rsidDel="00000000" w:rsidR="00000000" w:rsidRPr="00000000">
        <w:rPr>
          <w:rtl w:val="0"/>
        </w:rPr>
      </w:r>
    </w:p>
    <w:p w:rsidR="00000000" w:rsidDel="00000000" w:rsidP="00000000" w:rsidRDefault="00000000" w:rsidRPr="00000000" w14:paraId="00000014">
      <w:pPr>
        <w:spacing w:line="480" w:lineRule="auto"/>
        <w:jc w:val="left"/>
        <w:rPr>
          <w:b w:val="1"/>
          <w:bCs w:val="1"/>
        </w:rPr>
      </w:pPr>
      <w:r w:rsidDel="00000000" w:rsidR="00000000" w:rsidRPr="00000000">
        <w:rPr>
          <w:rtl w:val="0"/>
        </w:rPr>
      </w:r>
    </w:p>
    <w:p w:rsidR="00000000" w:rsidDel="00000000" w:rsidP="00000000" w:rsidRDefault="00000000" w:rsidRPr="00000000" w14:paraId="00000015">
      <w:pPr>
        <w:spacing w:line="480" w:lineRule="auto"/>
        <w:jc w:val="center"/>
        <w:rPr>
          <w:b w:val="1"/>
          <w:bCs w:val="1"/>
        </w:rPr>
      </w:pPr>
      <w:r w:rsidDel="00000000" w:rsidR="00000000" w:rsidRPr="00000000">
        <w:rPr>
          <w:b w:val="1"/>
          <w:bCs w:val="1"/>
          <w:rtl w:val="0"/>
        </w:rPr>
        <w:t xml:space="preserve">Lima, setiembre, 2026</w:t>
      </w:r>
    </w:p>
    <w:p w:rsidR="00000000" w:rsidDel="00000000" w:rsidP="00000000" w:rsidRDefault="00000000" w:rsidRPr="00000000" w14:paraId="00000016">
      <w:pPr>
        <w:spacing w:after="200" w:before="0" w:line="360" w:lineRule="auto"/>
        <w:jc w:val="both"/>
        <w:rPr/>
      </w:pPr>
      <w:r w:rsidDel="00000000" w:rsidR="00000000" w:rsidRPr="00000000">
        <w:rPr>
          <w:b w:val="1"/>
          <w:bCs w:val="1"/>
          <w:rtl w:val="0"/>
        </w:rPr>
        <w:t xml:space="preserve">Nota sobre la numeración.</w:t>
      </w:r>
      <w:r w:rsidDel="00000000" w:rsidR="00000000" w:rsidRPr="00000000">
        <w:rPr>
          <w:rtl w:val="0"/>
        </w:rPr>
        <w:t xml:space="preserve"> Este documento da continuidad al Entregable 1 y al Entregable 2, que cerraron en la sección 4.4 y en la Tabla 26. Por ello, la numeración de tablas se reanuda en la Tabla 27 y las secciones nuevas se numeran como "5." y "6.", de modo que los tres avances puedan integrarse en un solo documento sin renumerar. Los dolores críticos se citan con la codificación DC1 a DC3 establecida en la Tabla 21 del Entregable 2, y los objetivos estratégicos con la codificación OE1 a OE6 de la Tabla 10 del Entregable 1.</w:t>
      </w:r>
    </w:p>
    <w:p w:rsidR="00000000" w:rsidDel="00000000" w:rsidP="00000000" w:rsidRDefault="00000000" w:rsidRPr="00000000" w14:paraId="00000017">
      <w:pPr>
        <w:pStyle w:val="Heading1"/>
        <w:spacing w:after="200" w:before="320" w:line="360" w:lineRule="auto"/>
        <w:rPr>
          <w:sz w:val="22"/>
          <w:szCs w:val="22"/>
        </w:rPr>
      </w:pPr>
      <w:r w:rsidDel="00000000" w:rsidR="00000000" w:rsidRPr="00000000">
        <w:rPr>
          <w:b w:val="1"/>
          <w:bCs w:val="1"/>
          <w:color w:val="1f3864"/>
          <w:sz w:val="22"/>
          <w:szCs w:val="22"/>
          <w:rtl w:val="0"/>
        </w:rPr>
        <w:t xml:space="preserve">5. Hipótesis de las iniciativas a ser desarrolladas</w:t>
      </w:r>
      <w:r w:rsidDel="00000000" w:rsidR="00000000" w:rsidRPr="00000000">
        <w:rPr>
          <w:rtl w:val="0"/>
        </w:rPr>
      </w:r>
    </w:p>
    <w:p w:rsidR="00000000" w:rsidDel="00000000" w:rsidP="00000000" w:rsidRDefault="00000000" w:rsidRPr="00000000" w14:paraId="00000018">
      <w:pPr>
        <w:pStyle w:val="Heading2"/>
        <w:spacing w:after="160" w:before="260" w:line="360" w:lineRule="auto"/>
        <w:rPr>
          <w:sz w:val="22"/>
          <w:szCs w:val="22"/>
        </w:rPr>
      </w:pPr>
      <w:r w:rsidDel="00000000" w:rsidR="00000000" w:rsidRPr="00000000">
        <w:rPr>
          <w:b w:val="1"/>
          <w:bCs w:val="1"/>
          <w:color w:val="1f3864"/>
          <w:sz w:val="22"/>
          <w:szCs w:val="22"/>
          <w:rtl w:val="0"/>
        </w:rPr>
        <w:t xml:space="preserve">5.1. Enfoque metodológico para la formulación de hipótesis</w:t>
      </w:r>
      <w:r w:rsidDel="00000000" w:rsidR="00000000" w:rsidRPr="00000000">
        <w:rPr>
          <w:rtl w:val="0"/>
        </w:rPr>
      </w:r>
    </w:p>
    <w:p w:rsidR="00000000" w:rsidDel="00000000" w:rsidP="00000000" w:rsidRDefault="00000000" w:rsidRPr="00000000" w14:paraId="00000019">
      <w:pPr>
        <w:spacing w:after="200" w:before="0" w:line="360" w:lineRule="auto"/>
        <w:jc w:val="both"/>
        <w:rPr/>
      </w:pPr>
      <w:r w:rsidDel="00000000" w:rsidR="00000000" w:rsidRPr="00000000">
        <w:rPr>
          <w:rtl w:val="0"/>
        </w:rPr>
        <w:t xml:space="preserve">Las hipótesis que siguen atienden los tres dolores críticos seleccionados en el Entregable 2 —DC1 (baja digitalización de la originación de crédito Pyme), DC2 (tiempo de resolución y exposición sancionatoria por operaciones no reconocidas) y DC3 (penetración digital dispar en la contratación de productos)— aplicando el criterio establecido en el enunciado del trabajo: priorizar agentes de inteligencia artificial como tecnología habilitante, sin que ello excluya otras tecnologías disruptivas cuando la evidencia lo justifique.</w:t>
      </w:r>
    </w:p>
    <w:p w:rsidR="00000000" w:rsidDel="00000000" w:rsidP="00000000" w:rsidRDefault="00000000" w:rsidRPr="00000000" w14:paraId="0000001A">
      <w:pPr>
        <w:spacing w:after="200" w:before="0" w:line="360" w:lineRule="auto"/>
        <w:jc w:val="both"/>
        <w:rPr/>
      </w:pPr>
      <w:r w:rsidDel="00000000" w:rsidR="00000000" w:rsidRPr="00000000">
        <w:rPr>
          <w:rtl w:val="0"/>
        </w:rPr>
        <w:t xml:space="preserve">Cada hipótesis se somete a la misma prueba. Primero, se sustenta con evidencia de mercado verificable sobre el estado del arte de agentes de IA en banca, incluyendo, cuando existe, el comportamiento de competidores directos en el mercado peruano. Segundo, se traduce en una matriz Eliminar-Reducir-Elevar-Crear (ERRC), instrumento propuesto por </w:t>
      </w:r>
      <w:r w:rsidDel="00000000" w:rsidR="00000000" w:rsidRPr="00000000">
        <w:rPr>
          <w:i w:val="1"/>
          <w:iCs w:val="1"/>
          <w:rtl w:val="0"/>
        </w:rPr>
        <w:t xml:space="preserve">Kim y Mauborgne (2005)</w:t>
      </w:r>
      <w:r w:rsidDel="00000000" w:rsidR="00000000" w:rsidRPr="00000000">
        <w:rPr>
          <w:rtl w:val="0"/>
        </w:rPr>
        <w:t xml:space="preserve"> para sistematizar el tránsito de un océano rojo —donde las entidades compiten por los mismos atributos— hacia un océano azul, en el que la propuesta de valor deja de ser comparable punto a punto con la competencia (Blue Ocean Strategy, s. f.). Tercero, se vincula con un indicador de éxito ya definido en las Tablas 23 a 25 del Entregable 2, de modo que la iniciativa no introduce una métrica nueva y desconectada del diagnóstico previo, sino que reutiliza la línea base y la meta ya declaradas.</w:t>
      </w:r>
    </w:p>
    <w:p w:rsidR="00000000" w:rsidDel="00000000" w:rsidP="00000000" w:rsidRDefault="00000000" w:rsidRPr="00000000" w14:paraId="0000001B">
      <w:pPr>
        <w:spacing w:after="200" w:before="0" w:line="360" w:lineRule="auto"/>
        <w:jc w:val="both"/>
        <w:rPr/>
      </w:pPr>
      <w:r w:rsidDel="00000000" w:rsidR="00000000" w:rsidRPr="00000000">
        <w:rPr>
          <w:b w:val="1"/>
          <w:bCs w:val="1"/>
          <w:rtl w:val="0"/>
        </w:rPr>
        <w:t xml:space="preserve">Advertencia sobre el estado de la competencia.</w:t>
      </w:r>
      <w:r w:rsidDel="00000000" w:rsidR="00000000" w:rsidRPr="00000000">
        <w:rPr>
          <w:rtl w:val="0"/>
        </w:rPr>
        <w:t xml:space="preserve"> La evidencia recogida muestra que el mercado peruano ya no es un espacio inexplorado en materia de agentes conversacionales: Mibanco desplegó en julio de 2026 un agente de IA agéntica de AWS sobre WhatsApp que abre cuentas de ahorro, desembolsa créditos y ejecuta transferencias de forma autónoma, con más de 357,000 interacciones y S/ 10.6 millones desembolsados en sus primeros meses (PressPerú, 2026); y el BCP opera desde 2024 un voicebot que atiende el 30 % de las llamadas de su call center, aunque circunscrito a consultas informativas (Mestanza Arquiñigo, 2024). El propio BBVA Perú participa de esta tendencia. Desde 2021 opera Blue, un asistente virtual disponible las 24 horas en la app y la banca por internet, que al cierre de 2024 había resuelto más de tres millones de consultas. Desde 2024 opera además Blue Voicebot en la banca telefónica: solicita el DNI como filtro de seguridad y deriva al cliente hacia la autogestión, un asesor humano o flujos del propio voicebot (Reusche, 2025). Un agente conversacional genérico ya no constituye, por sí solo, una propuesta de océano azul: sería imitar una jugada que la competencia, e incluso el propio banco, ya hizo pública. Por ello, cada hipótesis identifica específicamente qué elemento del proceso BBVA puede elevar o crear que sus competidores locales, hasta la fecha de esta entrega, no ofrecen.</w:t>
      </w:r>
    </w:p>
    <w:p w:rsidR="00000000" w:rsidDel="00000000" w:rsidP="00000000" w:rsidRDefault="00000000" w:rsidRPr="00000000" w14:paraId="0000001C">
      <w:pPr>
        <w:spacing w:after="200" w:before="0" w:line="360" w:lineRule="auto"/>
        <w:jc w:val="both"/>
        <w:rPr/>
      </w:pPr>
      <w:r w:rsidDel="00000000" w:rsidR="00000000" w:rsidRPr="00000000">
        <w:rPr>
          <w:b w:val="1"/>
          <w:bCs w:val="1"/>
          <w:rtl w:val="0"/>
        </w:rPr>
        <w:t xml:space="preserve">Advertencia regulatoria.</w:t>
      </w:r>
      <w:r w:rsidDel="00000000" w:rsidR="00000000" w:rsidRPr="00000000">
        <w:rPr>
          <w:rtl w:val="0"/>
        </w:rPr>
        <w:t xml:space="preserve"> Toda hipótesis que emplee inteligencia artificial en la evaluación crediticia debe diseñarse bajo el Reglamento de la Ley N.° 31814, aprobado por el Decreto Supremo N.° 115-2025-PCM (en adelante, el Reglamento). Este clasifica como uso de riesgo alto todo sistema de IA que determine la evaluación crediticia de personas, salvo que se emplee para la detección de fraude financiero (art. 24.1, literal g). Al implementador privado de un sistema de riesgo alto le exige informar al usuario, de forma previa, clara y sencilla, sobre la finalidad del sistema y el tipo de decisiones que puede tomar (art. 25.1). También le exige explicar a los usuarios afectados los criterios y factores clave de las decisiones automatizadas que impacten en sus derechos (art. 25.3). Además, la supervisión humana debe recaer en personal capacitado, con capacidad de detener, corregir o invalidar las decisiones del sistema (art. 31.4). A todo implementador le exige, finalmente, aplicar prácticas para identificar y minimizar sesgos algorítmicos (art. 27.1, literal d). Para el sector de economía y finanzas, estas obligaciones son exigibles desde el 10 de setiembre de 2026, al cumplirse un año de la publicación del Reglamento (Decreto Supremo N.° 115-2025-PCM, 2025, Primera Disposición Complementaria Final; Ramírez Huancayo, 2026). Esta exigencia no es un obstáculo lateral: se incorpora como condición de diseño en la hipótesis del DC1 y, por prudencia, en la del DC2.</w:t>
      </w:r>
    </w:p>
    <w:p w:rsidR="00000000" w:rsidDel="00000000" w:rsidP="00000000" w:rsidRDefault="00000000" w:rsidRPr="00000000" w14:paraId="0000001D">
      <w:pPr>
        <w:spacing w:after="200" w:before="0" w:line="360" w:lineRule="auto"/>
        <w:jc w:val="both"/>
        <w:rPr/>
      </w:pPr>
      <w:r w:rsidDel="00000000" w:rsidR="00000000" w:rsidRPr="00000000">
        <w:rPr>
          <w:b w:val="1"/>
          <w:bCs w:val="1"/>
          <w:rtl w:val="0"/>
        </w:rPr>
        <w:t xml:space="preserve">Foco del equipo para las siguientes entregas.</w:t>
      </w:r>
      <w:r w:rsidDel="00000000" w:rsidR="00000000" w:rsidRPr="00000000">
        <w:rPr>
          <w:rtl w:val="0"/>
        </w:rPr>
        <w:t xml:space="preserve"> Este entregable desarrolla, conforme lo exige el enunciado de la práctica, hipótesis de iniciativa y descripción As Is para los tres dolores críticos priorizados (DC1, DC2 y DC3), manteniendo el mismo nivel de rigor y de sustento en cada uno. A partir de esta entrega, el equipo concentra además el desarrollo de la iniciativa en el dolor DC3 —contratación de productos por canal digital—, seleccionado como proceso ancla del proyecto porque es el que ofrece mayor claridad y disponibilidad de información para el equipo: el área de prevención de fraude que sustenta a DC2 opera de forma aislada y confidencial, y el flujo de originación Pyme de DC1 corresponde a un segmento distinto al de retail </w:t>
      </w:r>
      <w:r w:rsidDel="00000000" w:rsidR="00000000" w:rsidRPr="00000000">
        <w:rPr>
          <w:i w:val="1"/>
          <w:iCs w:val="1"/>
          <w:rtl w:val="0"/>
        </w:rPr>
        <w:t xml:space="preserve">(A. Moquillaza, comunicación personal, 11 de setiembre de 2026)</w:t>
      </w:r>
      <w:r w:rsidDel="00000000" w:rsidR="00000000" w:rsidRPr="00000000">
        <w:rPr>
          <w:rtl w:val="0"/>
        </w:rPr>
        <w:t xml:space="preserve">. Esta decisión no reduce el alcance exigido en este documento: las hipótesis y la descripción As Is de DC1 y DC2 se mantienen desarrolladas en su totalidad en las secciones 5.2, 5.3, 6.1 y 6.2.</w:t>
      </w:r>
    </w:p>
    <w:p w:rsidR="00000000" w:rsidDel="00000000" w:rsidP="00000000" w:rsidRDefault="00000000" w:rsidRPr="00000000" w14:paraId="0000001E">
      <w:pPr>
        <w:pStyle w:val="Heading2"/>
        <w:spacing w:after="160" w:before="260" w:line="360" w:lineRule="auto"/>
        <w:rPr>
          <w:sz w:val="22"/>
          <w:szCs w:val="22"/>
        </w:rPr>
      </w:pPr>
      <w:r w:rsidDel="00000000" w:rsidR="00000000" w:rsidRPr="00000000">
        <w:rPr>
          <w:b w:val="1"/>
          <w:bCs w:val="1"/>
          <w:color w:val="1f3864"/>
          <w:sz w:val="22"/>
          <w:szCs w:val="22"/>
          <w:rtl w:val="0"/>
        </w:rPr>
        <w:t xml:space="preserve">5.2. Hipótesis de iniciativa para DC1: agente de precalificación crediticia Pyme</w:t>
      </w:r>
      <w:r w:rsidDel="00000000" w:rsidR="00000000" w:rsidRPr="00000000">
        <w:rPr>
          <w:rtl w:val="0"/>
        </w:rPr>
      </w:r>
    </w:p>
    <w:p w:rsidR="00000000" w:rsidDel="00000000" w:rsidP="00000000" w:rsidRDefault="00000000" w:rsidRPr="00000000" w14:paraId="0000001F">
      <w:pPr>
        <w:spacing w:after="200" w:before="0" w:line="360" w:lineRule="auto"/>
        <w:jc w:val="both"/>
        <w:rPr/>
      </w:pPr>
      <w:r w:rsidDel="00000000" w:rsidR="00000000" w:rsidRPr="00000000">
        <w:rPr>
          <w:b w:val="1"/>
          <w:bCs w:val="1"/>
          <w:rtl w:val="0"/>
        </w:rPr>
        <w:t xml:space="preserve">Nombre de la hipótesis.</w:t>
      </w:r>
      <w:r w:rsidDel="00000000" w:rsidR="00000000" w:rsidRPr="00000000">
        <w:rPr>
          <w:rtl w:val="0"/>
        </w:rPr>
        <w:t xml:space="preserve"> Agente de precalificación y acompañamiento conversacional para el crédito Pyme, integrado al perfil Mi Negocio de la App BBVA y a la App BBVA Empresas, y accesible por canal de mensajería.</w:t>
      </w:r>
    </w:p>
    <w:p w:rsidR="00000000" w:rsidDel="00000000" w:rsidP="00000000" w:rsidRDefault="00000000" w:rsidRPr="00000000" w14:paraId="00000020">
      <w:pPr>
        <w:spacing w:after="200" w:before="0" w:line="360" w:lineRule="auto"/>
        <w:jc w:val="both"/>
        <w:rPr/>
      </w:pPr>
      <w:r w:rsidDel="00000000" w:rsidR="00000000" w:rsidRPr="00000000">
        <w:rPr>
          <w:b w:val="1"/>
          <w:bCs w:val="1"/>
          <w:rtl w:val="0"/>
        </w:rPr>
        <w:t xml:space="preserve">Formulación.</w:t>
      </w:r>
      <w:r w:rsidDel="00000000" w:rsidR="00000000" w:rsidRPr="00000000">
        <w:rPr>
          <w:rtl w:val="0"/>
        </w:rPr>
        <w:t xml:space="preserve"> La ruta digital de crédito Pyme de BBVA Perú opera hoy sobre ofertas que el banco preaprueba y presenta al cliente. El Préstamo Digital Negocio y la Línea de Préstamo Digital se contratan desde el perfil Mi Negocio de la App BBVA, reservado a clientes identificados como persona natural con negocio, y su otorgamiento está sujeto al mantenimiento de las condiciones que motivaron la preaprobación. La línea para persona jurídica exige, además, contar con una oferta preaprobada en la App BBVA Empresas (Banco BBVA Perú, s. f.-c, s. f.-d, s. f.-e). Para el empresario sin oferta preaprobada, los préstamos comerciales publicados exigen, entre otros requisitos, los tres últimos pagos de IGV o Impuesto a la Renta y estados financieros con antigüedad no mayor a tres meses (Banco BBVA Perú, s. f.-f). La hipótesis plantea lo siguiente. BBVA Perú desplegaría un agente de IA que conversa con el empresario antes de que este inicie el trámite formal y que interpreta su información de negocio en lenguaje natural, incluida documentación no estructurada como fotografías de comprobantes de venta. El agente contrastaría esa información con la transaccionalidad ya registrada en el ecosistema del banco (cuenta corriente, Openpay, QR Empresas). Así, el empresario podría conocer en la misma conversación para qué producto precalifica y bajo qué condiciones, sin producir primero la documentación financiera estructurada que hoy no posee (Melo, 2026). La iniciativa no sustituye la evaluación crediticia formal, sino que amplía el universo de clientes con acceso a una oferta: la precalificación deja de ser una oferta que el banco presenta a algunos clientes y pasa a ser una evaluación preliminar que el empresario solicita cuando la necesita. Esto ataca simultáneamente el dolor D1 y el dolor D3, ambos integrados en DC1. El dolor D1 es la brecha entre una ruta digital que resuelve el crédito en tres minutos en promedio y una ruta asistida que concentra dos tercios de las colocaciones (Reusche, 2026). El dolor D3 es la dependencia de información financiera que la microempresa no produce de forma estructurada.</w:t>
      </w:r>
    </w:p>
    <w:p w:rsidR="00000000" w:rsidDel="00000000" w:rsidP="00000000" w:rsidRDefault="00000000" w:rsidRPr="00000000" w14:paraId="00000021">
      <w:pPr>
        <w:spacing w:after="200" w:before="0" w:line="360" w:lineRule="auto"/>
        <w:jc w:val="both"/>
        <w:rPr/>
      </w:pPr>
      <w:r w:rsidDel="00000000" w:rsidR="00000000" w:rsidRPr="00000000">
        <w:rPr>
          <w:b w:val="1"/>
          <w:bCs w:val="1"/>
          <w:rtl w:val="0"/>
        </w:rPr>
        <w:t xml:space="preserve">Sustento de mercado.</w:t>
      </w:r>
      <w:r w:rsidDel="00000000" w:rsidR="00000000" w:rsidRPr="00000000">
        <w:rPr>
          <w:rtl w:val="0"/>
        </w:rPr>
        <w:t xml:space="preserve"> La literatura especializada documenta que los agentes de IA ya son capaces de "tomar decisiones financieras complejas a nivel de cliente" y que las Pyme "ya están aprovechando la automatización de tesorería basada en APIs para optimizar el manejo de efectivo" </w:t>
      </w:r>
      <w:r w:rsidDel="00000000" w:rsidR="00000000" w:rsidRPr="00000000">
        <w:rPr>
          <w:i w:val="1"/>
          <w:iCs w:val="1"/>
          <w:rtl w:val="0"/>
        </w:rPr>
        <w:t xml:space="preserve">(Sundararajan y Jeenah, 2025)</w:t>
      </w:r>
      <w:r w:rsidDel="00000000" w:rsidR="00000000" w:rsidRPr="00000000">
        <w:rPr>
          <w:rtl w:val="0"/>
        </w:rPr>
        <w:t xml:space="preserve">. En mercados con reporte de resultados agregados, la automatización de la suscripción crediticia con IA se asocia a una mejora de 30 % en el tiempo de respuesta crediticia y a un incremento de 25 % en la tasa de aprobación sin incremento del riesgo </w:t>
      </w:r>
      <w:sdt>
        <w:sdtPr>
          <w:id w:val="-110872465"/>
          <w:tag w:val="goog_rdk_0"/>
        </w:sdtPr>
        <w:sdtContent>
          <w:commentRangeStart w:id="0"/>
        </w:sdtContent>
      </w:sdt>
      <w:r w:rsidDel="00000000" w:rsidR="00000000" w:rsidRPr="00000000">
        <w:rPr>
          <w:i w:val="1"/>
          <w:iCs w:val="1"/>
          <w:rtl w:val="0"/>
        </w:rPr>
        <w:t xml:space="preserve">(Stealth Agents, 2026, con base en McKinsey y Zest AI)</w:t>
      </w:r>
      <w:commentRangeEnd w:id="0"/>
      <w:r w:rsidDel="00000000" w:rsidR="00000000" w:rsidRPr="00000000">
        <w:commentReference w:id="0"/>
      </w:r>
      <w:r w:rsidDel="00000000" w:rsidR="00000000" w:rsidRPr="00000000">
        <w:rPr>
          <w:rtl w:val="0"/>
        </w:rPr>
        <w:t xml:space="preserve">; otra fuente reporta una reducción de 70 % en el tiempo de procesamiento y de 35 % en el abandono de solicitudes para casos de procesamiento documental de préstamos </w:t>
      </w:r>
      <w:r w:rsidDel="00000000" w:rsidR="00000000" w:rsidRPr="00000000">
        <w:rPr>
          <w:i w:val="1"/>
          <w:iCs w:val="1"/>
          <w:rtl w:val="0"/>
        </w:rPr>
        <w:t xml:space="preserve">(Kore.ai, 2026)</w:t>
      </w:r>
      <w:r w:rsidDel="00000000" w:rsidR="00000000" w:rsidRPr="00000000">
        <w:rPr>
          <w:rtl w:val="0"/>
        </w:rPr>
        <w:t xml:space="preserve">. Estas cifras corresponden a mercados desarrollados y no son extrapolables directamente al segmento Pyme peruano; se citan como referencia del orden de magnitud del beneficio esperado, no como proyección propia de BBVA Perú. entro del propio Grupo BBVA existe, además, evidencia latinoamericana del mismo patrón. BBVA México lanzó en junio de 2026 una estrategia de financiamiento digital dirigida a 1.1 millones de pymes en la que la profundidad de la relación con el cliente y el uso de datos permiten automatizar las validaciones y otorgar los recursos de manera inmediata, frente a los 10 a 17 días que históricamente toma la banca tradicional (BBVA, 2026d). Asimismo, el equipo de Riesgo Pyme de BBVA México desarrolló, como prueba de concepto, un asistente conversacional que guía al empresario mediante un cuestionario digital en reemplazo del reporte de más de cien preguntas que hoy debe presentar para certificar que su negocio sigue activo (Pombo Nartallo, 2025). La estrategia de IA del grupo, The Eight, respalda el principio de diseño de esta hipótesis: su frente de riesgos busca dotar a los analistas de herramientas para mejorar la toma de decisiones manteniendo al analista en el centro de la decisión (BBVA, 2025b). Ninguno de estos casos reporta todavía resultados de aprobación o de riesgo comparables con los de BBVA Perú, por lo que se citan como precedentes del mismo grupo en un mercado emergente y no como proyección.</w:t>
      </w:r>
    </w:p>
    <w:p w:rsidR="00000000" w:rsidDel="00000000" w:rsidP="00000000" w:rsidRDefault="00000000" w:rsidRPr="00000000" w14:paraId="00000022">
      <w:pPr>
        <w:spacing w:after="200" w:before="0" w:line="360" w:lineRule="auto"/>
        <w:jc w:val="both"/>
        <w:rPr/>
      </w:pPr>
      <w:r w:rsidDel="00000000" w:rsidR="00000000" w:rsidRPr="00000000">
        <w:rPr>
          <w:b w:val="1"/>
          <w:bCs w:val="1"/>
          <w:rtl w:val="0"/>
        </w:rPr>
        <w:t xml:space="preserve">Diferenciación frente a la competencia local.</w:t>
      </w:r>
      <w:r w:rsidDel="00000000" w:rsidR="00000000" w:rsidRPr="00000000">
        <w:rPr>
          <w:rtl w:val="0"/>
        </w:rPr>
        <w:t xml:space="preserve"> El agente de Mibanco ya ejecuta desembolsos conversacionales por WhatsApp (PressPerú, 2026), por lo que replicar solo esa función no genera océano azul. Tampoco es nuevo para el propio BBVA Perú usar datos transaccionales en la oferta de crédito. El Anticipo POS ya se ofrece como crédito preaprobado de S/ 3,000 a S/ 100,000 a negocios con POS Openpay, Izipay o Niubiz, y se repaga con la retención del 35 % de sus ventas diarias (Banco BBVA Perú, s. f.-g). La propuesta diferencial consiste en invertir el sentido de la oferta: la precalificación, construida sobre esos mismos datos, la solicita el empresario antes del trámite y sin reemplazarlo, en lugar de depender de que el banco le presente una oferta. Esta ventaja descansa en una base difícil de replicar, pues el 48 % de los clientes Pyme de BBVA Perú ya maneja sus cuentas transaccionales de forma principal en el banco (Reusche, 2026). La misma cifra acota el alcance de la hipótesis: para el resto de clientes, la información transaccional propia será parcial y el agente dependerá en mayor medida de la documentación que aporte el empresario.</w:t>
      </w:r>
    </w:p>
    <w:p w:rsidR="00000000" w:rsidDel="00000000" w:rsidP="00000000" w:rsidRDefault="00000000" w:rsidRPr="00000000" w14:paraId="00000023">
      <w:pPr>
        <w:spacing w:after="0" w:before="200" w:line="240" w:lineRule="auto"/>
        <w:rPr/>
      </w:pPr>
      <w:r w:rsidDel="00000000" w:rsidR="00000000" w:rsidRPr="00000000">
        <w:rPr>
          <w:b w:val="1"/>
          <w:bCs w:val="1"/>
          <w:rtl w:val="0"/>
        </w:rPr>
        <w:t xml:space="preserve">Tabla 27</w:t>
      </w:r>
      <w:r w:rsidDel="00000000" w:rsidR="00000000" w:rsidRPr="00000000">
        <w:rPr>
          <w:rtl w:val="0"/>
        </w:rPr>
      </w:r>
    </w:p>
    <w:p w:rsidR="00000000" w:rsidDel="00000000" w:rsidP="00000000" w:rsidRDefault="00000000" w:rsidRPr="00000000" w14:paraId="00000024">
      <w:pPr>
        <w:spacing w:after="120" w:before="0" w:line="240" w:lineRule="auto"/>
        <w:rPr/>
      </w:pPr>
      <w:r w:rsidDel="00000000" w:rsidR="00000000" w:rsidRPr="00000000">
        <w:rPr>
          <w:i w:val="1"/>
          <w:iCs w:val="1"/>
          <w:rtl w:val="0"/>
        </w:rPr>
        <w:t xml:space="preserve">Matriz ERRC: agente de precalificación crediticia Pyme</w:t>
      </w:r>
      <w:r w:rsidDel="00000000" w:rsidR="00000000" w:rsidRPr="00000000">
        <w:rPr>
          <w:rtl w:val="0"/>
        </w:rPr>
      </w:r>
    </w:p>
    <w:tbl>
      <w:tblPr>
        <w:tblStyle w:val="Table1"/>
        <w:tblW w:w="904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605"/>
        <w:gridCol w:w="7440"/>
        <w:tblGridChange w:id="0">
          <w:tblGrid>
            <w:gridCol w:w="1605"/>
            <w:gridCol w:w="744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25">
            <w:pPr>
              <w:spacing w:after="0" w:line="240" w:lineRule="auto"/>
              <w:jc w:val="center"/>
              <w:rPr/>
            </w:pPr>
            <w:r w:rsidDel="00000000" w:rsidR="00000000" w:rsidRPr="00000000">
              <w:rPr>
                <w:b w:val="1"/>
                <w:bCs w:val="1"/>
                <w:color w:val="ffffff"/>
                <w:rtl w:val="0"/>
              </w:rPr>
              <w:t xml:space="preserve">Acción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26">
            <w:pPr>
              <w:spacing w:after="0" w:line="240" w:lineRule="auto"/>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7">
            <w:pPr>
              <w:spacing w:after="0" w:line="240" w:lineRule="auto"/>
              <w:jc w:val="both"/>
              <w:rPr/>
            </w:pPr>
            <w:r w:rsidDel="00000000" w:rsidR="00000000" w:rsidRPr="00000000">
              <w:rPr>
                <w:b w:val="1"/>
                <w:bCs w:val="1"/>
                <w:rtl w:val="0"/>
              </w:rPr>
              <w:t xml:space="preserve">Eliminar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8">
            <w:pPr>
              <w:spacing w:after="0" w:line="240" w:lineRule="auto"/>
              <w:jc w:val="both"/>
              <w:rPr/>
            </w:pPr>
            <w:r w:rsidDel="00000000" w:rsidR="00000000" w:rsidRPr="00000000">
              <w:rPr>
                <w:rtl w:val="0"/>
              </w:rPr>
              <w:t xml:space="preserve">La exigencia de presentar, como primer paso, documentación financiera estructurada que la microempresa no produce de forma habitual (Melo, 2026), como los tres últimos pagos de IGV o Impuesto a la Renta y estados financieros con antigüedad no mayor a tres meses (Banco BBVA Perú, s. f.-f).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9">
            <w:pPr>
              <w:spacing w:after="0" w:line="240" w:lineRule="auto"/>
              <w:jc w:val="both"/>
              <w:rPr/>
            </w:pPr>
            <w:r w:rsidDel="00000000" w:rsidR="00000000" w:rsidRPr="00000000">
              <w:rPr>
                <w:b w:val="1"/>
                <w:bCs w:val="1"/>
                <w:rtl w:val="0"/>
              </w:rPr>
              <w:t xml:space="preserve">Reducir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A">
            <w:pPr>
              <w:spacing w:after="0" w:line="240" w:lineRule="auto"/>
              <w:jc w:val="both"/>
              <w:rPr/>
            </w:pPr>
            <w:r w:rsidDel="00000000" w:rsidR="00000000" w:rsidRPr="00000000">
              <w:rPr>
                <w:rtl w:val="0"/>
              </w:rPr>
              <w:t xml:space="preserve">El tiempo en que el empresario permanece sin visibilidad del estado de su solicitud durante la evaluación crediticia (etapa 3 del recorrido, Tabla 15); la proporción de colocaciones que se originan exclusivamente por canal asistido; la dependencia de una oferta preaprobada por el banco como condición para acceder a la ruta digital.</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B">
            <w:pPr>
              <w:spacing w:after="0" w:line="240" w:lineRule="auto"/>
              <w:jc w:val="both"/>
              <w:rPr/>
            </w:pPr>
            <w:r w:rsidDel="00000000" w:rsidR="00000000" w:rsidRPr="00000000">
              <w:rPr>
                <w:b w:val="1"/>
                <w:bCs w:val="1"/>
                <w:rtl w:val="0"/>
              </w:rPr>
              <w:t xml:space="preserve">Elevar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C">
            <w:pPr>
              <w:spacing w:after="0" w:line="240" w:lineRule="auto"/>
              <w:jc w:val="both"/>
              <w:rPr/>
            </w:pPr>
            <w:r w:rsidDel="00000000" w:rsidR="00000000" w:rsidRPr="00000000">
              <w:rPr>
                <w:rtl w:val="0"/>
              </w:rPr>
              <w:t xml:space="preserve">La transparencia de la decisión preliminar, explicando al cliente los factores que sustentan su precalificación, conforme al artículo 25.3 del Reglamento de la Ley N.° 31814, exigible al sector financiero desde el 10 de septiembre de 2026 (Decreto Supremo N.° 115-2025-PCM, 2025); la disponibilidad del acompañamiento en un canal conversacional ya validado por el mercado peruano.</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D">
            <w:pPr>
              <w:spacing w:after="0" w:line="240" w:lineRule="auto"/>
              <w:jc w:val="both"/>
              <w:rPr/>
            </w:pPr>
            <w:r w:rsidDel="00000000" w:rsidR="00000000" w:rsidRPr="00000000">
              <w:rPr>
                <w:b w:val="1"/>
                <w:bCs w:val="1"/>
                <w:rtl w:val="0"/>
              </w:rPr>
              <w:t xml:space="preserve">Crear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E">
            <w:pPr>
              <w:spacing w:after="0" w:line="240" w:lineRule="auto"/>
              <w:jc w:val="both"/>
              <w:rPr/>
            </w:pPr>
            <w:r w:rsidDel="00000000" w:rsidR="00000000" w:rsidRPr="00000000">
              <w:rPr>
                <w:rtl w:val="0"/>
              </w:rPr>
              <w:t xml:space="preserve">Una precalificación conversacional a solicitud del empresario, previa al trámite formal y construida sobre datos transaccionales propios del ecosistema BBVA (cuenta corriente, Openpay, QR Empresas, ventas por POS). Convierte la oferta preaprobada que hoy el banco presenta a algunos clientes en una evaluación preliminar que el cliente Pyme puede pedir, y ningún competidor sin esa base de clientes empresariales puede replicarla con la misma profundidad.</w:t>
            </w:r>
          </w:p>
        </w:tc>
      </w:tr>
    </w:tbl>
    <w:p w:rsidR="00000000" w:rsidDel="00000000" w:rsidP="00000000" w:rsidRDefault="00000000" w:rsidRPr="00000000" w14:paraId="0000002F">
      <w:pPr>
        <w:spacing w:after="200" w:lineRule="auto"/>
        <w:rPr/>
      </w:pPr>
      <w:r w:rsidDel="00000000" w:rsidR="00000000" w:rsidRPr="00000000">
        <w:rPr>
          <w:rtl w:val="0"/>
        </w:rPr>
        <w:t xml:space="preserve">Nota. Elaboración propia con base en Kim y Mauborgne (2005) y en las fuentes citadas en la sección 5.2.</w:t>
      </w:r>
    </w:p>
    <w:p w:rsidR="00000000" w:rsidDel="00000000" w:rsidP="00000000" w:rsidRDefault="00000000" w:rsidRPr="00000000" w14:paraId="00000030">
      <w:pPr>
        <w:spacing w:after="200" w:before="0" w:line="360" w:lineRule="auto"/>
        <w:jc w:val="both"/>
        <w:rPr/>
      </w:pPr>
      <w:r w:rsidDel="00000000" w:rsidR="00000000" w:rsidRPr="00000000">
        <w:rPr>
          <w:b w:val="1"/>
          <w:bCs w:val="1"/>
          <w:rtl w:val="0"/>
        </w:rPr>
        <w:t xml:space="preserve">Indicador de éxito esperado.</w:t>
      </w:r>
      <w:r w:rsidDel="00000000" w:rsidR="00000000" w:rsidRPr="00000000">
        <w:rPr>
          <w:rtl w:val="0"/>
        </w:rPr>
        <w:t xml:space="preserve"> Tasa de originación digital Pyme </w:t>
      </w:r>
      <w:r w:rsidDel="00000000" w:rsidR="00000000" w:rsidRPr="00000000">
        <w:rPr>
          <w:rtl w:val="0"/>
        </w:rPr>
        <w:t xml:space="preserve">(línea base pública aproximada de 33 %, meta propuesta de 60 % en dieciocho meses)</w:t>
      </w:r>
      <w:r w:rsidDel="00000000" w:rsidR="00000000" w:rsidRPr="00000000">
        <w:rPr>
          <w:rtl w:val="0"/>
        </w:rPr>
        <w:t xml:space="preserve"> y tiempo de ciclo de la ruta asistida, hoy sin línea base pública y que el propio agente permitiría instrumentar por primera vez, conforme a la Tabla 23 del Entregable 2. La meta de 60 % es una meta de estiramiento propuesta por el equipo y pendiente de validación con la entidad. El único ritmo de avance publicado por el banco para un indicador cercano, la participación digital en la facturación total del segmento High Value Pymes, pasó de 18 % a 28 % entre 2024 y 2025 (Banco BBVA Perú, 2026b, p. 25), es decir, unos diez puntos porcentuales por año. Alcanzar 60 % en dieciocho meses exige cerca de dieciocho puntos por año, lo que supone que el agente propuesto casi duplique ese ritmo. Como ambos indicadores no son idénticos, la comparación se usa solo como referencia de orden de magnitud.</w:t>
      </w:r>
    </w:p>
    <w:p w:rsidR="00000000" w:rsidDel="00000000" w:rsidP="00000000" w:rsidRDefault="00000000" w:rsidRPr="00000000" w14:paraId="00000031">
      <w:pPr>
        <w:pStyle w:val="Heading2"/>
        <w:spacing w:after="160" w:before="260" w:line="360" w:lineRule="auto"/>
        <w:rPr>
          <w:sz w:val="22"/>
          <w:szCs w:val="22"/>
        </w:rPr>
      </w:pPr>
      <w:r w:rsidDel="00000000" w:rsidR="00000000" w:rsidRPr="00000000">
        <w:rPr>
          <w:b w:val="1"/>
          <w:bCs w:val="1"/>
          <w:color w:val="1f3864"/>
          <w:sz w:val="22"/>
          <w:szCs w:val="22"/>
          <w:rtl w:val="0"/>
        </w:rPr>
        <w:t xml:space="preserve">5.3. Hipótesis de iniciativa para DC2: agente de investigación asistida de reclamos</w:t>
      </w:r>
      <w:r w:rsidDel="00000000" w:rsidR="00000000" w:rsidRPr="00000000">
        <w:rPr>
          <w:rtl w:val="0"/>
        </w:rPr>
      </w:r>
    </w:p>
    <w:p w:rsidR="00000000" w:rsidDel="00000000" w:rsidP="00000000" w:rsidRDefault="00000000" w:rsidRPr="00000000" w14:paraId="00000032">
      <w:pPr>
        <w:spacing w:after="200" w:before="0" w:line="360" w:lineRule="auto"/>
        <w:jc w:val="both"/>
        <w:rPr/>
      </w:pPr>
      <w:r w:rsidDel="00000000" w:rsidR="00000000" w:rsidRPr="00000000">
        <w:rPr>
          <w:b w:val="1"/>
          <w:bCs w:val="1"/>
          <w:rtl w:val="0"/>
        </w:rPr>
        <w:t xml:space="preserve">Nombre de la hipótesis.</w:t>
      </w:r>
      <w:r w:rsidDel="00000000" w:rsidR="00000000" w:rsidRPr="00000000">
        <w:rPr>
          <w:rtl w:val="0"/>
        </w:rPr>
        <w:t xml:space="preserve"> Extensión del asistente Blue Buddy hacia un agente de investigación de casos para reclamos por operaciones no reconocidas.</w:t>
      </w:r>
    </w:p>
    <w:p w:rsidR="00000000" w:rsidDel="00000000" w:rsidP="00000000" w:rsidRDefault="00000000" w:rsidRPr="00000000" w14:paraId="00000033">
      <w:pPr>
        <w:spacing w:after="200" w:before="0" w:line="360" w:lineRule="auto"/>
        <w:jc w:val="both"/>
        <w:rPr/>
      </w:pPr>
      <w:r w:rsidDel="00000000" w:rsidR="00000000" w:rsidRPr="00000000">
        <w:rPr>
          <w:b w:val="1"/>
          <w:bCs w:val="1"/>
          <w:rtl w:val="0"/>
        </w:rPr>
        <w:t xml:space="preserve">Formulación.</w:t>
      </w:r>
      <w:r w:rsidDel="00000000" w:rsidR="00000000" w:rsidRPr="00000000">
        <w:rPr>
          <w:rtl w:val="0"/>
        </w:rPr>
        <w:t xml:space="preserve"> Blue Buddy, el asistente de IA generativa de la red de atención de BBVA Perú, alcanzó una adopción de 90 % durante el segundo trimestre de 2026. Ese avance se produjo tras incorporar un flujo integral de reclamos que permite visualizar el ciclo de vida completo de los casos de los últimos seis meses, desde el motivo de la queja y el estado del proceso hasta el veredicto final del banco y su documentación asociada (Banco BBVA Perú, 2026a, p. 4). En el ámbito de reclamos, su función es de consulta: muestra el caso al asesor, pero no lo investiga. La hipótesis propone extender esa capacidad a un agente que cruce automáticamente las trazas transaccionales, las señales de comportamiento y el historial de casos similares entre los sistemas de fraude, operaciones y atención. El agente produciría un expediente estructurado con una recomendación preliminar: proceder con el abono provisional o escalar el caso a revisión especializada. Con ello, el analista humano dejaría de ejecutar manualmente la "revisión de las trazas de la operación y consulta de su ciclo de vida mediante las herramientas internas" que hoy describe la capa de soporte no visible del service blueprint (Tabla 16) y pasaría a validar una propuesta ya construida. Esto ataca de forma directa el dolor D7, es decir, el tiempo promedio ponderado de absolución de 11.29 días frente al promedio general de la entidad de 8.02 días. La decisión humana final se mantiene, dado que el reglamento de la SBS exige que la entidad sustente la procedencia del reclamo (SBS, 2022).</w:t>
      </w:r>
    </w:p>
    <w:p w:rsidR="00000000" w:rsidDel="00000000" w:rsidP="00000000" w:rsidRDefault="00000000" w:rsidRPr="00000000" w14:paraId="00000034">
      <w:pPr>
        <w:spacing w:after="200" w:before="0" w:line="360" w:lineRule="auto"/>
        <w:jc w:val="both"/>
        <w:rPr/>
      </w:pPr>
      <w:r w:rsidDel="00000000" w:rsidR="00000000" w:rsidRPr="00000000">
        <w:rPr>
          <w:b w:val="1"/>
          <w:bCs w:val="1"/>
          <w:rtl w:val="0"/>
        </w:rPr>
        <w:t xml:space="preserve">Sustento de mercado.</w:t>
      </w:r>
      <w:r w:rsidDel="00000000" w:rsidR="00000000" w:rsidRPr="00000000">
        <w:rPr>
          <w:rtl w:val="0"/>
        </w:rPr>
        <w:t xml:space="preserve"> En el segmento de disputas y contracargos, la automatización con IA permite reducir la recopilación de evidencia de veinte o treinta minutos a menos de dos, y llevar la resolución de casos simples de semanas a horas, resolviendo de forma autónoma entre 70 % y 80 % de los casos cuando los hechos son claros </w:t>
      </w:r>
      <w:r w:rsidDel="00000000" w:rsidR="00000000" w:rsidRPr="00000000">
        <w:rPr>
          <w:i w:val="1"/>
          <w:iCs w:val="1"/>
          <w:rtl w:val="0"/>
        </w:rPr>
        <w:t xml:space="preserve">(Backbase, 2026)</w:t>
      </w:r>
      <w:r w:rsidDel="00000000" w:rsidR="00000000" w:rsidRPr="00000000">
        <w:rPr>
          <w:rtl w:val="0"/>
        </w:rPr>
        <w:t xml:space="preserve">. Otra fuente reporta hasta 60 % de reducción en la carga de trabajo del analista y 40 % de reducción en el tiempo total de procesamiento de la disputa </w:t>
      </w:r>
      <w:r w:rsidDel="00000000" w:rsidR="00000000" w:rsidRPr="00000000">
        <w:rPr>
          <w:i w:val="1"/>
          <w:iCs w:val="1"/>
          <w:rtl w:val="0"/>
        </w:rPr>
        <w:t xml:space="preserve">(Kore.ai, 2026)</w:t>
      </w:r>
      <w:r w:rsidDel="00000000" w:rsidR="00000000" w:rsidRPr="00000000">
        <w:rPr>
          <w:rtl w:val="0"/>
        </w:rPr>
        <w:t xml:space="preserve">. Ambas cifras provienen de mercados con volúmenes de disputas muy superiores al de BBVA Perú y no constituyen una proyección propia de la entidad; se emplean como referencia del orden de magnitud alcanzable, no como meta comprometida. En el propio BBVA Perú existe evidencia local del mismo orden de magnitud. En 2025, la resolución de reclamos en el primer contacto del cliente, aplicada en el segmento High Value Individuals, se tradujo en una reducción de 80 % de los reclamos monetarios (Banco BBVA Perú, 2026b, p. 25). Blue Buddy, la base sobre la que se construiría el agente, había gestionado a mayo de 2026 más de 30,000 consultas de los equipos de atención con niveles de resolución cercanos a 80 % (López, 2026). A escala de grupo, la estrategia The Eight incluye un frente de operaciones y procesos orientado a la automatización extrema y al rediseño de procesos clave de principio a fin con IA, con el fin de reducir tiempos de respuesta y minimizar errores en el back-office (BBVA, 2025b).</w:t>
      </w:r>
    </w:p>
    <w:p w:rsidR="00000000" w:rsidDel="00000000" w:rsidP="00000000" w:rsidRDefault="00000000" w:rsidRPr="00000000" w14:paraId="00000035">
      <w:pPr>
        <w:spacing w:after="200" w:before="0" w:line="360" w:lineRule="auto"/>
        <w:jc w:val="both"/>
        <w:rPr/>
      </w:pPr>
      <w:r w:rsidDel="00000000" w:rsidR="00000000" w:rsidRPr="00000000">
        <w:rPr>
          <w:b w:val="1"/>
          <w:bCs w:val="1"/>
          <w:rtl w:val="0"/>
        </w:rPr>
        <w:t xml:space="preserve">Por qué es océano azul y no una imitación.</w:t>
      </w:r>
      <w:r w:rsidDel="00000000" w:rsidR="00000000" w:rsidRPr="00000000">
        <w:rPr>
          <w:rtl w:val="0"/>
        </w:rPr>
        <w:t xml:space="preserve"> La exposición sancionatoria por este tipo de reclamos es un problema de todo el sector: el 90 % de las sanciones de Indecopi por esta materia recayó en el sistema financiero entre 2021 y marzo de 2025 (Andina, 2025), y BBVA fue identificado entre las cinco entidades con mayor número de infracciones (Alarcón, 2023). En la revisión de fuentes realizada para esta entrega no se encontró que algún competidor peruano haya hecho pública una mejora sustantiva en el tiempo de resolución de este tipo específico de reclamo. Convertir un centro de costo regulatorio en una ventaja de experiencia, es decir, ser la entidad que resuelve de forma consistente más cerca de su propio promedio general que del plazo regulatorio máximo, es un atributo que, hasta la fecha de esta entrega, ninguna entidad del mercado peruano reclama públicamente para sí.</w:t>
      </w:r>
    </w:p>
    <w:p w:rsidR="00000000" w:rsidDel="00000000" w:rsidP="00000000" w:rsidRDefault="00000000" w:rsidRPr="00000000" w14:paraId="00000036">
      <w:pPr>
        <w:spacing w:after="0" w:before="200" w:line="240" w:lineRule="auto"/>
        <w:rPr/>
      </w:pPr>
      <w:r w:rsidDel="00000000" w:rsidR="00000000" w:rsidRPr="00000000">
        <w:rPr>
          <w:b w:val="1"/>
          <w:bCs w:val="1"/>
          <w:rtl w:val="0"/>
        </w:rPr>
        <w:t xml:space="preserve">Tabla 28</w:t>
      </w:r>
      <w:r w:rsidDel="00000000" w:rsidR="00000000" w:rsidRPr="00000000">
        <w:rPr>
          <w:rtl w:val="0"/>
        </w:rPr>
      </w:r>
    </w:p>
    <w:p w:rsidR="00000000" w:rsidDel="00000000" w:rsidP="00000000" w:rsidRDefault="00000000" w:rsidRPr="00000000" w14:paraId="00000037">
      <w:pPr>
        <w:spacing w:after="120" w:before="0" w:line="240" w:lineRule="auto"/>
        <w:rPr/>
      </w:pPr>
      <w:r w:rsidDel="00000000" w:rsidR="00000000" w:rsidRPr="00000000">
        <w:rPr>
          <w:i w:val="1"/>
          <w:iCs w:val="1"/>
          <w:rtl w:val="0"/>
        </w:rPr>
        <w:t xml:space="preserve">Matriz ERRC: agente de investigación asistida de reclamos</w:t>
      </w:r>
      <w:r w:rsidDel="00000000" w:rsidR="00000000" w:rsidRPr="00000000">
        <w:rPr>
          <w:rtl w:val="0"/>
        </w:rPr>
      </w:r>
    </w:p>
    <w:tbl>
      <w:tblPr>
        <w:tblStyle w:val="Table2"/>
        <w:tblW w:w="90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605"/>
        <w:gridCol w:w="7395"/>
        <w:tblGridChange w:id="0">
          <w:tblGrid>
            <w:gridCol w:w="1605"/>
            <w:gridCol w:w="7395"/>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38">
            <w:pPr>
              <w:spacing w:after="0" w:line="240" w:lineRule="auto"/>
              <w:jc w:val="center"/>
              <w:rPr/>
            </w:pPr>
            <w:r w:rsidDel="00000000" w:rsidR="00000000" w:rsidRPr="00000000">
              <w:rPr>
                <w:b w:val="1"/>
                <w:bCs w:val="1"/>
                <w:color w:val="ffffff"/>
                <w:rtl w:val="0"/>
              </w:rPr>
              <w:t xml:space="preserve">Acción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39">
            <w:pPr>
              <w:spacing w:after="0" w:line="240" w:lineRule="auto"/>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A">
            <w:pPr>
              <w:spacing w:after="0" w:line="240" w:lineRule="auto"/>
              <w:jc w:val="both"/>
              <w:rPr/>
            </w:pPr>
            <w:r w:rsidDel="00000000" w:rsidR="00000000" w:rsidRPr="00000000">
              <w:rPr>
                <w:b w:val="1"/>
                <w:bCs w:val="1"/>
                <w:rtl w:val="0"/>
              </w:rPr>
              <w:t xml:space="preserve">Eliminar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B">
            <w:pPr>
              <w:spacing w:after="0" w:line="240" w:lineRule="auto"/>
              <w:jc w:val="both"/>
              <w:rPr/>
            </w:pPr>
            <w:r w:rsidDel="00000000" w:rsidR="00000000" w:rsidRPr="00000000">
              <w:rPr>
                <w:rtl w:val="0"/>
              </w:rPr>
              <w:t xml:space="preserve">La revisión manual y secuencial de trazas transaccionales dispersas entre los sistemas de fraude, operaciones y atención al cliente durante la etapa de investigación (Tabla 16).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C">
            <w:pPr>
              <w:spacing w:after="0" w:line="240" w:lineRule="auto"/>
              <w:jc w:val="both"/>
              <w:rPr/>
            </w:pPr>
            <w:r w:rsidDel="00000000" w:rsidR="00000000" w:rsidRPr="00000000">
              <w:rPr>
                <w:b w:val="1"/>
                <w:bCs w:val="1"/>
                <w:rtl w:val="0"/>
              </w:rPr>
              <w:t xml:space="preserve">Reducir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D">
            <w:pPr>
              <w:spacing w:after="0" w:line="240" w:lineRule="auto"/>
              <w:jc w:val="both"/>
              <w:rPr/>
            </w:pPr>
            <w:r w:rsidDel="00000000" w:rsidR="00000000" w:rsidRPr="00000000">
              <w:rPr>
                <w:rtl w:val="0"/>
              </w:rPr>
              <w:t xml:space="preserve">La brecha de información entre el cliente, que hoy puede consultar el estado de su reclamo en la web del banco (Banco BBVA Perú, s. f.-h), y el asesor, que en Blue Buddy visualiza el ciclo de vida completo del caso (Banco BBVA Perú, 2026a, p. 4); la intervención humana de primer nivel en los reclamos de bajo riesgo y hechos claramente verificables.</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E">
            <w:pPr>
              <w:spacing w:after="0" w:line="240" w:lineRule="auto"/>
              <w:jc w:val="both"/>
              <w:rPr/>
            </w:pPr>
            <w:r w:rsidDel="00000000" w:rsidR="00000000" w:rsidRPr="00000000">
              <w:rPr>
                <w:b w:val="1"/>
                <w:bCs w:val="1"/>
                <w:rtl w:val="0"/>
              </w:rPr>
              <w:t xml:space="preserve">Elevar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F">
            <w:pPr>
              <w:spacing w:after="0" w:line="240" w:lineRule="auto"/>
              <w:jc w:val="both"/>
              <w:rPr/>
            </w:pPr>
            <w:r w:rsidDel="00000000" w:rsidR="00000000" w:rsidRPr="00000000">
              <w:rPr>
                <w:rtl w:val="0"/>
              </w:rPr>
              <w:t xml:space="preserve">La trazabilidad del caso para el cliente, extendiendo a la interacción con él la lógica del flujo de reclamos de Blue Buddy, validada internamente con una adopción de 90 % (Banco BBVA Perú, 2026a, p. 4); la proximidad del tiempo de resolución de esta materia (11.29 días) al promedio general de la entidad (8.02 días).</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0">
            <w:pPr>
              <w:spacing w:after="0" w:line="240" w:lineRule="auto"/>
              <w:jc w:val="both"/>
              <w:rPr/>
            </w:pPr>
            <w:r w:rsidDel="00000000" w:rsidR="00000000" w:rsidRPr="00000000">
              <w:rPr>
                <w:b w:val="1"/>
                <w:bCs w:val="1"/>
                <w:rtl w:val="0"/>
              </w:rPr>
              <w:t xml:space="preserve">Crear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1">
            <w:pPr>
              <w:spacing w:after="0" w:line="240" w:lineRule="auto"/>
              <w:jc w:val="both"/>
              <w:rPr/>
            </w:pPr>
            <w:r w:rsidDel="00000000" w:rsidR="00000000" w:rsidRPr="00000000">
              <w:rPr>
                <w:rtl w:val="0"/>
              </w:rPr>
              <w:t xml:space="preserve">Un expediente de caso generado automáticamente por el agente, con recomendación explicable y veedor humano obligatorio antes de la resolución final, como resguardo prudencial frente al estándar de supervisión humana que la SBS exige para decisiones basadas en IA (Ramírez Huancayo, 2026), aplicado aquí por prudencia aunque la norma referida rige directamente decisiones de crédito.</w:t>
            </w:r>
          </w:p>
        </w:tc>
      </w:tr>
    </w:tbl>
    <w:p w:rsidR="00000000" w:rsidDel="00000000" w:rsidP="00000000" w:rsidRDefault="00000000" w:rsidRPr="00000000" w14:paraId="00000042">
      <w:pPr>
        <w:spacing w:after="200" w:lineRule="auto"/>
        <w:rPr/>
      </w:pPr>
      <w:r w:rsidDel="00000000" w:rsidR="00000000" w:rsidRPr="00000000">
        <w:rPr>
          <w:rtl w:val="0"/>
        </w:rPr>
        <w:t xml:space="preserve">Nota. Elaboración propia con base en Kim y Mauborgne (2005) y en las fuentes citadas en la sección 5.3.</w:t>
      </w:r>
    </w:p>
    <w:p w:rsidR="00000000" w:rsidDel="00000000" w:rsidP="00000000" w:rsidRDefault="00000000" w:rsidRPr="00000000" w14:paraId="00000043">
      <w:pPr>
        <w:spacing w:after="200" w:before="0" w:line="360" w:lineRule="auto"/>
        <w:jc w:val="both"/>
        <w:rPr/>
      </w:pPr>
      <w:r w:rsidDel="00000000" w:rsidR="00000000" w:rsidRPr="00000000">
        <w:rPr>
          <w:b w:val="1"/>
          <w:bCs w:val="1"/>
          <w:rtl w:val="0"/>
        </w:rPr>
        <w:t xml:space="preserve">Indicador de éxito esperado.</w:t>
      </w:r>
      <w:r w:rsidDel="00000000" w:rsidR="00000000" w:rsidRPr="00000000">
        <w:rPr>
          <w:rtl w:val="0"/>
        </w:rPr>
        <w:t xml:space="preserve"> Tiempo promedio de absolución </w:t>
      </w:r>
      <w:r w:rsidDel="00000000" w:rsidR="00000000" w:rsidRPr="00000000">
        <w:rPr>
          <w:rtl w:val="0"/>
        </w:rPr>
        <w:t xml:space="preserve">(línea base 11.29 días, meta: cerrar la brecha frente al promedio general de la entidad, que fue de 8.02 días en el mismo periodo)</w:t>
      </w:r>
      <w:r w:rsidDel="00000000" w:rsidR="00000000" w:rsidRPr="00000000">
        <w:rPr>
          <w:rtl w:val="0"/>
        </w:rPr>
        <w:t xml:space="preserve"> e incidencia de reclamos de la materia por cada cien mil operaciones, conforme a la Tabla 24 del Entregable 2. Como ambos promedios varían entre periodos (en julio y agosto de 2026 fueron de 26.37 y 20.36 días, respectivamente), la meta propuesta por el equipo se expresa como la eliminación de la brecha relativa entre ambos, que fue de 1.41 veces en el 2T2026 y de 1.30 veces en julio-agosto de 2026 (cálculo propio con base en Banco BBVA Perú, 2026c a 2026g), y no como una cifra absoluta de días. La meta está pendiente de validación con la entidad; su factibilidad se apoya en un precedente interno, pues la resolución en el primer contacto ya redujo en 80 % los reclamos monetarios de un segmento del banco (Banco BBVA Perú, 2026b, p. 25).</w:t>
      </w:r>
    </w:p>
    <w:p w:rsidR="00000000" w:rsidDel="00000000" w:rsidP="00000000" w:rsidRDefault="00000000" w:rsidRPr="00000000" w14:paraId="00000044">
      <w:pPr>
        <w:pStyle w:val="Heading2"/>
        <w:spacing w:after="160" w:before="260" w:line="360" w:lineRule="auto"/>
        <w:rPr>
          <w:sz w:val="22"/>
          <w:szCs w:val="22"/>
        </w:rPr>
      </w:pPr>
      <w:r w:rsidDel="00000000" w:rsidR="00000000" w:rsidRPr="00000000">
        <w:rPr>
          <w:b w:val="1"/>
          <w:bCs w:val="1"/>
          <w:color w:val="1f3864"/>
          <w:sz w:val="22"/>
          <w:szCs w:val="22"/>
          <w:rtl w:val="0"/>
        </w:rPr>
        <w:t xml:space="preserve">5.4. Hipótesis de iniciativa para DC3: agente de verificación progresiva en la contratación digital</w:t>
      </w:r>
      <w:r w:rsidDel="00000000" w:rsidR="00000000" w:rsidRPr="00000000">
        <w:rPr>
          <w:rtl w:val="0"/>
        </w:rPr>
      </w:r>
    </w:p>
    <w:p w:rsidR="00000000" w:rsidDel="00000000" w:rsidP="00000000" w:rsidRDefault="00000000" w:rsidRPr="00000000" w14:paraId="00000045">
      <w:pPr>
        <w:spacing w:after="200" w:before="0" w:line="360" w:lineRule="auto"/>
        <w:jc w:val="both"/>
        <w:rPr/>
      </w:pPr>
      <w:r w:rsidDel="00000000" w:rsidR="00000000" w:rsidRPr="00000000">
        <w:rPr>
          <w:b w:val="1"/>
          <w:bCs w:val="1"/>
          <w:rtl w:val="0"/>
        </w:rPr>
        <w:t xml:space="preserve">Nombre de la hipótesis.</w:t>
      </w:r>
      <w:r w:rsidDel="00000000" w:rsidR="00000000" w:rsidRPr="00000000">
        <w:rPr>
          <w:rtl w:val="0"/>
        </w:rPr>
        <w:t xml:space="preserve"> Agente conversacional de contratación con verificación de identidad progresiva y asíncrona, integrado al proceso 100 % digital ya lanzado por BBVA Perú a inicios de 2026.</w:t>
      </w:r>
    </w:p>
    <w:p w:rsidR="00000000" w:rsidDel="00000000" w:rsidP="00000000" w:rsidRDefault="00000000" w:rsidRPr="00000000" w14:paraId="00000046">
      <w:pPr>
        <w:spacing w:after="200" w:before="0" w:line="360" w:lineRule="auto"/>
        <w:jc w:val="both"/>
        <w:rPr/>
      </w:pPr>
      <w:r w:rsidDel="00000000" w:rsidR="00000000" w:rsidRPr="00000000">
        <w:rPr>
          <w:b w:val="1"/>
          <w:bCs w:val="1"/>
          <w:rtl w:val="0"/>
        </w:rPr>
        <w:t xml:space="preserve">Formulación.</w:t>
      </w:r>
      <w:r w:rsidDel="00000000" w:rsidR="00000000" w:rsidRPr="00000000">
        <w:rPr>
          <w:rtl w:val="0"/>
        </w:rPr>
        <w:t xml:space="preserve"> El proceso íntegramente digital descrito en el Anexo B permite a una persona que aún no es cliente contratar en menos de cinco minutos (A. Moquillaza, comunicación personal, 11 de setiembre de 2026), pero su alcance está acotado por diseño. La apertura desde la App está disponible solo para nuevos clientes mayores de 18 años, peruanos con DNI y sin productos en el banco, y por ahora solo permite abrir la Cuenta Digital BBVA en soles (Banco BBVA Perú, s. f.-i). Fuera de ese perfil, el flujo se interrumpe y deriva a oficina física (A. Moquillaza, comunicación personal, 11 de </w:t>
      </w:r>
      <w:r w:rsidDel="00000000" w:rsidR="00000000" w:rsidRPr="00000000">
        <w:rPr>
          <w:rtl w:val="0"/>
        </w:rPr>
        <w:t xml:space="preserve">setiembre</w:t>
      </w:r>
      <w:r w:rsidDel="00000000" w:rsidR="00000000" w:rsidRPr="00000000">
        <w:rPr>
          <w:rtl w:val="0"/>
        </w:rPr>
        <w:t xml:space="preserve"> de 2026). En el caso de un menor de edad, el propio banco indica que el padre, la madre o el tutor legal debe presentarse físicamente en la agencia con su DNI y el del menor (Banco BBVA Perú, s. f.-j). </w:t>
      </w:r>
    </w:p>
    <w:p w:rsidR="00000000" w:rsidDel="00000000" w:rsidP="00000000" w:rsidRDefault="00000000" w:rsidRPr="00000000" w14:paraId="00000047">
      <w:pPr>
        <w:spacing w:after="200" w:before="0" w:line="360" w:lineRule="auto"/>
        <w:jc w:val="both"/>
        <w:rPr/>
      </w:pPr>
      <w:r w:rsidDel="00000000" w:rsidR="00000000" w:rsidRPr="00000000">
        <w:rPr>
          <w:rtl w:val="0"/>
        </w:rPr>
        <w:t xml:space="preserve">La regulación no exige esa presencialidad en todos los casos. Para las cuentas básicas, la Resolución SBS N.° 00908-2025 admite que las personas extranjeras se identifiquen con carné de extranjería, carné de identidad, pasaporte u otro documento legalmente reconocido. También permite que la entidad verifique la información a través de RENIEC, Migraciones, el Ministerio de Relaciones Exteriores o cualquier otra modalidad que deje constancia, incluso con posterioridad a la apertura. La presentación física del documento sólo es exigible cuando la contratación es presencial (Resolución SBS N.° 00908-2025, 2025). Esa cuenta opera con límites de 0.6 UIT por transacción, 1.9 UIT de saldo y 2.8 UIT de transacciones mensuales (Resolución SBS N.° 00704-2026, 2026). </w:t>
      </w:r>
    </w:p>
    <w:p w:rsidR="00000000" w:rsidDel="00000000" w:rsidP="00000000" w:rsidRDefault="00000000" w:rsidRPr="00000000" w14:paraId="00000048">
      <w:pPr>
        <w:spacing w:after="200" w:before="0" w:line="360" w:lineRule="auto"/>
        <w:jc w:val="both"/>
        <w:rPr/>
      </w:pPr>
      <w:r w:rsidDel="00000000" w:rsidR="00000000" w:rsidRPr="00000000">
        <w:rPr>
          <w:rtl w:val="0"/>
        </w:rPr>
        <w:t xml:space="preserve">La hipótesis plantea que el agente conversacional, en lugar de interrumpir el flujo, gestione la verificación adicional de forma progresiva y asíncrona dentro del mismo canal. Por ejemplo, podría abrir una cuenta básica con los límites regulatorios mientras la verificación ante Migraciones se completa en segundo plano. En el caso de un menor, podría solicitar la autorización del tutor sin cerrar la conversación, lo que requiere validar previamente el alcance legal con las áreas legal y de cumplimiento del banco. El diseño debe considerar las necesidades diferenciadas de niñas, niños y adolescentes (Decreto Supremo N.° 115-2025-PCM, 2025, art. 12). La verificación biométrica que emplee el agente no está entre los usos prohibidos, al tener como único fin autenticar la identidad digital (art. 23.1, literal e). </w:t>
      </w:r>
    </w:p>
    <w:p w:rsidR="00000000" w:rsidDel="00000000" w:rsidP="00000000" w:rsidRDefault="00000000" w:rsidRPr="00000000" w14:paraId="00000049">
      <w:pPr>
        <w:spacing w:after="200" w:before="0" w:line="360" w:lineRule="auto"/>
        <w:jc w:val="both"/>
        <w:rPr/>
      </w:pPr>
      <w:r w:rsidDel="00000000" w:rsidR="00000000" w:rsidRPr="00000000">
        <w:rPr>
          <w:rtl w:val="0"/>
        </w:rPr>
        <w:t xml:space="preserve">De confirmarse la hipótesis, una parte del 67 % de aperturas de cuenta que hoy requiere algún tipo de asistencia podría completarse íntegramente en el canal digital. Esto ataca dos dolores integrados en DC3: el dolor D9, la penetración digital de 33 % en cuentas al 2T2026 frente a 35 % al cierre de 2025 (Banco BBVA Perú, 2025, p. 3; 2026a, p. 3), y el dolor D11, la interrupción del flujo ante perfiles no contemplados. </w:t>
      </w:r>
    </w:p>
    <w:p w:rsidR="00000000" w:rsidDel="00000000" w:rsidP="00000000" w:rsidRDefault="00000000" w:rsidRPr="00000000" w14:paraId="0000004A">
      <w:pPr>
        <w:spacing w:after="200" w:before="0" w:line="360" w:lineRule="auto"/>
        <w:jc w:val="both"/>
        <w:rPr/>
      </w:pPr>
      <w:r w:rsidDel="00000000" w:rsidR="00000000" w:rsidRPr="00000000">
        <w:rPr>
          <w:b w:val="1"/>
          <w:bCs w:val="1"/>
          <w:rtl w:val="0"/>
        </w:rPr>
        <w:t xml:space="preserve">Sustento de mercado.</w:t>
      </w:r>
      <w:r w:rsidDel="00000000" w:rsidR="00000000" w:rsidRPr="00000000">
        <w:rPr>
          <w:rtl w:val="0"/>
        </w:rPr>
        <w:t xml:space="preserve"> La automatización conversacional del onboarding bancario reduce el abandono de solicitudes hasta en 18 % y disminuye la carga manual de verificación de identidad </w:t>
      </w:r>
      <w:r w:rsidDel="00000000" w:rsidR="00000000" w:rsidRPr="00000000">
        <w:rPr>
          <w:i w:val="1"/>
          <w:iCs w:val="1"/>
          <w:rtl w:val="0"/>
        </w:rPr>
        <w:t xml:space="preserve">(Kore.ai, 2026)</w:t>
      </w:r>
      <w:r w:rsidDel="00000000" w:rsidR="00000000" w:rsidRPr="00000000">
        <w:rPr>
          <w:rtl w:val="0"/>
        </w:rPr>
        <w:t xml:space="preserve">. En el Grupo BBVA, la captación digital ya es el canal mayoritario: en 2025 el grupo incorporó 11.5 millones de nuevos clientes, de los cuales 66 % se unió a través de canales digitales (BBVA, 2026c). En BBVA Perú, el flujo 100 % digital de la cuenta digital permite a los nuevos clientes abrir una cuenta en cuatro minutos (Banco BBVA Perú, 2026b, p. 25), y la estrategia The Eight prevé que Blue evolucione hacia un asistente que ejecute operaciones las 24 horas en modo conversacional (BBVA, 2025b). En Perú, Mibanco ya opera un agente de IA agéntica sobre WhatsApp capaz de abrir cuentas de ahorro de forma autónoma, con el 80 % de sus usuarios siendo clientes nuevos sin cuenta previa y un tiempo promedio de dos minutos por transacción </w:t>
      </w:r>
      <w:r w:rsidDel="00000000" w:rsidR="00000000" w:rsidRPr="00000000">
        <w:rPr>
          <w:i w:val="1"/>
          <w:iCs w:val="1"/>
          <w:rtl w:val="0"/>
        </w:rPr>
        <w:t xml:space="preserve">(PressPerú, 2026)</w:t>
      </w:r>
      <w:r w:rsidDel="00000000" w:rsidR="00000000" w:rsidRPr="00000000">
        <w:rPr>
          <w:rtl w:val="0"/>
        </w:rPr>
        <w:t xml:space="preserve">; el BCP, por su parte, reporta que su voicebot redujo la tasa de abandono de llamadas de aproximadamente 50 % a menos de 10 % y el tiempo de respuesta de dos minutos a menos de quince segundos, aunque circunscrito a consultas informativas, con una segunda fase transaccional aún pendiente </w:t>
      </w:r>
      <w:r w:rsidDel="00000000" w:rsidR="00000000" w:rsidRPr="00000000">
        <w:rPr>
          <w:i w:val="1"/>
          <w:iCs w:val="1"/>
          <w:rtl w:val="0"/>
        </w:rPr>
        <w:t xml:space="preserve">(Mestanza Arquiñigo, 2024)</w:t>
      </w:r>
      <w:r w:rsidDel="00000000" w:rsidR="00000000" w:rsidRPr="00000000">
        <w:rPr>
          <w:rtl w:val="0"/>
        </w:rPr>
        <w:t xml:space="preserve">. A escala global, la tendencia no se limita a agentes bancarios transaccionales: en setiembre de 2026, Revolut lanzó en España y el resto de Europa un asistente conversacional de IA (Air) capaz de gestionar gastos, suscripciones, inversiones y beneficios de fidelización dentro de una misma conversación </w:t>
      </w:r>
      <w:r w:rsidDel="00000000" w:rsidR="00000000" w:rsidRPr="00000000">
        <w:rPr>
          <w:i w:val="1"/>
          <w:iCs w:val="1"/>
          <w:rtl w:val="0"/>
        </w:rPr>
        <w:t xml:space="preserve">(Europa Press, 2026)</w:t>
      </w:r>
      <w:r w:rsidDel="00000000" w:rsidR="00000000" w:rsidRPr="00000000">
        <w:rPr>
          <w:rtl w:val="0"/>
        </w:rPr>
        <w:t xml:space="preserve">, lo que confirma que el mercado se desplaza hacia agentes de alcance amplio dentro de la experiencia financiera del usuario y no solo hacia bots de consulta puntual.</w:t>
      </w:r>
    </w:p>
    <w:p w:rsidR="00000000" w:rsidDel="00000000" w:rsidP="00000000" w:rsidRDefault="00000000" w:rsidRPr="00000000" w14:paraId="0000004B">
      <w:pPr>
        <w:spacing w:after="200" w:before="0" w:line="360" w:lineRule="auto"/>
        <w:jc w:val="both"/>
        <w:rPr/>
      </w:pPr>
      <w:r w:rsidDel="00000000" w:rsidR="00000000" w:rsidRPr="00000000">
        <w:rPr>
          <w:b w:val="1"/>
          <w:bCs w:val="1"/>
          <w:rtl w:val="0"/>
        </w:rPr>
        <w:t xml:space="preserve">Por qué es océano azul y no una imitación.</w:t>
      </w:r>
      <w:r w:rsidDel="00000000" w:rsidR="00000000" w:rsidRPr="00000000">
        <w:rPr>
          <w:rtl w:val="0"/>
        </w:rPr>
        <w:t xml:space="preserve"> Que Mibanco y el BCP ya operen agentes conversacionales confirma que el canal conversacional en sí mismo es hoy un atributo de océano rojo: todo banco relevante del sistema se moverá hacia él. Lo que no aparece en la oferta pública de los competidores revisados es la contratación digital para los perfiles que hoy quedan fuera. Interbank indica que los titulares de carné de extranjería o de Permiso Temporal de Permanencia deben acudir a sus tiendas para obtener la tarjeta digital (Interbank, s. f.). Yape exige a quien se registra con carné de extranjería o pasaporte contar con una tarjeta de débito BCP (Yape, s. f.). Scotiabank solo permite abrir su Cuenta Kids en agencia y con el acompañamiento del tutor (Scotiabank Perú, s. f.). Resolver esos perfiles sin derivación presencial es el atributo puntual que esta hipótesis propone crear. Es también lo que convierte una función ya comoditizada, conversar con un agente, en una ventaja específica y medible sobre la parte del 67 % de aperturas de cuenta que hoy requiere asistencia. La revisión no abarcó a todas las entidades del sistema, por lo que esta afirmación se limita a los competidores citados. </w:t>
      </w:r>
    </w:p>
    <w:p w:rsidR="00000000" w:rsidDel="00000000" w:rsidP="00000000" w:rsidRDefault="00000000" w:rsidRPr="00000000" w14:paraId="0000004C">
      <w:pPr>
        <w:spacing w:after="200" w:before="0" w:line="360" w:lineRule="auto"/>
        <w:jc w:val="both"/>
        <w:rPr/>
      </w:pPr>
      <w:r w:rsidDel="00000000" w:rsidR="00000000" w:rsidRPr="00000000">
        <w:rPr>
          <w:b w:val="1"/>
          <w:bCs w:val="1"/>
          <w:rtl w:val="0"/>
        </w:rPr>
        <w:t xml:space="preserve">Vínculo con el catálogo de servicios de TI.</w:t>
      </w:r>
      <w:r w:rsidDel="00000000" w:rsidR="00000000" w:rsidRPr="00000000">
        <w:rPr>
          <w:rtl w:val="0"/>
        </w:rPr>
        <w:t xml:space="preserve"> Bajo el marco de capacidades de negocio y servicios de TI trabajado en el curso, el proceso "Contratación de productos por canal digital", que el equipo prioriza a partir de esta entrega, puede modelarse como la capacidad de negocio en la que se manifiesta el dolor DC3. Por ello, el agente conversacional propuesto debe registrarse como un servicio de TI explícito y no como una funcionalidad aislada. Eso implica un dueño de servicio definido, un nivel de disponibilidad comprometido y un lugar propio dentro del catálogo de servicios de BBVA Perú, en línea con la práctica de gestión del catálogo de servicios de ITIL 4. </w:t>
      </w:r>
    </w:p>
    <w:p w:rsidR="00000000" w:rsidDel="00000000" w:rsidP="00000000" w:rsidRDefault="00000000" w:rsidRPr="00000000" w14:paraId="0000004D">
      <w:pPr>
        <w:spacing w:after="0" w:before="200" w:line="240" w:lineRule="auto"/>
        <w:rPr/>
      </w:pPr>
      <w:r w:rsidDel="00000000" w:rsidR="00000000" w:rsidRPr="00000000">
        <w:rPr>
          <w:b w:val="1"/>
          <w:bCs w:val="1"/>
          <w:rtl w:val="0"/>
        </w:rPr>
        <w:t xml:space="preserve">Tabla 29</w:t>
      </w:r>
      <w:r w:rsidDel="00000000" w:rsidR="00000000" w:rsidRPr="00000000">
        <w:rPr>
          <w:rtl w:val="0"/>
        </w:rPr>
      </w:r>
    </w:p>
    <w:p w:rsidR="00000000" w:rsidDel="00000000" w:rsidP="00000000" w:rsidRDefault="00000000" w:rsidRPr="00000000" w14:paraId="0000004E">
      <w:pPr>
        <w:spacing w:after="120" w:before="0" w:line="240" w:lineRule="auto"/>
        <w:rPr/>
      </w:pPr>
      <w:r w:rsidDel="00000000" w:rsidR="00000000" w:rsidRPr="00000000">
        <w:rPr>
          <w:i w:val="1"/>
          <w:iCs w:val="1"/>
          <w:rtl w:val="0"/>
        </w:rPr>
        <w:t xml:space="preserve">Matriz ERRC: agente de verificación progresiva en la contratación digital</w:t>
      </w:r>
      <w:r w:rsidDel="00000000" w:rsidR="00000000" w:rsidRPr="00000000">
        <w:rPr>
          <w:rtl w:val="0"/>
        </w:rPr>
      </w:r>
    </w:p>
    <w:tbl>
      <w:tblPr>
        <w:tblStyle w:val="Table3"/>
        <w:tblW w:w="90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605"/>
        <w:gridCol w:w="7395"/>
        <w:tblGridChange w:id="0">
          <w:tblGrid>
            <w:gridCol w:w="1605"/>
            <w:gridCol w:w="7395"/>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4F">
            <w:pPr>
              <w:spacing w:after="0" w:line="240" w:lineRule="auto"/>
              <w:jc w:val="center"/>
              <w:rPr/>
            </w:pPr>
            <w:r w:rsidDel="00000000" w:rsidR="00000000" w:rsidRPr="00000000">
              <w:rPr>
                <w:b w:val="1"/>
                <w:bCs w:val="1"/>
                <w:color w:val="ffffff"/>
                <w:rtl w:val="0"/>
              </w:rPr>
              <w:t xml:space="preserve">Acción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50">
            <w:pPr>
              <w:spacing w:after="0" w:line="240" w:lineRule="auto"/>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1">
            <w:pPr>
              <w:spacing w:after="0" w:line="240" w:lineRule="auto"/>
              <w:jc w:val="both"/>
              <w:rPr/>
            </w:pPr>
            <w:r w:rsidDel="00000000" w:rsidR="00000000" w:rsidRPr="00000000">
              <w:rPr>
                <w:b w:val="1"/>
                <w:bCs w:val="1"/>
                <w:rtl w:val="0"/>
              </w:rPr>
              <w:t xml:space="preserve">Eliminar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2">
            <w:pPr>
              <w:spacing w:after="0" w:line="240" w:lineRule="auto"/>
              <w:jc w:val="both"/>
              <w:rPr/>
            </w:pPr>
            <w:r w:rsidDel="00000000" w:rsidR="00000000" w:rsidRPr="00000000">
              <w:rPr>
                <w:rtl w:val="0"/>
              </w:rPr>
              <w:t xml:space="preserve">La interrupción total del flujo digital y la derivación obligatoria a oficina física ante perfiles de solicitante no contemplados por la regla de elegibilidad del flujo (menores de edad y solicitantes sin DNI peruano).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3">
            <w:pPr>
              <w:spacing w:after="0" w:line="240" w:lineRule="auto"/>
              <w:jc w:val="both"/>
              <w:rPr/>
            </w:pPr>
            <w:r w:rsidDel="00000000" w:rsidR="00000000" w:rsidRPr="00000000">
              <w:rPr>
                <w:b w:val="1"/>
                <w:bCs w:val="1"/>
                <w:rtl w:val="0"/>
              </w:rPr>
              <w:t xml:space="preserve">Reducir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4">
            <w:pPr>
              <w:spacing w:after="0" w:line="240" w:lineRule="auto"/>
              <w:jc w:val="both"/>
              <w:rPr/>
            </w:pPr>
            <w:r w:rsidDel="00000000" w:rsidR="00000000" w:rsidRPr="00000000">
              <w:rPr>
                <w:rtl w:val="0"/>
              </w:rPr>
              <w:t xml:space="preserve">La proporción de aperturas de cuenta que hoy requieren algún tipo de asistencia (67 %, complemento de la penetración digital de 33 %); los pasos de verificación redundantes para solicitantes con historial previo en el ecosistema BBVA.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5">
            <w:pPr>
              <w:spacing w:after="0" w:line="240" w:lineRule="auto"/>
              <w:jc w:val="both"/>
              <w:rPr/>
            </w:pPr>
            <w:r w:rsidDel="00000000" w:rsidR="00000000" w:rsidRPr="00000000">
              <w:rPr>
                <w:b w:val="1"/>
                <w:bCs w:val="1"/>
                <w:rtl w:val="0"/>
              </w:rPr>
              <w:t xml:space="preserve">Elevar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6">
            <w:pPr>
              <w:spacing w:after="0" w:line="240" w:lineRule="auto"/>
              <w:jc w:val="both"/>
              <w:rPr/>
            </w:pPr>
            <w:r w:rsidDel="00000000" w:rsidR="00000000" w:rsidRPr="00000000">
              <w:rPr>
                <w:rtl w:val="0"/>
              </w:rPr>
              <w:t xml:space="preserve">La cobertura del proceso 100 % digital ya lanzado en 2026, extendiéndolo a los perfiles hoy excluidos dentro del marco normativo aplicable a cada caso, empezando por la cuenta básica que la Resolución SBS N.° 00908-2025 habilita para extranjeros con verificación posterior a la apertura; la trazabilidad del estado de verificación para el solicitante durante el proceso asíncrono.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7">
            <w:pPr>
              <w:spacing w:after="0" w:line="240" w:lineRule="auto"/>
              <w:jc w:val="both"/>
              <w:rPr/>
            </w:pPr>
            <w:r w:rsidDel="00000000" w:rsidR="00000000" w:rsidRPr="00000000">
              <w:rPr>
                <w:b w:val="1"/>
                <w:bCs w:val="1"/>
                <w:rtl w:val="0"/>
              </w:rPr>
              <w:t xml:space="preserve">Crear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8">
            <w:pPr>
              <w:spacing w:after="0" w:line="240" w:lineRule="auto"/>
              <w:jc w:val="both"/>
              <w:rPr/>
            </w:pPr>
            <w:r w:rsidDel="00000000" w:rsidR="00000000" w:rsidRPr="00000000">
              <w:rPr>
                <w:rtl w:val="0"/>
              </w:rPr>
              <w:t xml:space="preserve">Una verificación de identidad progresiva y asíncrona dentro del propio canal conversacional, que no cierra ni deriva la conversación mientras se completa un requisito adicional. Ninguno de los competidores revisados ofrece públicamente este atributo para este tipo de perfiles a la fecha de esta entrega. </w:t>
            </w:r>
          </w:p>
        </w:tc>
      </w:tr>
    </w:tbl>
    <w:p w:rsidR="00000000" w:rsidDel="00000000" w:rsidP="00000000" w:rsidRDefault="00000000" w:rsidRPr="00000000" w14:paraId="00000059">
      <w:pPr>
        <w:spacing w:after="200" w:lineRule="auto"/>
        <w:rPr/>
      </w:pPr>
      <w:r w:rsidDel="00000000" w:rsidR="00000000" w:rsidRPr="00000000">
        <w:rPr>
          <w:rtl w:val="0"/>
        </w:rPr>
        <w:t xml:space="preserve">Nota. Elaboración propia con base en Kim y Mauborgne (2005) y en las fuentes citadas en la sección 5.4.</w:t>
      </w:r>
    </w:p>
    <w:p w:rsidR="00000000" w:rsidDel="00000000" w:rsidP="00000000" w:rsidRDefault="00000000" w:rsidRPr="00000000" w14:paraId="0000005A">
      <w:pPr>
        <w:spacing w:after="200" w:before="0" w:line="360" w:lineRule="auto"/>
        <w:jc w:val="both"/>
        <w:rPr/>
      </w:pPr>
      <w:r w:rsidDel="00000000" w:rsidR="00000000" w:rsidRPr="00000000">
        <w:rPr>
          <w:b w:val="1"/>
          <w:bCs w:val="1"/>
          <w:rtl w:val="0"/>
        </w:rPr>
        <w:t xml:space="preserve">Indicador de éxito esperado.</w:t>
      </w:r>
      <w:r w:rsidDel="00000000" w:rsidR="00000000" w:rsidRPr="00000000">
        <w:rPr>
          <w:rtl w:val="0"/>
        </w:rPr>
        <w:t xml:space="preserve"> Penetración digital en cuentas </w:t>
      </w:r>
      <w:sdt>
        <w:sdtPr>
          <w:id w:val="2140119072"/>
          <w:tag w:val="goog_rdk_1"/>
        </w:sdtPr>
        <w:sdtContent>
          <w:commentRangeStart w:id="1"/>
        </w:sdtContent>
      </w:sdt>
      <w:r w:rsidDel="00000000" w:rsidR="00000000" w:rsidRPr="00000000">
        <w:rPr>
          <w:rtl w:val="0"/>
        </w:rPr>
        <w:t xml:space="preserve">(línea base 33 %, meta 55 % en dieciocho meses)</w:t>
      </w:r>
      <w:commentRangeEnd w:id="1"/>
      <w:r w:rsidDel="00000000" w:rsidR="00000000" w:rsidRPr="00000000">
        <w:commentReference w:id="1"/>
      </w:r>
      <w:r w:rsidDel="00000000" w:rsidR="00000000" w:rsidRPr="00000000">
        <w:rPr>
          <w:rtl w:val="0"/>
        </w:rPr>
        <w:t xml:space="preserve"> y tasa de derivación a canal asistido, hoy sin línea base pública y que el propio agente permitiría instrumentar por primera vez, conforme a la Tabla 25 del Entregable 2. La meta de 55 % es una propuesta del equipo pendiente de validación con la entidad. Como referencia de factibilidad, el Grupo BBVA incorporó en 2025 el 66 % de sus nuevos clientes por canales digitales (BBVA, 2026c); esa cifra mide captación de clientes y no ventas de cuentas, por lo que no es directamente comparable con la penetración digital en cuentas de BBVA Perú, pero muestra que niveles superiores a 55 % ya se alcanzan dentro del grupo.</w:t>
      </w:r>
    </w:p>
    <w:p w:rsidR="00000000" w:rsidDel="00000000" w:rsidP="00000000" w:rsidRDefault="00000000" w:rsidRPr="00000000" w14:paraId="0000005B">
      <w:pPr>
        <w:pStyle w:val="Heading2"/>
        <w:spacing w:after="160" w:before="260" w:line="360" w:lineRule="auto"/>
        <w:rPr>
          <w:sz w:val="22"/>
          <w:szCs w:val="22"/>
        </w:rPr>
      </w:pPr>
      <w:r w:rsidDel="00000000" w:rsidR="00000000" w:rsidRPr="00000000">
        <w:rPr>
          <w:b w:val="1"/>
          <w:bCs w:val="1"/>
          <w:color w:val="1f3864"/>
          <w:sz w:val="22"/>
          <w:szCs w:val="22"/>
          <w:rtl w:val="0"/>
        </w:rPr>
        <w:t xml:space="preserve">5.5. Síntesis de las hipótesis de iniciativa</w:t>
      </w:r>
      <w:r w:rsidDel="00000000" w:rsidR="00000000" w:rsidRPr="00000000">
        <w:rPr>
          <w:rtl w:val="0"/>
        </w:rPr>
      </w:r>
    </w:p>
    <w:p w:rsidR="00000000" w:rsidDel="00000000" w:rsidP="00000000" w:rsidRDefault="00000000" w:rsidRPr="00000000" w14:paraId="0000005C">
      <w:pPr>
        <w:spacing w:after="200" w:before="0" w:line="360" w:lineRule="auto"/>
        <w:jc w:val="both"/>
        <w:rPr/>
      </w:pPr>
      <w:r w:rsidDel="00000000" w:rsidR="00000000" w:rsidRPr="00000000">
        <w:rPr>
          <w:rtl w:val="0"/>
        </w:rPr>
        <w:t xml:space="preserve">La Tabla 30 sintetiza las tres hipótesis, su vínculo con los objetivos estratégicos ya establecidos en la Tabla 22 del Entregable 2 y la tecnología habilitante propuesta en cada caso.</w:t>
      </w:r>
    </w:p>
    <w:p w:rsidR="00000000" w:rsidDel="00000000" w:rsidP="00000000" w:rsidRDefault="00000000" w:rsidRPr="00000000" w14:paraId="0000005D">
      <w:pPr>
        <w:spacing w:after="0" w:before="200" w:line="240" w:lineRule="auto"/>
        <w:rPr/>
      </w:pPr>
      <w:r w:rsidDel="00000000" w:rsidR="00000000" w:rsidRPr="00000000">
        <w:rPr>
          <w:b w:val="1"/>
          <w:bCs w:val="1"/>
          <w:rtl w:val="0"/>
        </w:rPr>
        <w:t xml:space="preserve">Tabla 30</w:t>
      </w:r>
      <w:r w:rsidDel="00000000" w:rsidR="00000000" w:rsidRPr="00000000">
        <w:rPr>
          <w:rtl w:val="0"/>
        </w:rPr>
      </w:r>
    </w:p>
    <w:p w:rsidR="00000000" w:rsidDel="00000000" w:rsidP="00000000" w:rsidRDefault="00000000" w:rsidRPr="00000000" w14:paraId="0000005E">
      <w:pPr>
        <w:spacing w:after="120" w:before="0" w:line="240" w:lineRule="auto"/>
        <w:rPr/>
      </w:pPr>
      <w:r w:rsidDel="00000000" w:rsidR="00000000" w:rsidRPr="00000000">
        <w:rPr>
          <w:i w:val="1"/>
          <w:iCs w:val="1"/>
          <w:rtl w:val="0"/>
        </w:rPr>
        <w:t xml:space="preserve">Síntesis de hipótesis de iniciativa y su alineamiento estratégico</w:t>
      </w:r>
      <w:r w:rsidDel="00000000" w:rsidR="00000000" w:rsidRPr="00000000">
        <w:rPr>
          <w:rtl w:val="0"/>
        </w:rPr>
      </w:r>
    </w:p>
    <w:tbl>
      <w:tblPr>
        <w:tblStyle w:val="Table4"/>
        <w:tblW w:w="901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005"/>
        <w:gridCol w:w="2835"/>
        <w:gridCol w:w="3660"/>
        <w:gridCol w:w="1515"/>
        <w:tblGridChange w:id="0">
          <w:tblGrid>
            <w:gridCol w:w="1005"/>
            <w:gridCol w:w="2835"/>
            <w:gridCol w:w="3660"/>
            <w:gridCol w:w="1515"/>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5F">
            <w:pPr>
              <w:spacing w:after="0" w:line="240" w:lineRule="auto"/>
              <w:jc w:val="center"/>
              <w:rPr/>
            </w:pPr>
            <w:r w:rsidDel="00000000" w:rsidR="00000000" w:rsidRPr="00000000">
              <w:rPr>
                <w:b w:val="1"/>
                <w:bCs w:val="1"/>
                <w:color w:val="ffffff"/>
                <w:rtl w:val="0"/>
              </w:rPr>
              <w:t xml:space="preserve">Dolor crítico</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60">
            <w:pPr>
              <w:spacing w:after="0" w:line="240" w:lineRule="auto"/>
              <w:jc w:val="center"/>
              <w:rPr/>
            </w:pPr>
            <w:r w:rsidDel="00000000" w:rsidR="00000000" w:rsidRPr="00000000">
              <w:rPr>
                <w:b w:val="1"/>
                <w:bCs w:val="1"/>
                <w:color w:val="ffffff"/>
                <w:rtl w:val="0"/>
              </w:rPr>
              <w:t xml:space="preserve">Hipótesis de iniciativa</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61">
            <w:pPr>
              <w:spacing w:after="0" w:line="240" w:lineRule="auto"/>
              <w:jc w:val="center"/>
              <w:rPr/>
            </w:pPr>
            <w:r w:rsidDel="00000000" w:rsidR="00000000" w:rsidRPr="00000000">
              <w:rPr>
                <w:b w:val="1"/>
                <w:bCs w:val="1"/>
                <w:color w:val="ffffff"/>
                <w:rtl w:val="0"/>
              </w:rPr>
              <w:t xml:space="preserve">Tecnología habilitante</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62">
            <w:pPr>
              <w:spacing w:after="0" w:line="240" w:lineRule="auto"/>
              <w:jc w:val="center"/>
              <w:rPr/>
            </w:pPr>
            <w:sdt>
              <w:sdtPr>
                <w:id w:val="1572516521"/>
                <w:tag w:val="goog_rdk_2"/>
              </w:sdtPr>
              <w:sdtContent>
                <w:commentRangeStart w:id="2"/>
              </w:sdtContent>
            </w:sdt>
            <w:r w:rsidDel="00000000" w:rsidR="00000000" w:rsidRPr="00000000">
              <w:rPr>
                <w:b w:val="1"/>
                <w:bCs w:val="1"/>
                <w:color w:val="ffffff"/>
                <w:rtl w:val="0"/>
              </w:rPr>
              <w:t xml:space="preserve">Objetivos estratégicos vinculados</w:t>
            </w:r>
            <w:commentRangeEnd w:id="2"/>
            <w:r w:rsidDel="00000000" w:rsidR="00000000" w:rsidRPr="00000000">
              <w:commentReference w:id="2"/>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3">
            <w:pPr>
              <w:spacing w:after="0" w:line="240" w:lineRule="auto"/>
              <w:jc w:val="both"/>
              <w:rPr/>
            </w:pPr>
            <w:r w:rsidDel="00000000" w:rsidR="00000000" w:rsidRPr="00000000">
              <w:rPr>
                <w:rtl w:val="0"/>
              </w:rPr>
              <w:t xml:space="preserve">DC1</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4">
            <w:pPr>
              <w:spacing w:after="0" w:line="240" w:lineRule="auto"/>
              <w:jc w:val="both"/>
              <w:rPr/>
            </w:pPr>
            <w:r w:rsidDel="00000000" w:rsidR="00000000" w:rsidRPr="00000000">
              <w:rPr>
                <w:rtl w:val="0"/>
              </w:rPr>
              <w:t xml:space="preserve">Agente de precalificación y acompañamiento conversacional del crédito Pyme</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5">
            <w:pPr>
              <w:spacing w:after="0" w:line="240" w:lineRule="auto"/>
              <w:jc w:val="both"/>
              <w:rPr/>
            </w:pPr>
            <w:r w:rsidDel="00000000" w:rsidR="00000000" w:rsidRPr="00000000">
              <w:rPr>
                <w:rtl w:val="0"/>
              </w:rPr>
              <w:t xml:space="preserve">Agente de IA sobre datos transaccionales propios (procesamiento de lenguaje natural + analítica del ecosistema BBVA)</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6">
            <w:pPr>
              <w:spacing w:after="0" w:line="240" w:lineRule="auto"/>
              <w:jc w:val="both"/>
              <w:rPr/>
            </w:pPr>
            <w:r w:rsidDel="00000000" w:rsidR="00000000" w:rsidRPr="00000000">
              <w:rPr>
                <w:rtl w:val="0"/>
              </w:rPr>
              <w:t xml:space="preserve">OE3, OE4, OE5</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7">
            <w:pPr>
              <w:spacing w:after="0" w:line="240" w:lineRule="auto"/>
              <w:jc w:val="both"/>
              <w:rPr/>
            </w:pPr>
            <w:r w:rsidDel="00000000" w:rsidR="00000000" w:rsidRPr="00000000">
              <w:rPr>
                <w:rtl w:val="0"/>
              </w:rPr>
              <w:t xml:space="preserve">DC2</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8">
            <w:pPr>
              <w:spacing w:after="0" w:line="240" w:lineRule="auto"/>
              <w:jc w:val="both"/>
              <w:rPr/>
            </w:pPr>
            <w:r w:rsidDel="00000000" w:rsidR="00000000" w:rsidRPr="00000000">
              <w:rPr>
                <w:rtl w:val="0"/>
              </w:rPr>
              <w:t xml:space="preserve">Extensión de Blue Buddy a agente de investigación de casos de reclamos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9">
            <w:pPr>
              <w:spacing w:after="0" w:line="240" w:lineRule="auto"/>
              <w:jc w:val="both"/>
              <w:rPr/>
            </w:pPr>
            <w:r w:rsidDel="00000000" w:rsidR="00000000" w:rsidRPr="00000000">
              <w:rPr>
                <w:rtl w:val="0"/>
              </w:rPr>
              <w:t xml:space="preserve">Agente de IA de orquestación multisistema con recomendación explicable y validación humana</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A">
            <w:pPr>
              <w:spacing w:after="0" w:line="240" w:lineRule="auto"/>
              <w:jc w:val="both"/>
              <w:rPr/>
            </w:pPr>
            <w:r w:rsidDel="00000000" w:rsidR="00000000" w:rsidRPr="00000000">
              <w:rPr>
                <w:rtl w:val="0"/>
              </w:rPr>
              <w:t xml:space="preserve">OE1, OE5, OE6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B">
            <w:pPr>
              <w:spacing w:after="0" w:line="240" w:lineRule="auto"/>
              <w:jc w:val="both"/>
              <w:rPr/>
            </w:pPr>
            <w:r w:rsidDel="00000000" w:rsidR="00000000" w:rsidRPr="00000000">
              <w:rPr>
                <w:rtl w:val="0"/>
              </w:rPr>
              <w:t xml:space="preserve">DC3 (priorizado)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C">
            <w:pPr>
              <w:spacing w:after="0" w:line="240" w:lineRule="auto"/>
              <w:jc w:val="both"/>
              <w:rPr/>
            </w:pPr>
            <w:r w:rsidDel="00000000" w:rsidR="00000000" w:rsidRPr="00000000">
              <w:rPr>
                <w:rtl w:val="0"/>
              </w:rPr>
              <w:t xml:space="preserve">Agente conversacional con verificación de identidad progresiva y asíncrona</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D">
            <w:pPr>
              <w:spacing w:after="0" w:line="240" w:lineRule="auto"/>
              <w:jc w:val="both"/>
              <w:rPr/>
            </w:pPr>
            <w:r w:rsidDel="00000000" w:rsidR="00000000" w:rsidRPr="00000000">
              <w:rPr>
                <w:rtl w:val="0"/>
              </w:rPr>
              <w:t xml:space="preserve">Agente de IA conversacional integrado al flujo 100 % digital ya desplegado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E">
            <w:pPr>
              <w:spacing w:after="0" w:line="240" w:lineRule="auto"/>
              <w:jc w:val="both"/>
              <w:rPr/>
            </w:pPr>
            <w:r w:rsidDel="00000000" w:rsidR="00000000" w:rsidRPr="00000000">
              <w:rPr>
                <w:rtl w:val="0"/>
              </w:rPr>
              <w:t xml:space="preserve">OE1, OE4, OE5</w:t>
            </w:r>
          </w:p>
        </w:tc>
      </w:tr>
    </w:tbl>
    <w:p w:rsidR="00000000" w:rsidDel="00000000" w:rsidP="00000000" w:rsidRDefault="00000000" w:rsidRPr="00000000" w14:paraId="0000006F">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 Tabla 22 del Entregable 2 y en las hipótesis desarrolladas en las secciones 5.2 a 5.4.</w:t>
      </w:r>
    </w:p>
    <w:p w:rsidR="00000000" w:rsidDel="00000000" w:rsidP="00000000" w:rsidRDefault="00000000" w:rsidRPr="00000000" w14:paraId="00000070">
      <w:pPr>
        <w:spacing w:after="220" w:before="60" w:line="360" w:lineRule="auto"/>
        <w:jc w:val="both"/>
        <w:rPr/>
      </w:pPr>
      <w:r w:rsidDel="00000000" w:rsidR="00000000" w:rsidRPr="00000000">
        <w:rPr>
          <w:b w:val="1"/>
          <w:bCs w:val="1"/>
          <w:rtl w:val="0"/>
        </w:rPr>
        <w:t xml:space="preserve">Cobertura del OE2.</w:t>
      </w:r>
      <w:r w:rsidDel="00000000" w:rsidR="00000000" w:rsidRPr="00000000">
        <w:rPr>
          <w:rtl w:val="0"/>
        </w:rPr>
        <w:t xml:space="preserve"> Ninguna de las tres hipótesis se vincula de forma directa con el OE2 (Impulsar la sostenibilidad como motor de crecimiento), y la ausencia es deliberada. Los indicadores que la Tabla 10 del Entregable 1 asigna a ese objetivo (negocio sostenible movilizado, cartera elegible, tiempo de evaluación y calidad del dato ESG) no se modifican con ninguna de las iniciativas propuestas, por lo que declarar un vínculo directo introduciría una trazabilidad que no podría medirse. Sí existe una contribución indirecta en la dimensión social de la sostenibilidad: dentro del crecimiento inclusivo, BBVA Perú prioriza la línea de empoderamiento económico, que comprende la generación de empleo y el fortalecimiento del emprendimiento y la bancarización (Banco BBVA Perú, 2026a, p. 10). A ella aportarían la hipótesis del DC1, al ampliar el acceso a crédito de microempresas que hoy no cuentan con una oferta preaprobada, y la del DC3, al permitir la contratación digital a perfiles que hoy quedan fuera del flujo. Esa contribución se reportará como beneficio complementario en el business case, sin convertirla en indicador de éxito de las iniciativas.</w:t>
      </w:r>
    </w:p>
    <w:p w:rsidR="00000000" w:rsidDel="00000000" w:rsidP="00000000" w:rsidRDefault="00000000" w:rsidRPr="00000000" w14:paraId="00000071">
      <w:pPr>
        <w:spacing w:after="200" w:before="0" w:line="360" w:lineRule="auto"/>
        <w:jc w:val="both"/>
        <w:rPr/>
      </w:pPr>
      <w:r w:rsidDel="00000000" w:rsidR="00000000" w:rsidRPr="00000000">
        <w:rPr>
          <w:b w:val="1"/>
          <w:bCs w:val="1"/>
          <w:rtl w:val="0"/>
        </w:rPr>
        <w:t xml:space="preserve">Priorización para las siguientes entregas.</w:t>
      </w:r>
      <w:r w:rsidDel="00000000" w:rsidR="00000000" w:rsidRPr="00000000">
        <w:rPr>
          <w:rtl w:val="0"/>
        </w:rPr>
        <w:t xml:space="preserve"> Conforme a lo señalado en la sección 5.1, aunque las tres hipótesis de la Tabla 30 se desarrollan en este entregable con el mismo nivel de rigor, el equipo prioriza a partir de esta entrega el desarrollo de la iniciativa vinculada a DC3, en tanto la contratación de productos por canal digital ha sido seleccionada como el proceso de negocio ancla del proyecto. Las hipótesis de DC1 y DC2 permanecen vigentes como parte del alcance ya sustentado en este documento.</w:t>
      </w:r>
    </w:p>
    <w:p w:rsidR="00000000" w:rsidDel="00000000" w:rsidP="00000000" w:rsidRDefault="00000000" w:rsidRPr="00000000" w14:paraId="00000072">
      <w:pPr>
        <w:spacing w:after="200" w:before="0" w:line="360" w:lineRule="auto"/>
        <w:jc w:val="both"/>
        <w:rPr/>
      </w:pPr>
      <w:r w:rsidDel="00000000" w:rsidR="00000000" w:rsidRPr="00000000">
        <w:rPr>
          <w:rtl w:val="0"/>
        </w:rPr>
        <w:t xml:space="preserve">Las tres hipótesis comparten un mismo principio de diseño: ninguna reemplaza la decisión humana en el punto donde la regulación o el riesgo reputacional lo exige (la aprobación crediticia final, la procedencia del reclamo y la validación de identidad de un menor de edad), sino que reduce el trabajo manual previo a esa decisión. Esta arquitectura responde, en primer lugar, al principio de supervisión humana del Reglamento de la Ley N.° 31814, según el cual la intervención humana debe poder corregir, modificar o detener el funcionamiento de los sistemas de IA (art. 7, literal h). En los sistemas de riesgo alto del sector financiero, esa supervisión debe recaer en personal capacitado para invalidar sus decisiones (art. 31.4) (Decreto Supremo N.° 115-2025-PCM, 2025). Responde también a la necesidad de que la iniciativa resulte defendible ante el jurado y, eventualmente, ante el propio banco.</w:t>
      </w:r>
    </w:p>
    <w:p w:rsidR="00000000" w:rsidDel="00000000" w:rsidP="00000000" w:rsidRDefault="00000000" w:rsidRPr="00000000" w14:paraId="00000073">
      <w:pPr>
        <w:pStyle w:val="Heading1"/>
        <w:spacing w:after="200" w:before="320" w:line="360" w:lineRule="auto"/>
        <w:rPr>
          <w:sz w:val="22"/>
          <w:szCs w:val="22"/>
        </w:rPr>
      </w:pPr>
      <w:r w:rsidDel="00000000" w:rsidR="00000000" w:rsidRPr="00000000">
        <w:rPr>
          <w:b w:val="1"/>
          <w:bCs w:val="1"/>
          <w:color w:val="1f3864"/>
          <w:sz w:val="22"/>
          <w:szCs w:val="22"/>
          <w:rtl w:val="0"/>
        </w:rPr>
        <w:t xml:space="preserve">6. Descripción detallada de los puntos de dolor As Is</w:t>
      </w:r>
      <w:r w:rsidDel="00000000" w:rsidR="00000000" w:rsidRPr="00000000">
        <w:rPr>
          <w:rtl w:val="0"/>
        </w:rPr>
      </w:r>
    </w:p>
    <w:p w:rsidR="00000000" w:rsidDel="00000000" w:rsidP="00000000" w:rsidRDefault="00000000" w:rsidRPr="00000000" w14:paraId="00000074">
      <w:pPr>
        <w:spacing w:after="200" w:before="0" w:line="360" w:lineRule="auto"/>
        <w:jc w:val="both"/>
        <w:rPr/>
      </w:pPr>
      <w:r w:rsidDel="00000000" w:rsidR="00000000" w:rsidRPr="00000000">
        <w:rPr>
          <w:rtl w:val="0"/>
        </w:rPr>
        <w:t xml:space="preserve">Esta sección describe, para cada uno de los tres dolores críticos, la situación As Is del proceso: actores involucrados, sistemas utilizados, canales de atención, actividades manuales, tiempos promedio, errores frecuentes, costos asociados e indicadores actuales. La descripción reutiliza la evidencia ya consignada en los mapas de las secciones 3.3 a 3.5 y en las Tablas 23 a 25 del Entregable 2; no se introduce ninguna cifra nueva sin fuente. Donde el equipo no encontró una fuente pública, el campo se marca de forma explícita como </w:t>
      </w:r>
      <w:r w:rsidDel="00000000" w:rsidR="00000000" w:rsidRPr="00000000">
        <w:rPr>
          <w:i w:val="1"/>
          <w:iCs w:val="1"/>
          <w:rtl w:val="0"/>
        </w:rPr>
        <w:t xml:space="preserve">NO HAY FUENTES EN INTERNET DISPONIBLES</w:t>
      </w:r>
      <w:r w:rsidDel="00000000" w:rsidR="00000000" w:rsidRPr="00000000">
        <w:rPr>
          <w:rtl w:val="0"/>
        </w:rPr>
        <w:t xml:space="preserve">, conforme al criterio de evidencia declarado en la sección 3.1.</w:t>
      </w:r>
    </w:p>
    <w:p w:rsidR="00000000" w:rsidDel="00000000" w:rsidP="00000000" w:rsidRDefault="00000000" w:rsidRPr="00000000" w14:paraId="00000075">
      <w:pPr>
        <w:pStyle w:val="Heading2"/>
        <w:spacing w:after="160" w:before="260" w:line="360" w:lineRule="auto"/>
        <w:rPr>
          <w:sz w:val="22"/>
          <w:szCs w:val="22"/>
        </w:rPr>
      </w:pPr>
      <w:r w:rsidDel="00000000" w:rsidR="00000000" w:rsidRPr="00000000">
        <w:rPr>
          <w:b w:val="1"/>
          <w:bCs w:val="1"/>
          <w:color w:val="1f3864"/>
          <w:sz w:val="22"/>
          <w:szCs w:val="22"/>
          <w:rtl w:val="0"/>
        </w:rPr>
        <w:t xml:space="preserve">6.1. Descripción As Is del dolor crítico DC1: originación de crédito Pyme</w:t>
      </w:r>
      <w:r w:rsidDel="00000000" w:rsidR="00000000" w:rsidRPr="00000000">
        <w:rPr>
          <w:rtl w:val="0"/>
        </w:rPr>
      </w:r>
    </w:p>
    <w:p w:rsidR="00000000" w:rsidDel="00000000" w:rsidP="00000000" w:rsidRDefault="00000000" w:rsidRPr="00000000" w14:paraId="00000076">
      <w:pPr>
        <w:spacing w:after="0" w:before="200" w:line="240" w:lineRule="auto"/>
        <w:rPr/>
      </w:pPr>
      <w:r w:rsidDel="00000000" w:rsidR="00000000" w:rsidRPr="00000000">
        <w:rPr>
          <w:b w:val="1"/>
          <w:bCs w:val="1"/>
          <w:rtl w:val="0"/>
        </w:rPr>
        <w:t xml:space="preserve">Tabla 31</w:t>
      </w:r>
      <w:r w:rsidDel="00000000" w:rsidR="00000000" w:rsidRPr="00000000">
        <w:rPr>
          <w:rtl w:val="0"/>
        </w:rPr>
      </w:r>
    </w:p>
    <w:p w:rsidR="00000000" w:rsidDel="00000000" w:rsidP="00000000" w:rsidRDefault="00000000" w:rsidRPr="00000000" w14:paraId="00000077">
      <w:pPr>
        <w:spacing w:after="120" w:before="0" w:line="240" w:lineRule="auto"/>
        <w:rPr/>
      </w:pPr>
      <w:r w:rsidDel="00000000" w:rsidR="00000000" w:rsidRPr="00000000">
        <w:rPr>
          <w:i w:val="1"/>
          <w:iCs w:val="1"/>
          <w:rtl w:val="0"/>
        </w:rPr>
        <w:t xml:space="preserve">Descripción As Is del DC1</w:t>
      </w:r>
      <w:r w:rsidDel="00000000" w:rsidR="00000000" w:rsidRPr="00000000">
        <w:rPr>
          <w:rtl w:val="0"/>
        </w:rPr>
      </w:r>
    </w:p>
    <w:tbl>
      <w:tblPr>
        <w:tblStyle w:val="Table5"/>
        <w:tblW w:w="904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295"/>
        <w:gridCol w:w="6750"/>
        <w:tblGridChange w:id="0">
          <w:tblGrid>
            <w:gridCol w:w="2295"/>
            <w:gridCol w:w="675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78">
            <w:pPr>
              <w:spacing w:after="0" w:line="240" w:lineRule="auto"/>
              <w:jc w:val="center"/>
              <w:rPr/>
            </w:pPr>
            <w:r w:rsidDel="00000000" w:rsidR="00000000" w:rsidRPr="00000000">
              <w:rPr>
                <w:b w:val="1"/>
                <w:bCs w:val="1"/>
                <w:color w:val="ffffff"/>
                <w:rtl w:val="0"/>
              </w:rPr>
              <w:t xml:space="preserve">Dimensión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79">
            <w:pPr>
              <w:spacing w:after="0" w:line="240" w:lineRule="auto"/>
              <w:jc w:val="center"/>
              <w:rPr/>
            </w:pPr>
            <w:r w:rsidDel="00000000" w:rsidR="00000000" w:rsidRPr="00000000">
              <w:rPr>
                <w:b w:val="1"/>
                <w:bCs w:val="1"/>
                <w:color w:val="ffffff"/>
                <w:rtl w:val="0"/>
              </w:rPr>
              <w:t xml:space="preserve">Situación As Is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A">
            <w:pPr>
              <w:spacing w:after="0" w:line="240" w:lineRule="auto"/>
              <w:jc w:val="both"/>
              <w:rPr/>
            </w:pPr>
            <w:r w:rsidDel="00000000" w:rsidR="00000000" w:rsidRPr="00000000">
              <w:rPr>
                <w:rtl w:val="0"/>
              </w:rPr>
              <w:t xml:space="preserve">Actores involucrados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B">
            <w:pPr>
              <w:spacing w:after="0" w:line="240" w:lineRule="auto"/>
              <w:jc w:val="both"/>
              <w:rPr/>
            </w:pPr>
            <w:r w:rsidDel="00000000" w:rsidR="00000000" w:rsidRPr="00000000">
              <w:rPr>
                <w:rtl w:val="0"/>
              </w:rPr>
              <w:t xml:space="preserve">Empresario Pyme (persona natural con negocio o persona jurídica); apoderados y avalistas; Ejecutivo Banca Negocios (ruta asistida); motor de decisión y analista de riesgo; personal de formalización. Tabla 15 ; Banco BBVA Perú (s. f.-k).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C">
            <w:pPr>
              <w:spacing w:after="0" w:line="240" w:lineRule="auto"/>
              <w:jc w:val="both"/>
              <w:rPr/>
            </w:pPr>
            <w:r w:rsidDel="00000000" w:rsidR="00000000" w:rsidRPr="00000000">
              <w:rPr>
                <w:rtl w:val="0"/>
              </w:rPr>
              <w:t xml:space="preserve">Sistemas utilizados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D">
            <w:pPr>
              <w:spacing w:after="0" w:line="240" w:lineRule="auto"/>
              <w:jc w:val="both"/>
              <w:rPr/>
            </w:pPr>
            <w:r w:rsidDel="00000000" w:rsidR="00000000" w:rsidRPr="00000000">
              <w:rPr>
                <w:rtl w:val="0"/>
              </w:rPr>
              <w:t xml:space="preserve">Perfil Mi Negocio (App BBVA), App BBVA Empresas 2.0 y BBVA Net Cash; motor de decisión y ofertas preaprobadas; centrales de riesgo; plataforma ADA; Openpay, QR Empresas y POS. Tabla 15; Banco BBVA Perú (s. f.-b, s. f.-c, s. f.-g).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E">
            <w:pPr>
              <w:spacing w:after="0" w:line="240" w:lineRule="auto"/>
              <w:jc w:val="both"/>
              <w:rPr/>
            </w:pPr>
            <w:r w:rsidDel="00000000" w:rsidR="00000000" w:rsidRPr="00000000">
              <w:rPr>
                <w:rtl w:val="0"/>
              </w:rPr>
              <w:t xml:space="preserve">Canales de atención</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F">
            <w:pPr>
              <w:spacing w:after="0" w:line="240" w:lineRule="auto"/>
              <w:jc w:val="both"/>
              <w:rPr/>
            </w:pPr>
            <w:r w:rsidDel="00000000" w:rsidR="00000000" w:rsidRPr="00000000">
              <w:rPr>
                <w:rtl w:val="0"/>
              </w:rPr>
              <w:t xml:space="preserve">Digital (App BBVA, App BBVA Empresas 2.0, Net Cash), solo con oferta pre aprobada; asistido (oficina); telefónico (Línea Negocios). Tabla 15; Banco BBVA Perú (s. f.-e, s. f.-k).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0">
            <w:pPr>
              <w:spacing w:after="0" w:line="240" w:lineRule="auto"/>
              <w:jc w:val="both"/>
              <w:rPr/>
            </w:pPr>
            <w:r w:rsidDel="00000000" w:rsidR="00000000" w:rsidRPr="00000000">
              <w:rPr>
                <w:rtl w:val="0"/>
              </w:rPr>
              <w:t xml:space="preserve">Actividades manuales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1">
            <w:pPr>
              <w:spacing w:after="0" w:line="240" w:lineRule="auto"/>
              <w:jc w:val="both"/>
              <w:rPr/>
            </w:pPr>
            <w:r w:rsidDel="00000000" w:rsidR="00000000" w:rsidRPr="00000000">
              <w:rPr>
                <w:rtl w:val="0"/>
              </w:rPr>
              <w:t xml:space="preserve">Entrega en oficina de pagos de IGV o Renta y estados financieros de no más de tres meses (Banco BBVA Perú, s. f.-f); verificación de información financiera no estructurada (Melo, 2026); firma y formalización presencial (Tabla 15).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2">
            <w:pPr>
              <w:spacing w:after="0" w:line="240" w:lineRule="auto"/>
              <w:jc w:val="both"/>
              <w:rPr/>
            </w:pPr>
            <w:r w:rsidDel="00000000" w:rsidR="00000000" w:rsidRPr="00000000">
              <w:rPr>
                <w:rtl w:val="0"/>
              </w:rPr>
              <w:t xml:space="preserve">Tiempos promedio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3">
            <w:pPr>
              <w:spacing w:after="0" w:line="240" w:lineRule="auto"/>
              <w:jc w:val="both"/>
              <w:rPr/>
            </w:pPr>
            <w:r w:rsidDel="00000000" w:rsidR="00000000" w:rsidRPr="00000000">
              <w:rPr>
                <w:rtl w:val="0"/>
              </w:rPr>
              <w:t xml:space="preserve">Ruta digital: 3 minutos en promedio (Reusche, 2026). Ruta asistida: sin plazo publicado; el banco solo indica que se comunicará con el cliente (Banco BBVA Perú, s. f.-k). Ciclo completo: NO HAY FUENTES EN INTERNET DISPONIBLES.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4">
            <w:pPr>
              <w:spacing w:after="0" w:line="240" w:lineRule="auto"/>
              <w:jc w:val="both"/>
              <w:rPr/>
            </w:pPr>
            <w:r w:rsidDel="00000000" w:rsidR="00000000" w:rsidRPr="00000000">
              <w:rPr>
                <w:rtl w:val="0"/>
              </w:rPr>
              <w:t xml:space="preserve">Errores frecuentes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5">
            <w:pPr>
              <w:spacing w:after="0" w:line="240" w:lineRule="auto"/>
              <w:jc w:val="both"/>
              <w:rPr/>
            </w:pPr>
            <w:r w:rsidDel="00000000" w:rsidR="00000000" w:rsidRPr="00000000">
              <w:rPr>
                <w:rtl w:val="0"/>
              </w:rPr>
              <w:t xml:space="preserve">Préstamo digital de una sola vez, restricción de 45 días tras otro crédito, oferta pre aprobada obligatoria y reporte positivo en la central de riesgos (Banco BBVA Perú, s. f.-c, s. f.-d, s. f.-e, s. f.-f). Sectorial: solo 1 de cada 4 mypes accede a crédito (Melo, 2026).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6">
            <w:pPr>
              <w:spacing w:after="0" w:line="240" w:lineRule="auto"/>
              <w:jc w:val="both"/>
              <w:rPr/>
            </w:pPr>
            <w:r w:rsidDel="00000000" w:rsidR="00000000" w:rsidRPr="00000000">
              <w:rPr>
                <w:rtl w:val="0"/>
              </w:rPr>
              <w:t xml:space="preserve">Costos asociados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7">
            <w:pPr>
              <w:spacing w:after="0" w:line="240" w:lineRule="auto"/>
              <w:jc w:val="both"/>
              <w:rPr/>
            </w:pPr>
            <w:r w:rsidDel="00000000" w:rsidR="00000000" w:rsidRPr="00000000">
              <w:rPr>
                <w:rtl w:val="0"/>
              </w:rPr>
              <w:t xml:space="preserve">Para el cliente: tasas de 10 % a 75 % en soles y comisión de S/ 8.5 por envío de información (Banco BBVA Perú, s. f.-f). Referencial, EE. UU.: ahorro de hasta USD 1,500 por préstamo automatizado (Freddie Mac, 2025, citado en Stealth Agents, 2026).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8">
            <w:pPr>
              <w:spacing w:after="0" w:line="240" w:lineRule="auto"/>
              <w:jc w:val="both"/>
              <w:rPr/>
            </w:pPr>
            <w:r w:rsidDel="00000000" w:rsidR="00000000" w:rsidRPr="00000000">
              <w:rPr>
                <w:rtl w:val="0"/>
              </w:rPr>
              <w:t xml:space="preserve">Indicadores actuales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9">
            <w:pPr>
              <w:spacing w:after="0" w:line="240" w:lineRule="auto"/>
              <w:jc w:val="both"/>
              <w:rPr/>
            </w:pPr>
            <w:r w:rsidDel="00000000" w:rsidR="00000000" w:rsidRPr="00000000">
              <w:rPr>
                <w:rtl w:val="0"/>
              </w:rPr>
              <w:t xml:space="preserve">Créditos digitales: un tercio del otorgamiento; portafolio que transacciona digitalmente: 75 %; principalidad: 48 % (Reusche, 2026). Clientes Pyme digitales: 74 % (BBVA, 2026b). NPS Pyme: 33.6 frente a 52.57 en retail (Banco BBVA Perú, 2026b). </w:t>
            </w:r>
          </w:p>
        </w:tc>
      </w:tr>
    </w:tbl>
    <w:p w:rsidR="00000000" w:rsidDel="00000000" w:rsidP="00000000" w:rsidRDefault="00000000" w:rsidRPr="00000000" w14:paraId="0000008A">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las fuentes citadas en cada celda; los vacíos de información se declaran de forma explícita conforme al criterio de evidencia de la sección 3.1 del Entregable 2.</w:t>
      </w:r>
    </w:p>
    <w:p w:rsidR="00000000" w:rsidDel="00000000" w:rsidP="00000000" w:rsidRDefault="00000000" w:rsidRPr="00000000" w14:paraId="0000008B">
      <w:pPr>
        <w:pStyle w:val="Heading2"/>
        <w:spacing w:after="160" w:before="260" w:line="360" w:lineRule="auto"/>
        <w:rPr>
          <w:sz w:val="22"/>
          <w:szCs w:val="22"/>
        </w:rPr>
      </w:pPr>
      <w:r w:rsidDel="00000000" w:rsidR="00000000" w:rsidRPr="00000000">
        <w:rPr>
          <w:b w:val="1"/>
          <w:bCs w:val="1"/>
          <w:color w:val="1f3864"/>
          <w:sz w:val="22"/>
          <w:szCs w:val="22"/>
          <w:rtl w:val="0"/>
        </w:rPr>
        <w:t xml:space="preserve">6.2. Descripción As Is del dolor crítico DC2: operaciones no reconocidas</w:t>
      </w:r>
      <w:r w:rsidDel="00000000" w:rsidR="00000000" w:rsidRPr="00000000">
        <w:rPr>
          <w:rtl w:val="0"/>
        </w:rPr>
      </w:r>
    </w:p>
    <w:p w:rsidR="00000000" w:rsidDel="00000000" w:rsidP="00000000" w:rsidRDefault="00000000" w:rsidRPr="00000000" w14:paraId="0000008C">
      <w:pPr>
        <w:spacing w:after="0" w:before="200" w:line="240" w:lineRule="auto"/>
        <w:rPr/>
      </w:pPr>
      <w:r w:rsidDel="00000000" w:rsidR="00000000" w:rsidRPr="00000000">
        <w:rPr>
          <w:b w:val="1"/>
          <w:bCs w:val="1"/>
          <w:rtl w:val="0"/>
        </w:rPr>
        <w:t xml:space="preserve">Tabla 32</w:t>
      </w:r>
      <w:r w:rsidDel="00000000" w:rsidR="00000000" w:rsidRPr="00000000">
        <w:rPr>
          <w:rtl w:val="0"/>
        </w:rPr>
      </w:r>
    </w:p>
    <w:p w:rsidR="00000000" w:rsidDel="00000000" w:rsidP="00000000" w:rsidRDefault="00000000" w:rsidRPr="00000000" w14:paraId="0000008D">
      <w:pPr>
        <w:spacing w:after="120" w:before="0" w:line="240" w:lineRule="auto"/>
        <w:rPr/>
      </w:pPr>
      <w:r w:rsidDel="00000000" w:rsidR="00000000" w:rsidRPr="00000000">
        <w:rPr>
          <w:i w:val="1"/>
          <w:iCs w:val="1"/>
          <w:rtl w:val="0"/>
        </w:rPr>
        <w:t xml:space="preserve">Descripción As Is del DC2</w:t>
      </w:r>
      <w:r w:rsidDel="00000000" w:rsidR="00000000" w:rsidRPr="00000000">
        <w:rPr>
          <w:rtl w:val="0"/>
        </w:rPr>
      </w:r>
    </w:p>
    <w:tbl>
      <w:tblPr>
        <w:tblStyle w:val="Table6"/>
        <w:tblW w:w="907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295"/>
        <w:gridCol w:w="6780"/>
        <w:tblGridChange w:id="0">
          <w:tblGrid>
            <w:gridCol w:w="2295"/>
            <w:gridCol w:w="678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8E">
            <w:pPr>
              <w:spacing w:after="0" w:line="240" w:lineRule="auto"/>
              <w:jc w:val="center"/>
              <w:rPr/>
            </w:pPr>
            <w:r w:rsidDel="00000000" w:rsidR="00000000" w:rsidRPr="00000000">
              <w:rPr>
                <w:b w:val="1"/>
                <w:bCs w:val="1"/>
                <w:color w:val="ffffff"/>
                <w:rtl w:val="0"/>
              </w:rPr>
              <w:t xml:space="preserve">Dimensión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8F">
            <w:pPr>
              <w:spacing w:after="0" w:line="240" w:lineRule="auto"/>
              <w:jc w:val="center"/>
              <w:rPr/>
            </w:pPr>
            <w:r w:rsidDel="00000000" w:rsidR="00000000" w:rsidRPr="00000000">
              <w:rPr>
                <w:b w:val="1"/>
                <w:bCs w:val="1"/>
                <w:color w:val="ffffff"/>
                <w:rtl w:val="0"/>
              </w:rPr>
              <w:t xml:space="preserve">Situación As Is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0">
            <w:pPr>
              <w:spacing w:after="0" w:line="240" w:lineRule="auto"/>
              <w:jc w:val="both"/>
              <w:rPr/>
            </w:pPr>
            <w:r w:rsidDel="00000000" w:rsidR="00000000" w:rsidRPr="00000000">
              <w:rPr>
                <w:rtl w:val="0"/>
              </w:rPr>
              <w:t xml:space="preserve">Actores involucrados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1">
            <w:pPr>
              <w:spacing w:after="0" w:line="240" w:lineRule="auto"/>
              <w:jc w:val="both"/>
              <w:rPr/>
            </w:pPr>
            <w:r w:rsidDel="00000000" w:rsidR="00000000" w:rsidRPr="00000000">
              <w:rPr>
                <w:rtl w:val="0"/>
              </w:rPr>
              <w:t xml:space="preserve">Cliente reclamante; asesor telefónico, de oficina o canal digital de registro; analista del área de fraude; analista de operaciones; área de atención al cliente; SBS e Indecopi como receptores del reporte regulatorio. Tabla 16.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2">
            <w:pPr>
              <w:spacing w:after="0" w:line="240" w:lineRule="auto"/>
              <w:jc w:val="both"/>
              <w:rPr/>
            </w:pPr>
            <w:r w:rsidDel="00000000" w:rsidR="00000000" w:rsidRPr="00000000">
              <w:rPr>
                <w:rtl w:val="0"/>
              </w:rPr>
              <w:t xml:space="preserve">Sistemas utilizados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3">
            <w:pPr>
              <w:spacing w:after="0" w:line="240" w:lineRule="auto"/>
              <w:jc w:val="both"/>
              <w:rPr/>
            </w:pPr>
            <w:r w:rsidDel="00000000" w:rsidR="00000000" w:rsidRPr="00000000">
              <w:rPr>
                <w:rtl w:val="0"/>
              </w:rPr>
              <w:t xml:space="preserve">Motor de monitoreo transaccional y reglas antifraude; Blue Buddy, con flujo de reclamos que muestra el ciclo de vida del caso y 90 % de adopción (Banco BBVA Perú, 2026a, p. 4); sistema de gestión de reclamos; herramientas de identidades, monitoreo y respuesta a incidentes; plataforma ADA. Tabla 16.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4">
            <w:pPr>
              <w:spacing w:after="0" w:line="240" w:lineRule="auto"/>
              <w:jc w:val="both"/>
              <w:rPr/>
            </w:pPr>
            <w:r w:rsidDel="00000000" w:rsidR="00000000" w:rsidRPr="00000000">
              <w:rPr>
                <w:rtl w:val="0"/>
              </w:rPr>
              <w:t xml:space="preserve">Canales de atención</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5">
            <w:pPr>
              <w:spacing w:after="0" w:line="240" w:lineRule="auto"/>
              <w:jc w:val="both"/>
              <w:rPr/>
            </w:pPr>
            <w:r w:rsidDel="00000000" w:rsidR="00000000" w:rsidRPr="00000000">
              <w:rPr>
                <w:rtl w:val="0"/>
              </w:rPr>
              <w:t xml:space="preserve">App (alerta y registro del reclamo), contact center y oficina; consulta web del estado del caso (Banco BBVA Perú, s. f.-h); resultado mediante carta de respuesta. Tabla 16.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6">
            <w:pPr>
              <w:spacing w:after="0" w:line="240" w:lineRule="auto"/>
              <w:jc w:val="both"/>
              <w:rPr/>
            </w:pPr>
            <w:r w:rsidDel="00000000" w:rsidR="00000000" w:rsidRPr="00000000">
              <w:rPr>
                <w:rtl w:val="0"/>
              </w:rPr>
              <w:t xml:space="preserve">Actividades manuales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7">
            <w:pPr>
              <w:spacing w:after="0" w:line="240" w:lineRule="auto"/>
              <w:jc w:val="both"/>
              <w:rPr/>
            </w:pPr>
            <w:r w:rsidDel="00000000" w:rsidR="00000000" w:rsidRPr="00000000">
              <w:rPr>
                <w:rtl w:val="0"/>
              </w:rPr>
              <w:t xml:space="preserve">Registro y tipificación del reclamo; análisis del caso y "revisión de las trazas de la operación y consulta de su ciclo de vida mediante las herramientas internas" (explícitamente manual, Tabla 16); coordinación entre las áreas de fraude, operaciones y atención (sección 3.4); decisión sobre procedencia y ejecución del abono o rechazo. Tabla 16.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8">
            <w:pPr>
              <w:spacing w:after="0" w:line="240" w:lineRule="auto"/>
              <w:jc w:val="both"/>
              <w:rPr/>
            </w:pPr>
            <w:r w:rsidDel="00000000" w:rsidR="00000000" w:rsidRPr="00000000">
              <w:rPr>
                <w:rtl w:val="0"/>
              </w:rPr>
              <w:t xml:space="preserve">Tiempos promedio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9">
            <w:pPr>
              <w:spacing w:after="0" w:line="240" w:lineRule="auto"/>
              <w:jc w:val="both"/>
              <w:rPr/>
            </w:pPr>
            <w:r w:rsidDel="00000000" w:rsidR="00000000" w:rsidRPr="00000000">
              <w:rPr>
                <w:rtl w:val="0"/>
              </w:rPr>
              <w:t xml:space="preserve">2T2026: 11.29 días en operaciones no reconocidas frente a 8.02 del total de reclamos. Jul.-ago. 2026: 26.37 y 20.36 días. Plazo regulatorio: 15 días hábiles, prorrogable. Cálculo propio con base en Banco BBVA Perú (2026c a 2026g); SBS (2022, arts. 7.1 y 7.3). </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A">
            <w:pPr>
              <w:spacing w:after="0" w:line="240" w:lineRule="auto"/>
              <w:jc w:val="both"/>
              <w:rPr/>
            </w:pPr>
            <w:r w:rsidDel="00000000" w:rsidR="00000000" w:rsidRPr="00000000">
              <w:rPr>
                <w:rtl w:val="0"/>
              </w:rPr>
              <w:t xml:space="preserve">Errores frecuentes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B">
            <w:pPr>
              <w:spacing w:after="0" w:line="240" w:lineRule="auto"/>
              <w:jc w:val="both"/>
              <w:rPr/>
            </w:pPr>
            <w:r w:rsidDel="00000000" w:rsidR="00000000" w:rsidRPr="00000000">
              <w:rPr>
                <w:rtl w:val="0"/>
              </w:rPr>
              <w:t xml:space="preserve">NO HAY FUENTES EN INTERNET DISPONIBLES sobre tipos de error operativo específicos de BBVA Perú en este proceso.</w:t>
            </w:r>
            <w:r w:rsidDel="00000000" w:rsidR="00000000" w:rsidRPr="00000000">
              <w:rPr>
                <w:rtl w:val="0"/>
              </w:rPr>
              <w:t xml:space="preserve"> Evidencia propia de BBVA Perú: la proporción de reclamos de esta materia resueltos a favor del usuario pasó de 21.63 % en el 2T2026 a 84.1 % en julio-agosto de 2026 (cálculo propio con base en Banco BBVA Perú, 2026c a 2026g); los reportes mensuales no publican la causa de esa variación ni la tipología del error operativo.</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C">
            <w:pPr>
              <w:spacing w:after="0" w:line="240" w:lineRule="auto"/>
              <w:jc w:val="both"/>
              <w:rPr/>
            </w:pPr>
            <w:r w:rsidDel="00000000" w:rsidR="00000000" w:rsidRPr="00000000">
              <w:rPr>
                <w:rtl w:val="0"/>
              </w:rPr>
              <w:t xml:space="preserve">Costos asociados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D">
            <w:pPr>
              <w:spacing w:after="0" w:line="240" w:lineRule="auto"/>
              <w:jc w:val="both"/>
              <w:rPr/>
            </w:pPr>
            <w:r w:rsidDel="00000000" w:rsidR="00000000" w:rsidRPr="00000000">
              <w:rPr>
                <w:rtl w:val="0"/>
              </w:rPr>
              <w:t xml:space="preserve">Costo operativo propio de BBVA Perú por caso: NO HAY FUENTES EN INTERNET DISPONIBLES.</w:t>
            </w:r>
            <w:r w:rsidDel="00000000" w:rsidR="00000000" w:rsidRPr="00000000">
              <w:rPr>
                <w:rtl w:val="0"/>
              </w:rPr>
              <w:t xml:space="preserve"> Cifra sectorial, no desagregada por entidad: 3,978.8 UIT en multas del Indecopi entre 2021 y marzo de 2025, de las cuales el 90 % (2,601 sanciones) recayó en el sistema financiero (Andina, 2025).</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E">
            <w:pPr>
              <w:spacing w:after="0" w:line="240" w:lineRule="auto"/>
              <w:jc w:val="both"/>
              <w:rPr/>
            </w:pPr>
            <w:r w:rsidDel="00000000" w:rsidR="00000000" w:rsidRPr="00000000">
              <w:rPr>
                <w:rtl w:val="0"/>
              </w:rPr>
              <w:t xml:space="preserve">Indicadores actuales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F">
            <w:pPr>
              <w:spacing w:after="0" w:line="240" w:lineRule="auto"/>
              <w:jc w:val="both"/>
              <w:rPr/>
            </w:pPr>
            <w:r w:rsidDel="00000000" w:rsidR="00000000" w:rsidRPr="00000000">
              <w:rPr>
                <w:rtl w:val="0"/>
              </w:rPr>
              <w:t xml:space="preserve">2T2026: 13,959 reclamos absueltos (20 % del total), 21.63 % a favor del usuario y 3.03 por cada cien mil operaciones. Jul.-ago. 2026: 5,857 absueltos, 84.1 % a favor del usuario. Cálculo propio con base en Banco BBVA Perú (2026c a 2026g); detalle en la Tabla 24 del Entregable 2. </w:t>
            </w:r>
          </w:p>
        </w:tc>
      </w:tr>
    </w:tbl>
    <w:p w:rsidR="00000000" w:rsidDel="00000000" w:rsidP="00000000" w:rsidRDefault="00000000" w:rsidRPr="00000000" w14:paraId="000000A0">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las fuentes citadas en cada celda; los vacíos de información se declaran de forma explícita conforme al criterio de evidencia de la sección 3.1 del Entregable 2.</w:t>
      </w:r>
    </w:p>
    <w:p w:rsidR="00000000" w:rsidDel="00000000" w:rsidP="00000000" w:rsidRDefault="00000000" w:rsidRPr="00000000" w14:paraId="000000A1">
      <w:pPr>
        <w:pStyle w:val="Heading2"/>
        <w:spacing w:after="160" w:before="260" w:line="360" w:lineRule="auto"/>
        <w:rPr>
          <w:sz w:val="22"/>
          <w:szCs w:val="22"/>
        </w:rPr>
      </w:pPr>
      <w:r w:rsidDel="00000000" w:rsidR="00000000" w:rsidRPr="00000000">
        <w:rPr>
          <w:b w:val="1"/>
          <w:bCs w:val="1"/>
          <w:color w:val="1f3864"/>
          <w:sz w:val="22"/>
          <w:szCs w:val="22"/>
          <w:rtl w:val="0"/>
        </w:rPr>
        <w:t xml:space="preserve">6.3. Descripción As Is del dolor crítico DC3: contratación por canal digital</w:t>
      </w:r>
      <w:r w:rsidDel="00000000" w:rsidR="00000000" w:rsidRPr="00000000">
        <w:rPr>
          <w:rtl w:val="0"/>
        </w:rPr>
      </w:r>
    </w:p>
    <w:p w:rsidR="00000000" w:rsidDel="00000000" w:rsidP="00000000" w:rsidRDefault="00000000" w:rsidRPr="00000000" w14:paraId="000000A2">
      <w:pPr>
        <w:spacing w:after="0" w:before="200" w:line="240" w:lineRule="auto"/>
        <w:rPr/>
      </w:pPr>
      <w:r w:rsidDel="00000000" w:rsidR="00000000" w:rsidRPr="00000000">
        <w:rPr>
          <w:b w:val="1"/>
          <w:bCs w:val="1"/>
          <w:rtl w:val="0"/>
        </w:rPr>
        <w:t xml:space="preserve">Tabla 33</w:t>
      </w:r>
      <w:r w:rsidDel="00000000" w:rsidR="00000000" w:rsidRPr="00000000">
        <w:rPr>
          <w:rtl w:val="0"/>
        </w:rPr>
      </w:r>
    </w:p>
    <w:p w:rsidR="00000000" w:rsidDel="00000000" w:rsidP="00000000" w:rsidRDefault="00000000" w:rsidRPr="00000000" w14:paraId="000000A3">
      <w:pPr>
        <w:spacing w:after="120" w:before="0" w:line="240" w:lineRule="auto"/>
        <w:rPr/>
      </w:pPr>
      <w:r w:rsidDel="00000000" w:rsidR="00000000" w:rsidRPr="00000000">
        <w:rPr>
          <w:i w:val="1"/>
          <w:iCs w:val="1"/>
          <w:rtl w:val="0"/>
        </w:rPr>
        <w:t xml:space="preserve">Descripción As Is del DC3</w:t>
      </w:r>
      <w:r w:rsidDel="00000000" w:rsidR="00000000" w:rsidRPr="00000000">
        <w:rPr>
          <w:rtl w:val="0"/>
        </w:rPr>
      </w:r>
    </w:p>
    <w:tbl>
      <w:tblPr>
        <w:tblStyle w:val="Table7"/>
        <w:tblW w:w="910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295"/>
        <w:gridCol w:w="6810"/>
        <w:tblGridChange w:id="0">
          <w:tblGrid>
            <w:gridCol w:w="2295"/>
            <w:gridCol w:w="681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A4">
            <w:pPr>
              <w:spacing w:after="0" w:line="240" w:lineRule="auto"/>
              <w:jc w:val="center"/>
              <w:rPr/>
            </w:pPr>
            <w:r w:rsidDel="00000000" w:rsidR="00000000" w:rsidRPr="00000000">
              <w:rPr>
                <w:b w:val="1"/>
                <w:bCs w:val="1"/>
                <w:color w:val="ffffff"/>
                <w:rtl w:val="0"/>
              </w:rPr>
              <w:t xml:space="preserve">Dimensión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A5">
            <w:pPr>
              <w:spacing w:after="0" w:line="240" w:lineRule="auto"/>
              <w:jc w:val="center"/>
              <w:rPr/>
            </w:pPr>
            <w:r w:rsidDel="00000000" w:rsidR="00000000" w:rsidRPr="00000000">
              <w:rPr>
                <w:b w:val="1"/>
                <w:bCs w:val="1"/>
                <w:color w:val="ffffff"/>
                <w:rtl w:val="0"/>
              </w:rPr>
              <w:t xml:space="preserve">Situación As Is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6">
            <w:pPr>
              <w:spacing w:after="0" w:line="240" w:lineRule="auto"/>
              <w:jc w:val="both"/>
              <w:rPr/>
            </w:pPr>
            <w:r w:rsidDel="00000000" w:rsidR="00000000" w:rsidRPr="00000000">
              <w:rPr>
                <w:rtl w:val="0"/>
              </w:rPr>
              <w:t xml:space="preserve">Actores involucrados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7">
            <w:pPr>
              <w:spacing w:after="0" w:line="240" w:lineRule="auto"/>
              <w:jc w:val="both"/>
              <w:rPr/>
            </w:pPr>
            <w:r w:rsidDel="00000000" w:rsidR="00000000" w:rsidRPr="00000000">
              <w:rPr>
                <w:rtl w:val="0"/>
              </w:rPr>
              <w:t xml:space="preserve">Cliente o no cliente interesado en contratar un producto; asistente Blue Buddy; personal de oficina que atiende los casos derivados. Tabla 17; Anexo B.</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8">
            <w:pPr>
              <w:spacing w:after="0" w:line="240" w:lineRule="auto"/>
              <w:jc w:val="both"/>
              <w:rPr/>
            </w:pPr>
            <w:r w:rsidDel="00000000" w:rsidR="00000000" w:rsidRPr="00000000">
              <w:rPr>
                <w:rtl w:val="0"/>
              </w:rPr>
              <w:t xml:space="preserve">Sistemas utilizados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9">
            <w:pPr>
              <w:spacing w:after="0" w:line="240" w:lineRule="auto"/>
              <w:jc w:val="both"/>
              <w:rPr/>
            </w:pPr>
            <w:r w:rsidDel="00000000" w:rsidR="00000000" w:rsidRPr="00000000">
              <w:rPr>
                <w:rtl w:val="0"/>
              </w:rPr>
              <w:t xml:space="preserve">App BBVA, web, simuladores, flujo digital de contratación —incluido el proceso íntegramente digital para no clientes lanzado a inicios de 2026—, cajeros, agentes, Plin y QR. Tabla 17; A. Moquillaza, comunicación personal, 11 de setiembre de 2026.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A">
            <w:pPr>
              <w:spacing w:after="0" w:line="240" w:lineRule="auto"/>
              <w:jc w:val="both"/>
              <w:rPr/>
            </w:pPr>
            <w:r w:rsidDel="00000000" w:rsidR="00000000" w:rsidRPr="00000000">
              <w:rPr>
                <w:rtl w:val="0"/>
              </w:rPr>
              <w:t xml:space="preserve">Canales de atención</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B">
            <w:pPr>
              <w:spacing w:after="0" w:line="240" w:lineRule="auto"/>
              <w:jc w:val="both"/>
              <w:rPr/>
            </w:pPr>
            <w:r w:rsidDel="00000000" w:rsidR="00000000" w:rsidRPr="00000000">
              <w:rPr>
                <w:rtl w:val="0"/>
              </w:rPr>
              <w:t xml:space="preserve">App BBVA (85 % de las operaciones monetarias), web, publicidad, oficina, contact center. Tabla 17; Banco BBVA Perú (2026a, p. 3).</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C">
            <w:pPr>
              <w:spacing w:after="0" w:line="240" w:lineRule="auto"/>
              <w:jc w:val="both"/>
              <w:rPr/>
            </w:pPr>
            <w:r w:rsidDel="00000000" w:rsidR="00000000" w:rsidRPr="00000000">
              <w:rPr>
                <w:rtl w:val="0"/>
              </w:rPr>
              <w:t xml:space="preserve">Actividades manuales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D">
            <w:pPr>
              <w:spacing w:after="0" w:line="240" w:lineRule="auto"/>
              <w:jc w:val="both"/>
              <w:rPr/>
            </w:pPr>
            <w:r w:rsidDel="00000000" w:rsidR="00000000" w:rsidRPr="00000000">
              <w:rPr>
                <w:rtl w:val="0"/>
              </w:rPr>
              <w:t xml:space="preserve">Derivación a oficina física cuando el sistema detiene el recorrido ante perfiles no contemplados ,usuarios menores de edad o con carné de extranjería; formalización presencial de esos casos. A. Moquillaza, comunicación personal, 11 de setiembre de 2026. Para extranjeros, el banco describe la ruta presencial como una secuencia de pasos: acercarse a la entidad, pasar por la entrevista, llenar formularios, hacer un depósito inicial si es requisito y esperar la activación de la cuenta (Banco BBVA Perú, s. f.-n).</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E">
            <w:pPr>
              <w:spacing w:after="0" w:line="240" w:lineRule="auto"/>
              <w:jc w:val="both"/>
              <w:rPr/>
            </w:pPr>
            <w:r w:rsidDel="00000000" w:rsidR="00000000" w:rsidRPr="00000000">
              <w:rPr>
                <w:rtl w:val="0"/>
              </w:rPr>
              <w:t xml:space="preserve">Tiempos promedio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F">
            <w:pPr>
              <w:spacing w:after="0" w:line="240" w:lineRule="auto"/>
              <w:jc w:val="both"/>
              <w:rPr/>
            </w:pPr>
            <w:r w:rsidDel="00000000" w:rsidR="00000000" w:rsidRPr="00000000">
              <w:rPr>
                <w:rtl w:val="0"/>
              </w:rPr>
              <w:t xml:space="preserve">Proceso 100 % digital para no clientes: menos de 5 minutos. Apertura de la cuenta digital para nuevos clientes: cuatro minutos (Banco BBVA Perú, 2026b, p. 25). A. Moquillaza, comunicación personal, 11 de setiembre de 2026. </w:t>
            </w:r>
            <w:r w:rsidDel="00000000" w:rsidR="00000000" w:rsidRPr="00000000">
              <w:rPr>
                <w:rtl w:val="0"/>
              </w:rPr>
              <w:t xml:space="preserve">Tiempo de la ruta derivada a oficina: NO HAY FUENTES EN INTERNET DISPONIBLES.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B0">
            <w:pPr>
              <w:spacing w:after="0" w:line="240" w:lineRule="auto"/>
              <w:jc w:val="both"/>
              <w:rPr/>
            </w:pPr>
            <w:r w:rsidDel="00000000" w:rsidR="00000000" w:rsidRPr="00000000">
              <w:rPr>
                <w:rtl w:val="0"/>
              </w:rPr>
              <w:t xml:space="preserve">Errores frecuentes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B1">
            <w:pPr>
              <w:spacing w:after="0" w:line="240" w:lineRule="auto"/>
              <w:jc w:val="both"/>
              <w:rPr/>
            </w:pPr>
            <w:r w:rsidDel="00000000" w:rsidR="00000000" w:rsidRPr="00000000">
              <w:rPr>
                <w:rtl w:val="0"/>
              </w:rPr>
              <w:t xml:space="preserve">NO HAY FUENTES EN INTERNET DISPONIBLES sobre la tasa de abandono o error propia de BBVA Perú en este flujo; así consignado en la Tabla 25 del Entregable 2.</w:t>
            </w:r>
            <w:r w:rsidDel="00000000" w:rsidR="00000000" w:rsidRPr="00000000">
              <w:rPr>
                <w:rtl w:val="0"/>
              </w:rPr>
              <w:t xml:space="preserve"> Evidencia propia indirecta: el banco indica que la apertura digital puede completarse en pocos minutos «siempre que la validación de identidad sea exitosa» (Banco BBVA Perú, s. f.-o), lo que identifica esa validación como punto crítico del flujo, sin que se publique su tasa de falla.</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B2">
            <w:pPr>
              <w:spacing w:after="0" w:line="240" w:lineRule="auto"/>
              <w:jc w:val="both"/>
              <w:rPr/>
            </w:pPr>
            <w:r w:rsidDel="00000000" w:rsidR="00000000" w:rsidRPr="00000000">
              <w:rPr>
                <w:rtl w:val="0"/>
              </w:rPr>
              <w:t xml:space="preserve">Costos asociados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B3">
            <w:pPr>
              <w:spacing w:after="0" w:line="240" w:lineRule="auto"/>
              <w:jc w:val="both"/>
              <w:rPr/>
            </w:pPr>
            <w:r w:rsidDel="00000000" w:rsidR="00000000" w:rsidRPr="00000000">
              <w:rPr>
                <w:rtl w:val="0"/>
              </w:rPr>
              <w:t xml:space="preserve">NO HAY FUENTES EN INTERNET DISPONIBLES sobre el costo de adquisición por canal en BBVA Perú; así consignado en la Tabla 25 del Entregable 2.</w:t>
            </w:r>
            <w:r w:rsidDel="00000000" w:rsidR="00000000" w:rsidRPr="00000000">
              <w:rPr>
                <w:rtl w:val="0"/>
              </w:rPr>
              <w:t xml:space="preserve"> Referencia propia de la entidad, cualitativa y de 2019: BBVA Perú estimó que, sin su transformación digital, habría tenido que abrir 40 agencias más, con los costos que ello implica, para captar al millón de clientes de los tres años previos, y que los canales digitales registraban índices de recomendación neta casi del doble que los canales tradicionales (BBVA, 2019).</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B4">
            <w:pPr>
              <w:spacing w:after="0" w:line="240" w:lineRule="auto"/>
              <w:jc w:val="both"/>
              <w:rPr/>
            </w:pPr>
            <w:r w:rsidDel="00000000" w:rsidR="00000000" w:rsidRPr="00000000">
              <w:rPr>
                <w:rtl w:val="0"/>
              </w:rPr>
              <w:t xml:space="preserve">Indicadores actuales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B5">
            <w:pPr>
              <w:spacing w:after="0" w:line="240" w:lineRule="auto"/>
              <w:jc w:val="both"/>
              <w:rPr/>
            </w:pPr>
            <w:r w:rsidDel="00000000" w:rsidR="00000000" w:rsidRPr="00000000">
              <w:rPr>
                <w:rtl w:val="0"/>
              </w:rPr>
              <w:t xml:space="preserve">Penetración digital: 33 % en cuentas, 50 % en tarjetas de crédito, 54 % en préstamos de consumo y 93 % en cambio de moneda al 2T2026, con retroceso frente al cierre de 2025 en tres de los cuatro productos. Ventas digitales totales: 79.57 %. Banco BBVA Perú (2025, 2026a, p. 3); detalle completo en la Tabla 25 del Entregable 2.</w:t>
            </w:r>
          </w:p>
        </w:tc>
      </w:tr>
    </w:tbl>
    <w:p w:rsidR="00000000" w:rsidDel="00000000" w:rsidP="00000000" w:rsidRDefault="00000000" w:rsidRPr="00000000" w14:paraId="000000B6">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las fuentes citadas en cada celda; los vacíos de información se declaran de forma explícita conforme al criterio de evidencia de la sección 3.1 del Entregable 2.</w:t>
      </w:r>
    </w:p>
    <w:p w:rsidR="00000000" w:rsidDel="00000000" w:rsidP="00000000" w:rsidRDefault="00000000" w:rsidRPr="00000000" w14:paraId="000000B7">
      <w:pPr>
        <w:spacing w:after="200" w:before="0" w:line="360" w:lineRule="auto"/>
        <w:jc w:val="both"/>
        <w:rPr/>
      </w:pPr>
      <w:r w:rsidDel="00000000" w:rsidR="00000000" w:rsidRPr="00000000">
        <w:rPr>
          <w:rtl w:val="0"/>
        </w:rPr>
        <w:t xml:space="preserve">De los tres dolores, DC1 y DC3 comparten el mismo tipo de vacío: ninguno cuenta con línea base pública de tiempos ni de costos para su ruta asistida o derivada, porque esa información corresponde a gestión interna que la entidad no publica en sus reportes al mercado —la misma limitación ya declarada en la sección 4.4 del Entregable 2—. DC2 es el único de los tres dolores críticos que cuenta con una línea base pública completa de tiempos e indicadores de volumen, por derivar de un reporte regulatorio de periodicidad mensual. Esta asimetría en la disponibilidad de evidencia debe considerarse al momento de definir el orden de implementación de las tres iniciativas: la hipótesis del DC2 es la que puede medirse desde el primer día sin depender de un levantamiento interno previo. No obstante esta asimetría, el equipo ha decidido concentrar el desarrollo de la iniciativa a partir de esta entrega en el dolor DC3, conforme a los motivos de disponibilidad de información expuestos en la sección 5.1; el primer objetivo de la fase de implementación será cerrar precisamente el vacío de línea base señalado en el párrafo anterior, mediante levantamiento interno o mediante instrumentación directa del propio agente conversacional propuesto en la sección 5.4.</w:t>
      </w:r>
    </w:p>
    <w:p w:rsidR="00000000" w:rsidDel="00000000" w:rsidP="00000000" w:rsidRDefault="00000000" w:rsidRPr="00000000" w14:paraId="000000B8">
      <w:pPr>
        <w:pStyle w:val="Heading1"/>
        <w:spacing w:after="200" w:before="320" w:line="360" w:lineRule="auto"/>
        <w:rPr>
          <w:sz w:val="22"/>
          <w:szCs w:val="22"/>
        </w:rPr>
      </w:pPr>
      <w:r w:rsidDel="00000000" w:rsidR="00000000" w:rsidRPr="00000000">
        <w:rPr>
          <w:b w:val="1"/>
          <w:bCs w:val="1"/>
          <w:color w:val="1f3864"/>
          <w:sz w:val="22"/>
          <w:szCs w:val="22"/>
          <w:rtl w:val="0"/>
        </w:rPr>
        <w:t xml:space="preserve">7. Referencias bibliográficas</w:t>
      </w:r>
      <w:r w:rsidDel="00000000" w:rsidR="00000000" w:rsidRPr="00000000">
        <w:rPr>
          <w:rtl w:val="0"/>
        </w:rPr>
      </w:r>
    </w:p>
    <w:p w:rsidR="00000000" w:rsidDel="00000000" w:rsidP="00000000" w:rsidRDefault="00000000" w:rsidRPr="00000000" w14:paraId="000000B9">
      <w:pPr>
        <w:spacing w:after="160" w:line="360" w:lineRule="auto"/>
        <w:ind w:left="720" w:hanging="720"/>
        <w:rPr/>
      </w:pPr>
      <w:r w:rsidDel="00000000" w:rsidR="00000000" w:rsidRPr="00000000">
        <w:rPr>
          <w:rtl w:val="0"/>
        </w:rPr>
        <w:t xml:space="preserve">Alarcón, L. (2023, 27 de agosto). Robos digitales: las millonarias multas a los bancos por consumos no reconocidos. Ojo Público. </w:t>
      </w:r>
      <w:hyperlink r:id="rId10">
        <w:r w:rsidDel="00000000" w:rsidR="00000000" w:rsidRPr="00000000">
          <w:rPr>
            <w:color w:val="1155cc"/>
            <w:u w:val="single"/>
            <w:rtl w:val="0"/>
          </w:rPr>
          <w:t xml:space="preserve">https://ojo-publico.com/4559/las-millonarias-multas-los-bancos-por-consumos-no-reconocidos</w:t>
        </w:r>
      </w:hyperlink>
      <w:r w:rsidDel="00000000" w:rsidR="00000000" w:rsidRPr="00000000">
        <w:rPr>
          <w:rtl w:val="0"/>
        </w:rPr>
        <w:t xml:space="preserve"> </w:t>
      </w:r>
    </w:p>
    <w:p w:rsidR="00000000" w:rsidDel="00000000" w:rsidP="00000000" w:rsidRDefault="00000000" w:rsidRPr="00000000" w14:paraId="000000BA">
      <w:pPr>
        <w:spacing w:after="160" w:line="360" w:lineRule="auto"/>
        <w:ind w:left="720" w:hanging="720"/>
        <w:rPr/>
      </w:pPr>
      <w:r w:rsidDel="00000000" w:rsidR="00000000" w:rsidRPr="00000000">
        <w:rPr>
          <w:rtl w:val="0"/>
        </w:rPr>
        <w:t xml:space="preserve">Andina. (2025, 16 de abril). Indecopi: sistema financiero concentra 90 % de sanciones por operaciones no reconocidas. Agencia Peruana de Noticias Andina. </w:t>
      </w:r>
      <w:hyperlink r:id="rId11">
        <w:r w:rsidDel="00000000" w:rsidR="00000000" w:rsidRPr="00000000">
          <w:rPr>
            <w:color w:val="1155cc"/>
            <w:u w:val="single"/>
            <w:rtl w:val="0"/>
          </w:rPr>
          <w:t xml:space="preserve">https://andina.pe/agencia/noticia-indecopi-sistema-financiero-concentra-90-sanciones-operaciones-no-reconocidas-1026373.aspx</w:t>
        </w:r>
      </w:hyperlink>
      <w:r w:rsidDel="00000000" w:rsidR="00000000" w:rsidRPr="00000000">
        <w:rPr>
          <w:rtl w:val="0"/>
        </w:rPr>
        <w:t xml:space="preserve"> </w:t>
      </w:r>
    </w:p>
    <w:p w:rsidR="00000000" w:rsidDel="00000000" w:rsidP="00000000" w:rsidRDefault="00000000" w:rsidRPr="00000000" w14:paraId="000000BB">
      <w:pPr>
        <w:spacing w:after="160" w:line="360" w:lineRule="auto"/>
        <w:ind w:left="720" w:hanging="720"/>
        <w:rPr/>
      </w:pPr>
      <w:r w:rsidDel="00000000" w:rsidR="00000000" w:rsidRPr="00000000">
        <w:rPr>
          <w:rtl w:val="0"/>
        </w:rPr>
        <w:t xml:space="preserve">Backbase. (2026, 26 de mayo). AI banking dispute resolution automation. </w:t>
      </w:r>
      <w:hyperlink r:id="rId12">
        <w:r w:rsidDel="00000000" w:rsidR="00000000" w:rsidRPr="00000000">
          <w:rPr>
            <w:color w:val="1155cc"/>
            <w:u w:val="single"/>
            <w:rtl w:val="0"/>
          </w:rPr>
          <w:t xml:space="preserve">https://www.backbase.com/blog/ai-banking-dispute-resolution-automation</w:t>
        </w:r>
      </w:hyperlink>
      <w:r w:rsidDel="00000000" w:rsidR="00000000" w:rsidRPr="00000000">
        <w:rPr>
          <w:rtl w:val="0"/>
        </w:rPr>
        <w:t xml:space="preserve"> </w:t>
      </w:r>
    </w:p>
    <w:p w:rsidR="00000000" w:rsidDel="00000000" w:rsidP="00000000" w:rsidRDefault="00000000" w:rsidRPr="00000000" w14:paraId="000000BC">
      <w:pPr>
        <w:spacing w:after="160" w:line="360" w:lineRule="auto"/>
        <w:ind w:left="720" w:hanging="720"/>
        <w:rPr/>
      </w:pPr>
      <w:r w:rsidDel="00000000" w:rsidR="00000000" w:rsidRPr="00000000">
        <w:rPr>
          <w:rtl w:val="0"/>
        </w:rPr>
        <w:t xml:space="preserve">Banco BBVA Perú. (s. f.-b). Fast Cash. Recuperado el 12 de setiembre de 2026, de </w:t>
      </w:r>
      <w:hyperlink r:id="rId13">
        <w:r w:rsidDel="00000000" w:rsidR="00000000" w:rsidRPr="00000000">
          <w:rPr>
            <w:color w:val="1155cc"/>
            <w:u w:val="single"/>
            <w:rtl w:val="0"/>
          </w:rPr>
          <w:t xml:space="preserve">https://www.bbva.pe/pymes/productos/financiamiento/fast-cash.html</w:t>
        </w:r>
      </w:hyperlink>
      <w:r w:rsidDel="00000000" w:rsidR="00000000" w:rsidRPr="00000000">
        <w:rPr>
          <w:rtl w:val="0"/>
        </w:rPr>
        <w:t xml:space="preserve"> </w:t>
      </w:r>
    </w:p>
    <w:p w:rsidR="00000000" w:rsidDel="00000000" w:rsidP="00000000" w:rsidRDefault="00000000" w:rsidRPr="00000000" w14:paraId="000000BD">
      <w:pPr>
        <w:spacing w:after="160" w:line="360" w:lineRule="auto"/>
        <w:ind w:left="720" w:hanging="720"/>
        <w:rPr/>
      </w:pPr>
      <w:r w:rsidDel="00000000" w:rsidR="00000000" w:rsidRPr="00000000">
        <w:rPr>
          <w:rtl w:val="0"/>
        </w:rPr>
        <w:t xml:space="preserve">Banco BBVA Perú. (s. f.-c). Préstamo digital negocio. Recuperado el 12 de setiembre de 2026, de </w:t>
      </w:r>
      <w:hyperlink r:id="rId14">
        <w:r w:rsidDel="00000000" w:rsidR="00000000" w:rsidRPr="00000000">
          <w:rPr>
            <w:color w:val="1155cc"/>
            <w:u w:val="single"/>
            <w:rtl w:val="0"/>
          </w:rPr>
          <w:t xml:space="preserve">https://www.bbva.pe/pymes/productos/financiamiento/prestamo-digital-negocio.html</w:t>
        </w:r>
      </w:hyperlink>
      <w:r w:rsidDel="00000000" w:rsidR="00000000" w:rsidRPr="00000000">
        <w:rPr>
          <w:rtl w:val="0"/>
        </w:rPr>
        <w:t xml:space="preserve"> </w:t>
      </w:r>
    </w:p>
    <w:p w:rsidR="00000000" w:rsidDel="00000000" w:rsidP="00000000" w:rsidRDefault="00000000" w:rsidRPr="00000000" w14:paraId="000000BE">
      <w:pPr>
        <w:spacing w:after="160" w:line="360" w:lineRule="auto"/>
        <w:ind w:left="720" w:hanging="720"/>
        <w:rPr/>
      </w:pPr>
      <w:r w:rsidDel="00000000" w:rsidR="00000000" w:rsidRPr="00000000">
        <w:rPr>
          <w:rtl w:val="0"/>
        </w:rPr>
        <w:t xml:space="preserve">Banco BBVA Perú. (s. f.-d). Línea de Préstamo Digital. Recuperado el 26 de setiembre de 2026, de </w:t>
      </w:r>
      <w:hyperlink r:id="rId15">
        <w:r w:rsidDel="00000000" w:rsidR="00000000" w:rsidRPr="00000000">
          <w:rPr>
            <w:color w:val="1155cc"/>
            <w:u w:val="single"/>
            <w:rtl w:val="0"/>
          </w:rPr>
          <w:t xml:space="preserve">https://www.bbva.pe/empresas/productos/financiamiento/prestamos-comerciales/linea-de-prestamo-digital.html</w:t>
        </w:r>
      </w:hyperlink>
      <w:r w:rsidDel="00000000" w:rsidR="00000000" w:rsidRPr="00000000">
        <w:rPr>
          <w:rtl w:val="0"/>
        </w:rPr>
        <w:t xml:space="preserve">  </w:t>
      </w:r>
    </w:p>
    <w:p w:rsidR="00000000" w:rsidDel="00000000" w:rsidP="00000000" w:rsidRDefault="00000000" w:rsidRPr="00000000" w14:paraId="000000BF">
      <w:pPr>
        <w:spacing w:after="160" w:line="360" w:lineRule="auto"/>
        <w:ind w:left="720" w:hanging="720"/>
        <w:rPr/>
      </w:pPr>
      <w:r w:rsidDel="00000000" w:rsidR="00000000" w:rsidRPr="00000000">
        <w:rPr>
          <w:rtl w:val="0"/>
        </w:rPr>
        <w:t xml:space="preserve">Banco BBVA Perú. (s. f.-e). Línea Préstamo Digital Persona Jurídica. Recuperado el 26 de setiembre de 2026, de </w:t>
      </w:r>
      <w:hyperlink r:id="rId16">
        <w:r w:rsidDel="00000000" w:rsidR="00000000" w:rsidRPr="00000000">
          <w:rPr>
            <w:color w:val="1155cc"/>
            <w:u w:val="single"/>
            <w:rtl w:val="0"/>
          </w:rPr>
          <w:t xml:space="preserve">https://www.bbva.pe/empresas/productos/financiamiento/prestamos-comerciales/linea-prestamo-digital-persona-juridica.html</w:t>
        </w:r>
      </w:hyperlink>
      <w:r w:rsidDel="00000000" w:rsidR="00000000" w:rsidRPr="00000000">
        <w:rPr>
          <w:rtl w:val="0"/>
        </w:rPr>
        <w:t xml:space="preserve">  </w:t>
      </w:r>
    </w:p>
    <w:p w:rsidR="00000000" w:rsidDel="00000000" w:rsidP="00000000" w:rsidRDefault="00000000" w:rsidRPr="00000000" w14:paraId="000000C0">
      <w:pPr>
        <w:spacing w:after="160" w:line="360" w:lineRule="auto"/>
        <w:ind w:left="720" w:hanging="720"/>
        <w:rPr/>
      </w:pPr>
      <w:r w:rsidDel="00000000" w:rsidR="00000000" w:rsidRPr="00000000">
        <w:rPr>
          <w:rtl w:val="0"/>
        </w:rPr>
        <w:t xml:space="preserve">Banco BBVA Perú. (s. f.-f). Préstamos Comerciales Negocios y Empresas. Recuperado el 26 de setiembre de 2026, de </w:t>
      </w:r>
      <w:hyperlink r:id="rId17">
        <w:r w:rsidDel="00000000" w:rsidR="00000000" w:rsidRPr="00000000">
          <w:rPr>
            <w:color w:val="1155cc"/>
            <w:u w:val="single"/>
            <w:rtl w:val="0"/>
          </w:rPr>
          <w:t xml:space="preserve">https://www.bbva.pe/empresas/productos/financiamiento/prestamos-comerciales/negocios-empresas.html</w:t>
        </w:r>
      </w:hyperlink>
      <w:r w:rsidDel="00000000" w:rsidR="00000000" w:rsidRPr="00000000">
        <w:rPr>
          <w:rtl w:val="0"/>
        </w:rPr>
        <w:t xml:space="preserve">  </w:t>
      </w:r>
    </w:p>
    <w:p w:rsidR="00000000" w:rsidDel="00000000" w:rsidP="00000000" w:rsidRDefault="00000000" w:rsidRPr="00000000" w14:paraId="000000C1">
      <w:pPr>
        <w:spacing w:after="160" w:line="360" w:lineRule="auto"/>
        <w:ind w:left="720" w:hanging="720"/>
        <w:rPr/>
      </w:pPr>
      <w:r w:rsidDel="00000000" w:rsidR="00000000" w:rsidRPr="00000000">
        <w:rPr>
          <w:rtl w:val="0"/>
        </w:rPr>
        <w:t xml:space="preserve">Banco BBVA Perú. (s. f.-g). Anticipo POS. Recuperado el 26 de setiembre de 2026, de </w:t>
      </w:r>
      <w:hyperlink r:id="rId18">
        <w:r w:rsidDel="00000000" w:rsidR="00000000" w:rsidRPr="00000000">
          <w:rPr>
            <w:color w:val="1155cc"/>
            <w:u w:val="single"/>
            <w:rtl w:val="0"/>
          </w:rPr>
          <w:t xml:space="preserve">https://www.bbva.pe/empresas/productos/financiamiento/prestamos-comerciales/anticipo-pos.html</w:t>
        </w:r>
      </w:hyperlink>
      <w:r w:rsidDel="00000000" w:rsidR="00000000" w:rsidRPr="00000000">
        <w:rPr>
          <w:rtl w:val="0"/>
        </w:rPr>
        <w:t xml:space="preserve">  </w:t>
      </w:r>
    </w:p>
    <w:p w:rsidR="00000000" w:rsidDel="00000000" w:rsidP="00000000" w:rsidRDefault="00000000" w:rsidRPr="00000000" w14:paraId="000000C2">
      <w:pPr>
        <w:spacing w:after="160" w:line="360" w:lineRule="auto"/>
        <w:ind w:left="720" w:hanging="720"/>
        <w:rPr/>
      </w:pPr>
      <w:r w:rsidDel="00000000" w:rsidR="00000000" w:rsidRPr="00000000">
        <w:rPr>
          <w:rtl w:val="0"/>
        </w:rPr>
        <w:t xml:space="preserve">Banco BBVA Perú. (s. f.-h). Estado de tu caso. Recuperado el 26 de setiembre de 2026, de </w:t>
      </w:r>
      <w:hyperlink r:id="rId19">
        <w:r w:rsidDel="00000000" w:rsidR="00000000" w:rsidRPr="00000000">
          <w:rPr>
            <w:color w:val="1155cc"/>
            <w:u w:val="single"/>
            <w:rtl w:val="0"/>
          </w:rPr>
          <w:t xml:space="preserve">https://www.bbva.pe/personas/sos-cliente/consulta-de-reclamos.html</w:t>
        </w:r>
      </w:hyperlink>
      <w:r w:rsidDel="00000000" w:rsidR="00000000" w:rsidRPr="00000000">
        <w:rPr>
          <w:rtl w:val="0"/>
        </w:rPr>
        <w:t xml:space="preserve">  </w:t>
      </w:r>
    </w:p>
    <w:p w:rsidR="00000000" w:rsidDel="00000000" w:rsidP="00000000" w:rsidRDefault="00000000" w:rsidRPr="00000000" w14:paraId="000000C3">
      <w:pPr>
        <w:spacing w:after="160" w:line="360" w:lineRule="auto"/>
        <w:ind w:left="720" w:hanging="720"/>
        <w:rPr/>
      </w:pPr>
      <w:r w:rsidDel="00000000" w:rsidR="00000000" w:rsidRPr="00000000">
        <w:rPr>
          <w:rtl w:val="0"/>
        </w:rPr>
        <w:t xml:space="preserve">Banco BBVA Perú. (s. f.-i). Abrir Cuenta digital desde App. Recuperado el 26 de setiembre de 2026, de </w:t>
      </w:r>
      <w:hyperlink r:id="rId20">
        <w:r w:rsidDel="00000000" w:rsidR="00000000" w:rsidRPr="00000000">
          <w:rPr>
            <w:color w:val="1155cc"/>
            <w:u w:val="single"/>
            <w:rtl w:val="0"/>
          </w:rPr>
          <w:t xml:space="preserve">https://www.bbva.pe/personas/productos/cuentas/ahorro/cuenta-digital/abrir-cuenta-app.html</w:t>
        </w:r>
      </w:hyperlink>
      <w:r w:rsidDel="00000000" w:rsidR="00000000" w:rsidRPr="00000000">
        <w:rPr>
          <w:rtl w:val="0"/>
        </w:rPr>
        <w:t xml:space="preserve">  </w:t>
      </w:r>
    </w:p>
    <w:p w:rsidR="00000000" w:rsidDel="00000000" w:rsidP="00000000" w:rsidRDefault="00000000" w:rsidRPr="00000000" w14:paraId="000000C4">
      <w:pPr>
        <w:spacing w:after="160" w:line="360" w:lineRule="auto"/>
        <w:ind w:left="720" w:hanging="720"/>
        <w:rPr/>
      </w:pPr>
      <w:r w:rsidDel="00000000" w:rsidR="00000000" w:rsidRPr="00000000">
        <w:rPr>
          <w:rtl w:val="0"/>
        </w:rPr>
        <w:t xml:space="preserve">Banco BBVA Perú. (s. f.-j). Preguntas frecuentes sobre cuentas de ahorro. Recuperado el 26 de setiembre de 2026, de </w:t>
      </w:r>
      <w:hyperlink r:id="rId21">
        <w:r w:rsidDel="00000000" w:rsidR="00000000" w:rsidRPr="00000000">
          <w:rPr>
            <w:color w:val="1155cc"/>
            <w:u w:val="single"/>
            <w:rtl w:val="0"/>
          </w:rPr>
          <w:t xml:space="preserve">https://www.bbva.pe/personas/productos/cuentas/ahorro/preguntas-frecuentes-sobre-cuentas-de-ahorro.html</w:t>
        </w:r>
      </w:hyperlink>
      <w:r w:rsidDel="00000000" w:rsidR="00000000" w:rsidRPr="00000000">
        <w:rPr>
          <w:rtl w:val="0"/>
        </w:rPr>
        <w:t xml:space="preserve">  </w:t>
      </w:r>
    </w:p>
    <w:p w:rsidR="00000000" w:rsidDel="00000000" w:rsidP="00000000" w:rsidRDefault="00000000" w:rsidRPr="00000000" w14:paraId="000000C5">
      <w:pPr>
        <w:spacing w:after="160" w:line="360" w:lineRule="auto"/>
        <w:ind w:left="720" w:hanging="720"/>
        <w:rPr/>
      </w:pPr>
      <w:r w:rsidDel="00000000" w:rsidR="00000000" w:rsidRPr="00000000">
        <w:rPr>
          <w:rtl w:val="0"/>
        </w:rPr>
        <w:t xml:space="preserve">Banco BBVA Perú. (s. f.-k). Línea de Préstamo Comercial Negocios. Recuperado el 26 de setiembre de 2026, de </w:t>
      </w:r>
      <w:hyperlink r:id="rId22">
        <w:r w:rsidDel="00000000" w:rsidR="00000000" w:rsidRPr="00000000">
          <w:rPr>
            <w:color w:val="1155cc"/>
            <w:u w:val="single"/>
            <w:rtl w:val="0"/>
          </w:rPr>
          <w:t xml:space="preserve">https://www.bbva.pe/empresas/productos/financiamiento/prestamos-comerciales/linea-negocios.html</w:t>
        </w:r>
      </w:hyperlink>
      <w:r w:rsidDel="00000000" w:rsidR="00000000" w:rsidRPr="00000000">
        <w:rPr>
          <w:rtl w:val="0"/>
        </w:rPr>
        <w:t xml:space="preserve">  </w:t>
      </w:r>
    </w:p>
    <w:p w:rsidR="00000000" w:rsidDel="00000000" w:rsidP="00000000" w:rsidRDefault="00000000" w:rsidRPr="00000000" w14:paraId="000000C6">
      <w:pPr>
        <w:spacing w:after="160" w:line="360" w:lineRule="auto"/>
        <w:ind w:left="720" w:hanging="720"/>
        <w:rPr/>
      </w:pPr>
      <w:r w:rsidDel="00000000" w:rsidR="00000000" w:rsidRPr="00000000">
        <w:rPr>
          <w:rtl w:val="0"/>
        </w:rPr>
        <w:t xml:space="preserve">Banco BBVA Perú. (s. f.-n). Cuentas bancarias para ciudadanos extranjeros. Recuperado el 26 de setiembre de 2026, de </w:t>
      </w:r>
      <w:hyperlink r:id="rId23">
        <w:r w:rsidDel="00000000" w:rsidR="00000000" w:rsidRPr="00000000">
          <w:rPr>
            <w:color w:val="1155cc"/>
            <w:u w:val="single"/>
            <w:rtl w:val="0"/>
          </w:rPr>
          <w:t xml:space="preserve">https://www.bbva.pe/blog/mis-finanzas/ahorro/cuentas-bancarias-para-ciudadanos-extranjeros.html</w:t>
        </w:r>
      </w:hyperlink>
      <w:r w:rsidDel="00000000" w:rsidR="00000000" w:rsidRPr="00000000">
        <w:rPr>
          <w:rtl w:val="0"/>
        </w:rPr>
        <w:t xml:space="preserve"> </w:t>
      </w:r>
    </w:p>
    <w:p w:rsidR="00000000" w:rsidDel="00000000" w:rsidP="00000000" w:rsidRDefault="00000000" w:rsidRPr="00000000" w14:paraId="000000C7">
      <w:pPr>
        <w:spacing w:after="160" w:line="360" w:lineRule="auto"/>
        <w:ind w:left="720" w:hanging="720"/>
        <w:rPr/>
      </w:pPr>
      <w:r w:rsidDel="00000000" w:rsidR="00000000" w:rsidRPr="00000000">
        <w:rPr>
          <w:rtl w:val="0"/>
        </w:rPr>
        <w:t xml:space="preserve">Banco BBVA Perú. (s. f.-o). Abrir cuenta joven BBVA paso a paso. Recuperado el 26 de setiembre de 2026, de </w:t>
      </w:r>
      <w:hyperlink r:id="rId24">
        <w:r w:rsidDel="00000000" w:rsidR="00000000" w:rsidRPr="00000000">
          <w:rPr>
            <w:color w:val="1155cc"/>
            <w:u w:val="single"/>
            <w:rtl w:val="0"/>
          </w:rPr>
          <w:t xml:space="preserve">https://www.bbva.pe/blog/mis-finanzas/ahorro/abrir-cuenta-joven-bbva-peru.html</w:t>
        </w:r>
      </w:hyperlink>
      <w:r w:rsidDel="00000000" w:rsidR="00000000" w:rsidRPr="00000000">
        <w:rPr>
          <w:rtl w:val="0"/>
        </w:rPr>
        <w:t xml:space="preserve"> </w:t>
      </w:r>
    </w:p>
    <w:p w:rsidR="00000000" w:rsidDel="00000000" w:rsidP="00000000" w:rsidRDefault="00000000" w:rsidRPr="00000000" w14:paraId="000000C8">
      <w:pPr>
        <w:spacing w:after="160" w:line="360" w:lineRule="auto"/>
        <w:ind w:left="720" w:hanging="720"/>
        <w:rPr/>
      </w:pPr>
      <w:r w:rsidDel="00000000" w:rsidR="00000000" w:rsidRPr="00000000">
        <w:rPr>
          <w:rtl w:val="0"/>
        </w:rPr>
        <w:t xml:space="preserve">Banco BBVA Perú. (2025). Informe de gerencia: Cuarto trimestre 2025. </w:t>
      </w:r>
      <w:hyperlink r:id="rId25">
        <w:r w:rsidDel="00000000" w:rsidR="00000000" w:rsidRPr="00000000">
          <w:rPr>
            <w:color w:val="1155cc"/>
            <w:u w:val="single"/>
            <w:rtl w:val="0"/>
          </w:rPr>
          <w:t xml:space="preserve">https://www.bbva.pe/content/dam/public-web/peru/documents/personas/investor-relations/BBVA_Peru_Informe_de_Gestion_4Q25.pdf</w:t>
        </w:r>
      </w:hyperlink>
      <w:r w:rsidDel="00000000" w:rsidR="00000000" w:rsidRPr="00000000">
        <w:rPr>
          <w:rtl w:val="0"/>
        </w:rPr>
        <w:t xml:space="preserve"> </w:t>
      </w:r>
    </w:p>
    <w:p w:rsidR="00000000" w:rsidDel="00000000" w:rsidP="00000000" w:rsidRDefault="00000000" w:rsidRPr="00000000" w14:paraId="000000C9">
      <w:pPr>
        <w:spacing w:after="160" w:line="360" w:lineRule="auto"/>
        <w:ind w:left="720" w:hanging="720"/>
        <w:rPr/>
      </w:pPr>
      <w:r w:rsidDel="00000000" w:rsidR="00000000" w:rsidRPr="00000000">
        <w:rPr>
          <w:rtl w:val="0"/>
        </w:rPr>
        <w:t xml:space="preserve">Banco BBVA Perú. (2026a). Informe de gerencia: Segundo trimestre 2026. </w:t>
      </w:r>
      <w:hyperlink r:id="rId26">
        <w:r w:rsidDel="00000000" w:rsidR="00000000" w:rsidRPr="00000000">
          <w:rPr>
            <w:color w:val="1155cc"/>
            <w:u w:val="single"/>
            <w:rtl w:val="0"/>
          </w:rPr>
          <w:t xml:space="preserve">https://www.bbva.pe/content/dam/public-web/peru/documents/prefooter/informacion-financiera/informacion-anual/2026/informe-de-gestion-2T2026.pdf</w:t>
        </w:r>
      </w:hyperlink>
      <w:r w:rsidDel="00000000" w:rsidR="00000000" w:rsidRPr="00000000">
        <w:rPr>
          <w:rtl w:val="0"/>
        </w:rPr>
        <w:t xml:space="preserve">  </w:t>
      </w:r>
    </w:p>
    <w:p w:rsidR="00000000" w:rsidDel="00000000" w:rsidP="00000000" w:rsidRDefault="00000000" w:rsidRPr="00000000" w14:paraId="000000CA">
      <w:pPr>
        <w:spacing w:after="160" w:line="360" w:lineRule="auto"/>
        <w:ind w:left="720" w:hanging="720"/>
        <w:rPr/>
      </w:pPr>
      <w:r w:rsidDel="00000000" w:rsidR="00000000" w:rsidRPr="00000000">
        <w:rPr>
          <w:rtl w:val="0"/>
        </w:rPr>
        <w:t xml:space="preserve">Banco BBVA Perú. (2026b). Memoria anual 2025: ¿Avanzamos? Informe integrado. </w:t>
      </w:r>
      <w:hyperlink r:id="rId27">
        <w:r w:rsidDel="00000000" w:rsidR="00000000" w:rsidRPr="00000000">
          <w:rPr>
            <w:color w:val="1155cc"/>
            <w:u w:val="single"/>
            <w:rtl w:val="0"/>
          </w:rPr>
          <w:t xml:space="preserve">https://www.bbva.pe/content/dam/public-web/peru/documents/personas/investor-relations/vii-Memoria-Anual-2025.pdf</w:t>
        </w:r>
      </w:hyperlink>
      <w:r w:rsidDel="00000000" w:rsidR="00000000" w:rsidRPr="00000000">
        <w:rPr>
          <w:rtl w:val="0"/>
        </w:rPr>
        <w:t xml:space="preserve"> </w:t>
      </w:r>
    </w:p>
    <w:p w:rsidR="00000000" w:rsidDel="00000000" w:rsidP="00000000" w:rsidRDefault="00000000" w:rsidRPr="00000000" w14:paraId="000000CB">
      <w:pPr>
        <w:spacing w:after="160" w:line="360" w:lineRule="auto"/>
        <w:ind w:left="720" w:hanging="720"/>
        <w:rPr/>
      </w:pPr>
      <w:r w:rsidDel="00000000" w:rsidR="00000000" w:rsidRPr="00000000">
        <w:rPr>
          <w:rtl w:val="0"/>
        </w:rPr>
        <w:t xml:space="preserve">Banco BBVA Perú. (2026c, abril). Información de reclamos atendidos: Periodo del 1 al 30 de abril de 2026. </w:t>
      </w:r>
      <w:hyperlink r:id="rId28">
        <w:r w:rsidDel="00000000" w:rsidR="00000000" w:rsidRPr="00000000">
          <w:rPr>
            <w:color w:val="1155cc"/>
            <w:u w:val="single"/>
            <w:rtl w:val="0"/>
          </w:rPr>
          <w:t xml:space="preserve">https://www.bbva.pe/content/dam/public-web/peru/documents/personas/informacion-reclamos-atendidos-abril-2026.pdf</w:t>
        </w:r>
      </w:hyperlink>
      <w:r w:rsidDel="00000000" w:rsidR="00000000" w:rsidRPr="00000000">
        <w:rPr>
          <w:rtl w:val="0"/>
        </w:rPr>
        <w:t xml:space="preserve"> </w:t>
      </w:r>
    </w:p>
    <w:p w:rsidR="00000000" w:rsidDel="00000000" w:rsidP="00000000" w:rsidRDefault="00000000" w:rsidRPr="00000000" w14:paraId="000000CC">
      <w:pPr>
        <w:spacing w:after="160" w:line="360" w:lineRule="auto"/>
        <w:ind w:left="720" w:hanging="720"/>
        <w:rPr/>
      </w:pPr>
      <w:r w:rsidDel="00000000" w:rsidR="00000000" w:rsidRPr="00000000">
        <w:rPr>
          <w:rtl w:val="0"/>
        </w:rPr>
        <w:t xml:space="preserve">Banco BBVA Perú. (2026d, mayo). Información de reclamos atendidos: Periodo del 1 al 31 de mayo de 2026. </w:t>
      </w:r>
      <w:hyperlink r:id="rId29">
        <w:r w:rsidDel="00000000" w:rsidR="00000000" w:rsidRPr="00000000">
          <w:rPr>
            <w:color w:val="1155cc"/>
            <w:u w:val="single"/>
            <w:rtl w:val="0"/>
          </w:rPr>
          <w:t xml:space="preserve">https://www.bbva.pe/content/dam/public-web/peru/documents/personas/Informacion_de_Reclamos_Atendidos_Mayo_2026.pdf</w:t>
        </w:r>
      </w:hyperlink>
      <w:r w:rsidDel="00000000" w:rsidR="00000000" w:rsidRPr="00000000">
        <w:rPr>
          <w:rtl w:val="0"/>
        </w:rPr>
        <w:t xml:space="preserve"> </w:t>
      </w:r>
    </w:p>
    <w:p w:rsidR="00000000" w:rsidDel="00000000" w:rsidP="00000000" w:rsidRDefault="00000000" w:rsidRPr="00000000" w14:paraId="000000CD">
      <w:pPr>
        <w:spacing w:after="160" w:line="360" w:lineRule="auto"/>
        <w:ind w:left="720" w:hanging="720"/>
        <w:rPr/>
      </w:pPr>
      <w:r w:rsidDel="00000000" w:rsidR="00000000" w:rsidRPr="00000000">
        <w:rPr>
          <w:rtl w:val="0"/>
        </w:rPr>
        <w:t xml:space="preserve">Banco BBVA Perú. (2026e, junio). Información de reclamos atendidos: Periodo del 1 al 30 de junio de 2026. </w:t>
      </w:r>
      <w:hyperlink r:id="rId30">
        <w:r w:rsidDel="00000000" w:rsidR="00000000" w:rsidRPr="00000000">
          <w:rPr>
            <w:color w:val="1155cc"/>
            <w:u w:val="single"/>
            <w:rtl w:val="0"/>
          </w:rPr>
          <w:t xml:space="preserve">https://www.bbva.pe/content/dam/public-web/peru/documents/personas/Informacion_de_Reclamos_atendidos_Junio2026.pdf</w:t>
        </w:r>
      </w:hyperlink>
      <w:r w:rsidDel="00000000" w:rsidR="00000000" w:rsidRPr="00000000">
        <w:rPr>
          <w:rtl w:val="0"/>
        </w:rPr>
        <w:t xml:space="preserve"> </w:t>
      </w:r>
    </w:p>
    <w:p w:rsidR="00000000" w:rsidDel="00000000" w:rsidP="00000000" w:rsidRDefault="00000000" w:rsidRPr="00000000" w14:paraId="000000CE">
      <w:pPr>
        <w:spacing w:after="160" w:line="360" w:lineRule="auto"/>
        <w:ind w:left="720" w:hanging="720"/>
        <w:rPr/>
      </w:pPr>
      <w:r w:rsidDel="00000000" w:rsidR="00000000" w:rsidRPr="00000000">
        <w:rPr>
          <w:rtl w:val="0"/>
        </w:rPr>
        <w:t xml:space="preserve">Banco BBVA Perú. (2026f, julio). Información de reclamos atendidos: Periodo del 1 al 31 de julio de 2026. </w:t>
      </w:r>
      <w:hyperlink r:id="rId31">
        <w:r w:rsidDel="00000000" w:rsidR="00000000" w:rsidRPr="00000000">
          <w:rPr>
            <w:color w:val="1155cc"/>
            <w:u w:val="single"/>
            <w:rtl w:val="0"/>
          </w:rPr>
          <w:t xml:space="preserve">https://www.bbva.pe/content/dam/public-web/peru/documents/personas/Informacion_de_Reclamos_Atendidos_Julio_2026.pdf</w:t>
        </w:r>
      </w:hyperlink>
      <w:r w:rsidDel="00000000" w:rsidR="00000000" w:rsidRPr="00000000">
        <w:rPr>
          <w:rtl w:val="0"/>
        </w:rPr>
        <w:t xml:space="preserve">  </w:t>
      </w:r>
    </w:p>
    <w:p w:rsidR="00000000" w:rsidDel="00000000" w:rsidP="00000000" w:rsidRDefault="00000000" w:rsidRPr="00000000" w14:paraId="000000CF">
      <w:pPr>
        <w:spacing w:after="160" w:line="360" w:lineRule="auto"/>
        <w:ind w:left="720" w:hanging="720"/>
        <w:rPr/>
      </w:pPr>
      <w:r w:rsidDel="00000000" w:rsidR="00000000" w:rsidRPr="00000000">
        <w:rPr>
          <w:rtl w:val="0"/>
        </w:rPr>
        <w:t xml:space="preserve">Banco BBVA Perú. (2026g, agosto). Información de reclamos atendidos: Periodo del 1 al 31 de agosto de 2026. </w:t>
      </w:r>
      <w:hyperlink r:id="rId32">
        <w:r w:rsidDel="00000000" w:rsidR="00000000" w:rsidRPr="00000000">
          <w:rPr>
            <w:color w:val="1155cc"/>
            <w:u w:val="single"/>
            <w:rtl w:val="0"/>
          </w:rPr>
          <w:t xml:space="preserve">https://www.bbva.pe/content/dam/public-web/peru/documents/personas/Informacion_de_Reclamos_Atendidos_Agosto2026.pdf</w:t>
        </w:r>
      </w:hyperlink>
      <w:r w:rsidDel="00000000" w:rsidR="00000000" w:rsidRPr="00000000">
        <w:rPr>
          <w:rtl w:val="0"/>
        </w:rPr>
        <w:t xml:space="preserve">  </w:t>
      </w:r>
    </w:p>
    <w:p w:rsidR="00000000" w:rsidDel="00000000" w:rsidP="00000000" w:rsidRDefault="00000000" w:rsidRPr="00000000" w14:paraId="000000D0">
      <w:pPr>
        <w:spacing w:after="160" w:line="360" w:lineRule="auto"/>
        <w:ind w:left="720" w:hanging="720"/>
        <w:rPr/>
      </w:pPr>
      <w:r w:rsidDel="00000000" w:rsidR="00000000" w:rsidRPr="00000000">
        <w:rPr>
          <w:rtl w:val="0"/>
        </w:rPr>
        <w:t xml:space="preserve">BBVA. (2019, 14 de noviembre). Las ventajas que ofrecen los canales digitales para BBVA y sus clientes. </w:t>
      </w:r>
      <w:hyperlink r:id="rId33">
        <w:r w:rsidDel="00000000" w:rsidR="00000000" w:rsidRPr="00000000">
          <w:rPr>
            <w:color w:val="1155cc"/>
            <w:u w:val="single"/>
            <w:rtl w:val="0"/>
          </w:rPr>
          <w:t xml:space="preserve">https://www.bbva.com/es/pe/innovacion/las-ventajas-que-ofrecen-los-canales-digitales-para-bbva-y-sus-clientes/</w:t>
        </w:r>
      </w:hyperlink>
      <w:r w:rsidDel="00000000" w:rsidR="00000000" w:rsidRPr="00000000">
        <w:rPr>
          <w:rtl w:val="0"/>
        </w:rPr>
        <w:t xml:space="preserve"> </w:t>
      </w:r>
    </w:p>
    <w:p w:rsidR="00000000" w:rsidDel="00000000" w:rsidP="00000000" w:rsidRDefault="00000000" w:rsidRPr="00000000" w14:paraId="000000D1">
      <w:pPr>
        <w:spacing w:after="160" w:line="360" w:lineRule="auto"/>
        <w:ind w:left="720" w:hanging="720"/>
        <w:rPr/>
      </w:pPr>
      <w:r w:rsidDel="00000000" w:rsidR="00000000" w:rsidRPr="00000000">
        <w:rPr>
          <w:rtl w:val="0"/>
        </w:rPr>
        <w:t xml:space="preserve">BBVA. (2025b, 12 de diciembre). BBVA impulsa ‘The Eight’, su estrategia para transformar la experiencia financiera con IA. </w:t>
      </w:r>
      <w:hyperlink r:id="rId34">
        <w:r w:rsidDel="00000000" w:rsidR="00000000" w:rsidRPr="00000000">
          <w:rPr>
            <w:color w:val="1155cc"/>
            <w:u w:val="single"/>
            <w:rtl w:val="0"/>
          </w:rPr>
          <w:t xml:space="preserve">https://www.bbva.com/es/innovacion/bbva-impulsa-the-eight-su-estrategia-para-transformar-la-experiencia-financiera-con-ia/</w:t>
        </w:r>
      </w:hyperlink>
      <w:r w:rsidDel="00000000" w:rsidR="00000000" w:rsidRPr="00000000">
        <w:rPr>
          <w:rtl w:val="0"/>
        </w:rPr>
        <w:t xml:space="preserve"> </w:t>
      </w:r>
    </w:p>
    <w:p w:rsidR="00000000" w:rsidDel="00000000" w:rsidP="00000000" w:rsidRDefault="00000000" w:rsidRPr="00000000" w14:paraId="000000D2">
      <w:pPr>
        <w:spacing w:after="160" w:line="360" w:lineRule="auto"/>
        <w:ind w:left="720" w:hanging="720"/>
        <w:rPr/>
      </w:pPr>
      <w:r w:rsidDel="00000000" w:rsidR="00000000" w:rsidRPr="00000000">
        <w:rPr>
          <w:rtl w:val="0"/>
        </w:rPr>
        <w:t xml:space="preserve">BBVA. (2026b, 5 de marzo). La app BBVA Empresas 2.0 crece 141 % y acelera la digitalización de las pymes. </w:t>
      </w:r>
      <w:hyperlink r:id="rId35">
        <w:r w:rsidDel="00000000" w:rsidR="00000000" w:rsidRPr="00000000">
          <w:rPr>
            <w:color w:val="1155cc"/>
            <w:u w:val="single"/>
            <w:rtl w:val="0"/>
          </w:rPr>
          <w:t xml:space="preserve">https://www.bbva.com/es/pe/empresas/la-app-bbva-empresas-2-0-crece-141-y-acelera-la-digitalizacion-de-las-pymes/</w:t>
        </w:r>
      </w:hyperlink>
      <w:r w:rsidDel="00000000" w:rsidR="00000000" w:rsidRPr="00000000">
        <w:rPr>
          <w:rtl w:val="0"/>
        </w:rPr>
        <w:t xml:space="preserve"> </w:t>
      </w:r>
    </w:p>
    <w:p w:rsidR="00000000" w:rsidDel="00000000" w:rsidP="00000000" w:rsidRDefault="00000000" w:rsidRPr="00000000" w14:paraId="000000D3">
      <w:pPr>
        <w:spacing w:after="160" w:line="360" w:lineRule="auto"/>
        <w:ind w:left="720" w:hanging="720"/>
        <w:rPr/>
      </w:pPr>
      <w:r w:rsidDel="00000000" w:rsidR="00000000" w:rsidRPr="00000000">
        <w:rPr>
          <w:rtl w:val="0"/>
        </w:rPr>
        <w:t xml:space="preserve">BBVA. (2026c, 5 de febrero). BBVA bate récord de beneficios en 2025 con €10.511 millones y repartirá un dividendo de más de €5.200 millones [Nota de prensa]. </w:t>
      </w:r>
      <w:hyperlink r:id="rId36">
        <w:r w:rsidDel="00000000" w:rsidR="00000000" w:rsidRPr="00000000">
          <w:rPr>
            <w:color w:val="1155cc"/>
            <w:u w:val="single"/>
            <w:rtl w:val="0"/>
          </w:rPr>
          <w:t xml:space="preserve">https://accionistaseinversores.bbva.com/wp-content/uploads/2026/02/NP-Resultados-BBVA-4T2025_esp.pdf</w:t>
        </w:r>
      </w:hyperlink>
      <w:r w:rsidDel="00000000" w:rsidR="00000000" w:rsidRPr="00000000">
        <w:rPr>
          <w:rtl w:val="0"/>
        </w:rPr>
        <w:t xml:space="preserve"> </w:t>
      </w:r>
    </w:p>
    <w:p w:rsidR="00000000" w:rsidDel="00000000" w:rsidP="00000000" w:rsidRDefault="00000000" w:rsidRPr="00000000" w14:paraId="000000D4">
      <w:pPr>
        <w:spacing w:after="160" w:line="360" w:lineRule="auto"/>
        <w:ind w:left="720" w:hanging="720"/>
        <w:rPr/>
      </w:pPr>
      <w:r w:rsidDel="00000000" w:rsidR="00000000" w:rsidRPr="00000000">
        <w:rPr>
          <w:rtl w:val="0"/>
        </w:rPr>
        <w:t xml:space="preserve">BBVA. (2026d, 24 de junio). BBVA México lanzó estrategia de financiamiento digital para 1.1 millones de Pymes por hasta 14 mdp. </w:t>
      </w:r>
      <w:hyperlink r:id="rId37">
        <w:r w:rsidDel="00000000" w:rsidR="00000000" w:rsidRPr="00000000">
          <w:rPr>
            <w:color w:val="1155cc"/>
            <w:u w:val="single"/>
            <w:rtl w:val="0"/>
          </w:rPr>
          <w:t xml:space="preserve">https://www.bbva.com/es/mx/economia-y-finanzas/bbva-mexico-lanzo-estrategia-de-financiamiento-digital-para-1-1-millones-de-pymes-por-hasta-14-mdp/</w:t>
        </w:r>
      </w:hyperlink>
      <w:r w:rsidDel="00000000" w:rsidR="00000000" w:rsidRPr="00000000">
        <w:rPr>
          <w:rtl w:val="0"/>
        </w:rPr>
        <w:t xml:space="preserve"> </w:t>
      </w:r>
    </w:p>
    <w:p w:rsidR="00000000" w:rsidDel="00000000" w:rsidP="00000000" w:rsidRDefault="00000000" w:rsidRPr="00000000" w14:paraId="000000D5">
      <w:pPr>
        <w:spacing w:after="160" w:line="360" w:lineRule="auto"/>
        <w:ind w:left="720" w:hanging="720"/>
        <w:rPr/>
      </w:pPr>
      <w:r w:rsidDel="00000000" w:rsidR="00000000" w:rsidRPr="00000000">
        <w:rPr>
          <w:rtl w:val="0"/>
        </w:rPr>
        <w:t xml:space="preserve">Blue Ocean Strategy. (s. f.). Eliminate-Reduce-Raise-Create Grid (ERRC Grid). Recuperado el 15 de setiembre de 2026, de </w:t>
      </w:r>
      <w:hyperlink r:id="rId38">
        <w:r w:rsidDel="00000000" w:rsidR="00000000" w:rsidRPr="00000000">
          <w:rPr>
            <w:color w:val="1155cc"/>
            <w:u w:val="single"/>
            <w:rtl w:val="0"/>
          </w:rPr>
          <w:t xml:space="preserve">https://www.blueoceanstrategy.com/tools/errc-grid/</w:t>
        </w:r>
      </w:hyperlink>
      <w:r w:rsidDel="00000000" w:rsidR="00000000" w:rsidRPr="00000000">
        <w:rPr>
          <w:rtl w:val="0"/>
        </w:rPr>
        <w:t xml:space="preserve"> </w:t>
      </w:r>
    </w:p>
    <w:p w:rsidR="00000000" w:rsidDel="00000000" w:rsidP="00000000" w:rsidRDefault="00000000" w:rsidRPr="00000000" w14:paraId="000000D6">
      <w:pPr>
        <w:spacing w:after="160" w:line="360" w:lineRule="auto"/>
        <w:ind w:left="720" w:hanging="720"/>
        <w:rPr/>
      </w:pPr>
      <w:r w:rsidDel="00000000" w:rsidR="00000000" w:rsidRPr="00000000">
        <w:rPr>
          <w:rtl w:val="0"/>
        </w:rPr>
        <w:t xml:space="preserve">Decreto Supremo N.° 115-2025-PCM. (2025, 9 de setiembre). Decreto Supremo que aprueba el Reglamento de la Ley N.° 31814, Ley que promueve el uso de la inteligencia artificial en favor del desarrollo económico y social del país. Diario Oficial El Peruano. </w:t>
      </w:r>
      <w:hyperlink r:id="rId39">
        <w:r w:rsidDel="00000000" w:rsidR="00000000" w:rsidRPr="00000000">
          <w:rPr>
            <w:color w:val="1155cc"/>
            <w:u w:val="single"/>
            <w:rtl w:val="0"/>
          </w:rPr>
          <w:t xml:space="preserve">https://busquedas.elperuano.pe/dispositivo/NL/2436426-1</w:t>
        </w:r>
      </w:hyperlink>
      <w:r w:rsidDel="00000000" w:rsidR="00000000" w:rsidRPr="00000000">
        <w:rPr>
          <w:rtl w:val="0"/>
        </w:rPr>
        <w:t xml:space="preserve">  </w:t>
      </w:r>
    </w:p>
    <w:p w:rsidR="00000000" w:rsidDel="00000000" w:rsidP="00000000" w:rsidRDefault="00000000" w:rsidRPr="00000000" w14:paraId="000000D7">
      <w:pPr>
        <w:spacing w:after="160" w:line="360" w:lineRule="auto"/>
        <w:ind w:left="720" w:hanging="720"/>
        <w:rPr/>
      </w:pPr>
      <w:r w:rsidDel="00000000" w:rsidR="00000000" w:rsidRPr="00000000">
        <w:rPr>
          <w:rtl w:val="0"/>
        </w:rPr>
        <w:t xml:space="preserve">Europa Press. (2026, 1 de setiembre). Revolut lanza Air en España, su nuevo asistente de inteligencia artificial para gestionar las finanzas. Bolsamanía. </w:t>
      </w:r>
      <w:hyperlink r:id="rId40">
        <w:r w:rsidDel="00000000" w:rsidR="00000000" w:rsidRPr="00000000">
          <w:rPr>
            <w:color w:val="1155cc"/>
            <w:u w:val="single"/>
            <w:rtl w:val="0"/>
          </w:rPr>
          <w:t xml:space="preserve">https://www.bolsamania.com/noticias/mercados/economia--revolut-lanza-air-en-espana-su-nuevo-asistente-de-inteligencia-artificial-para-gestionar-las-finanzas--23442762.html</w:t>
        </w:r>
      </w:hyperlink>
      <w:r w:rsidDel="00000000" w:rsidR="00000000" w:rsidRPr="00000000">
        <w:rPr>
          <w:rtl w:val="0"/>
        </w:rPr>
        <w:t xml:space="preserve"> </w:t>
      </w:r>
    </w:p>
    <w:p w:rsidR="00000000" w:rsidDel="00000000" w:rsidP="00000000" w:rsidRDefault="00000000" w:rsidRPr="00000000" w14:paraId="000000D8">
      <w:pPr>
        <w:spacing w:after="160" w:line="360" w:lineRule="auto"/>
        <w:ind w:left="720" w:hanging="720"/>
        <w:rPr/>
      </w:pPr>
      <w:r w:rsidDel="00000000" w:rsidR="00000000" w:rsidRPr="00000000">
        <w:rPr>
          <w:rtl w:val="0"/>
        </w:rPr>
        <w:t xml:space="preserve">Interbank. (s. f.). Tarjeta Digital. Recuperado el 26 de setiembre de 2026, de </w:t>
      </w:r>
      <w:hyperlink r:id="rId41">
        <w:r w:rsidDel="00000000" w:rsidR="00000000" w:rsidRPr="00000000">
          <w:rPr>
            <w:color w:val="1155cc"/>
            <w:u w:val="single"/>
            <w:rtl w:val="0"/>
          </w:rPr>
          <w:t xml:space="preserve">https://interbank.pe/tarjetas/tarjeta-digital/tarjeta-digital</w:t>
        </w:r>
      </w:hyperlink>
      <w:r w:rsidDel="00000000" w:rsidR="00000000" w:rsidRPr="00000000">
        <w:rPr>
          <w:rtl w:val="0"/>
        </w:rPr>
        <w:t xml:space="preserve">  </w:t>
      </w:r>
    </w:p>
    <w:p w:rsidR="00000000" w:rsidDel="00000000" w:rsidP="00000000" w:rsidRDefault="00000000" w:rsidRPr="00000000" w14:paraId="000000D9">
      <w:pPr>
        <w:spacing w:after="160" w:line="360" w:lineRule="auto"/>
        <w:ind w:left="720" w:hanging="720"/>
        <w:rPr/>
      </w:pPr>
      <w:r w:rsidDel="00000000" w:rsidR="00000000" w:rsidRPr="00000000">
        <w:rPr>
          <w:rtl w:val="0"/>
        </w:rPr>
        <w:t xml:space="preserve">Kim, W. C., &amp; Mauborgne, R. (2005). Blue Ocean Strategy: How to Create Uncontested Market Space and Make the Competition Irrelevant. Harvard Business School Press.</w:t>
      </w:r>
    </w:p>
    <w:p w:rsidR="00000000" w:rsidDel="00000000" w:rsidP="00000000" w:rsidRDefault="00000000" w:rsidRPr="00000000" w14:paraId="000000DA">
      <w:pPr>
        <w:spacing w:after="160" w:line="360" w:lineRule="auto"/>
        <w:ind w:left="720" w:hanging="720"/>
        <w:rPr/>
      </w:pPr>
      <w:r w:rsidDel="00000000" w:rsidR="00000000" w:rsidRPr="00000000">
        <w:rPr>
          <w:rtl w:val="0"/>
        </w:rPr>
        <w:t xml:space="preserve">Kore.ai. (2026, 20 de febrero). AI agents in finance and banking: 12 proven use cases (2026). </w:t>
      </w:r>
      <w:hyperlink r:id="rId42">
        <w:r w:rsidDel="00000000" w:rsidR="00000000" w:rsidRPr="00000000">
          <w:rPr>
            <w:color w:val="1155cc"/>
            <w:u w:val="single"/>
            <w:rtl w:val="0"/>
          </w:rPr>
          <w:t xml:space="preserve">https://www.kore.ai/blog/ai-agents-in-finance-banking-12-proven-use-cases-2026</w:t>
        </w:r>
      </w:hyperlink>
      <w:r w:rsidDel="00000000" w:rsidR="00000000" w:rsidRPr="00000000">
        <w:rPr>
          <w:rtl w:val="0"/>
        </w:rPr>
        <w:t xml:space="preserve"> </w:t>
      </w:r>
    </w:p>
    <w:p w:rsidR="00000000" w:rsidDel="00000000" w:rsidP="00000000" w:rsidRDefault="00000000" w:rsidRPr="00000000" w14:paraId="000000DB">
      <w:pPr>
        <w:spacing w:after="160" w:line="360" w:lineRule="auto"/>
        <w:ind w:left="720" w:hanging="720"/>
        <w:rPr/>
      </w:pPr>
      <w:r w:rsidDel="00000000" w:rsidR="00000000" w:rsidRPr="00000000">
        <w:rPr>
          <w:rtl w:val="0"/>
        </w:rPr>
        <w:t xml:space="preserve">López, P. (2026, 25 de mayo). Blue Buddy: la IA generativa que mejora la atención en oficinas bancarias. BBVA. </w:t>
      </w:r>
      <w:hyperlink r:id="rId43">
        <w:r w:rsidDel="00000000" w:rsidR="00000000" w:rsidRPr="00000000">
          <w:rPr>
            <w:color w:val="1155cc"/>
            <w:u w:val="single"/>
            <w:rtl w:val="0"/>
          </w:rPr>
          <w:t xml:space="preserve">https://www.bbva.com/es/pe/innovacion/blue-buddy-la-ia-generativa-que-mejora-la-atencion-en-oficinas-bancarias/</w:t>
        </w:r>
      </w:hyperlink>
      <w:r w:rsidDel="00000000" w:rsidR="00000000" w:rsidRPr="00000000">
        <w:rPr>
          <w:rtl w:val="0"/>
        </w:rPr>
        <w:t xml:space="preserve"> </w:t>
      </w:r>
    </w:p>
    <w:p w:rsidR="00000000" w:rsidDel="00000000" w:rsidP="00000000" w:rsidRDefault="00000000" w:rsidRPr="00000000" w14:paraId="000000DC">
      <w:pPr>
        <w:spacing w:after="160" w:line="360" w:lineRule="auto"/>
        <w:ind w:left="720" w:hanging="720"/>
        <w:rPr/>
      </w:pPr>
      <w:r w:rsidDel="00000000" w:rsidR="00000000" w:rsidRPr="00000000">
        <w:rPr>
          <w:rtl w:val="0"/>
        </w:rPr>
        <w:t xml:space="preserve">Melo, Y. (2026, 24 de marzo). Solo 1 de cada 4 mypes accede a crédito y paga más por falta de información financiera. Infobae. </w:t>
      </w:r>
      <w:hyperlink r:id="rId44">
        <w:r w:rsidDel="00000000" w:rsidR="00000000" w:rsidRPr="00000000">
          <w:rPr>
            <w:color w:val="1155cc"/>
            <w:u w:val="single"/>
            <w:rtl w:val="0"/>
          </w:rPr>
          <w:t xml:space="preserve">https://www.infobae.com/peru/2026/03/24/solo-1-de-cada-4-mypes-accede-a-credito-y-paga-mas-por-falta-de-informacion-financiera/</w:t>
        </w:r>
      </w:hyperlink>
      <w:r w:rsidDel="00000000" w:rsidR="00000000" w:rsidRPr="00000000">
        <w:rPr>
          <w:rtl w:val="0"/>
        </w:rPr>
        <w:t xml:space="preserve"> </w:t>
      </w:r>
    </w:p>
    <w:p w:rsidR="00000000" w:rsidDel="00000000" w:rsidP="00000000" w:rsidRDefault="00000000" w:rsidRPr="00000000" w14:paraId="000000DD">
      <w:pPr>
        <w:spacing w:after="160" w:line="360" w:lineRule="auto"/>
        <w:ind w:left="720" w:hanging="720"/>
        <w:rPr/>
      </w:pPr>
      <w:r w:rsidDel="00000000" w:rsidR="00000000" w:rsidRPr="00000000">
        <w:rPr>
          <w:rtl w:val="0"/>
        </w:rPr>
        <w:t xml:space="preserve">Mestanza Arquiñigo, C. (2024, 13 de noviembre). La inteligencia artificial llega al "call center": ¿cómo responde el voicebot bancario y qué será capaz de hacer? El Comercio. </w:t>
      </w:r>
      <w:hyperlink r:id="rId45">
        <w:r w:rsidDel="00000000" w:rsidR="00000000" w:rsidRPr="00000000">
          <w:rPr>
            <w:color w:val="1155cc"/>
            <w:u w:val="single"/>
            <w:rtl w:val="0"/>
          </w:rPr>
          <w:t xml:space="preserve">https://elcomercio.pe/tecnologia/inteligencia-artificial/la-inteligencia-artificial-llega-al-call-center-como-responde-el-voicebot-bancario-y-que-sera-capaz-de-hacer-ia-bancos-sistema-financiero-atencion-al-cliente-noticia/</w:t>
        </w:r>
      </w:hyperlink>
      <w:r w:rsidDel="00000000" w:rsidR="00000000" w:rsidRPr="00000000">
        <w:rPr>
          <w:rtl w:val="0"/>
        </w:rPr>
        <w:t xml:space="preserve"> </w:t>
      </w:r>
    </w:p>
    <w:p w:rsidR="00000000" w:rsidDel="00000000" w:rsidP="00000000" w:rsidRDefault="00000000" w:rsidRPr="00000000" w14:paraId="000000DE">
      <w:pPr>
        <w:spacing w:after="160" w:line="360" w:lineRule="auto"/>
        <w:ind w:left="720" w:hanging="720"/>
        <w:rPr/>
      </w:pPr>
      <w:r w:rsidDel="00000000" w:rsidR="00000000" w:rsidRPr="00000000">
        <w:rPr>
          <w:rtl w:val="0"/>
        </w:rPr>
        <w:t xml:space="preserve">Pombo Nartallo, V. (2025, 7 de marzo). Generative AI: Customer service, SMEs and fraud detection stood out at the BBVA Bot Talent competition. BBVA. </w:t>
      </w:r>
      <w:hyperlink r:id="rId46">
        <w:r w:rsidDel="00000000" w:rsidR="00000000" w:rsidRPr="00000000">
          <w:rPr>
            <w:color w:val="1155cc"/>
            <w:u w:val="single"/>
            <w:rtl w:val="0"/>
          </w:rPr>
          <w:t xml:space="preserve">https://www.bbva.com/en/innovation/generative-ai-customer-service-smes-and-fraud-detection-stood-out-at-the-bbva-bot-talent-competition/</w:t>
        </w:r>
      </w:hyperlink>
      <w:r w:rsidDel="00000000" w:rsidR="00000000" w:rsidRPr="00000000">
        <w:rPr>
          <w:rtl w:val="0"/>
        </w:rPr>
        <w:t xml:space="preserve"> </w:t>
      </w:r>
    </w:p>
    <w:p w:rsidR="00000000" w:rsidDel="00000000" w:rsidP="00000000" w:rsidRDefault="00000000" w:rsidRPr="00000000" w14:paraId="000000DF">
      <w:pPr>
        <w:spacing w:after="160" w:line="360" w:lineRule="auto"/>
        <w:ind w:left="720" w:hanging="720"/>
        <w:rPr/>
      </w:pPr>
      <w:r w:rsidDel="00000000" w:rsidR="00000000" w:rsidRPr="00000000">
        <w:rPr>
          <w:rtl w:val="0"/>
        </w:rPr>
        <w:t xml:space="preserve">PressPerú. (2026, 23 de julio). Mibanco lleva la IA agéntica de AWS a WhatsApp para transformar el acceso a las microfinanzas en Perú. </w:t>
      </w:r>
      <w:hyperlink r:id="rId47">
        <w:r w:rsidDel="00000000" w:rsidR="00000000" w:rsidRPr="00000000">
          <w:rPr>
            <w:color w:val="1155cc"/>
            <w:u w:val="single"/>
            <w:rtl w:val="0"/>
          </w:rPr>
          <w:t xml:space="preserve">https://pressperu.com/2026/07/23/mibanco-lleva-la-ia-agentica-de-aws-a-whatsapp-para-transformar-el-acceso-a-las-microfinanzas-en-peru/</w:t>
        </w:r>
      </w:hyperlink>
      <w:r w:rsidDel="00000000" w:rsidR="00000000" w:rsidRPr="00000000">
        <w:rPr>
          <w:rtl w:val="0"/>
        </w:rPr>
        <w:t xml:space="preserve"> </w:t>
      </w:r>
    </w:p>
    <w:p w:rsidR="00000000" w:rsidDel="00000000" w:rsidP="00000000" w:rsidRDefault="00000000" w:rsidRPr="00000000" w14:paraId="000000E0">
      <w:pPr>
        <w:spacing w:after="160" w:line="360" w:lineRule="auto"/>
        <w:ind w:left="720" w:hanging="720"/>
        <w:rPr/>
      </w:pPr>
      <w:r w:rsidDel="00000000" w:rsidR="00000000" w:rsidRPr="00000000">
        <w:rPr>
          <w:rtl w:val="0"/>
        </w:rPr>
        <w:t xml:space="preserve">Ramírez Huancayo, Z. (2026, 14 de setiembre). Habrá más control a créditos bancarios que se otorguen con IA, ¿qué ganarán clientes? Gestión. </w:t>
      </w:r>
      <w:hyperlink r:id="rId48">
        <w:r w:rsidDel="00000000" w:rsidR="00000000" w:rsidRPr="00000000">
          <w:rPr>
            <w:color w:val="1155cc"/>
            <w:u w:val="single"/>
            <w:rtl w:val="0"/>
          </w:rPr>
          <w:t xml:space="preserve">https://gestion.pe/economia/empresas/habra-mas-control-a-creditos-bancarios-que-se-otorguen-con-ia-que-ganaran-clientes-noticia/</w:t>
        </w:r>
      </w:hyperlink>
      <w:r w:rsidDel="00000000" w:rsidR="00000000" w:rsidRPr="00000000">
        <w:rPr>
          <w:rtl w:val="0"/>
        </w:rPr>
        <w:t xml:space="preserve"> </w:t>
      </w:r>
    </w:p>
    <w:p w:rsidR="00000000" w:rsidDel="00000000" w:rsidP="00000000" w:rsidRDefault="00000000" w:rsidRPr="00000000" w14:paraId="000000E1">
      <w:pPr>
        <w:spacing w:after="160" w:line="360" w:lineRule="auto"/>
        <w:ind w:left="720" w:hanging="720"/>
        <w:rPr/>
      </w:pPr>
      <w:r w:rsidDel="00000000" w:rsidR="00000000" w:rsidRPr="00000000">
        <w:rPr>
          <w:rtl w:val="0"/>
        </w:rPr>
        <w:t xml:space="preserve">Resolución SBS N.° 00704-2026. (2026, 12 de marzo). Modifican el Reglamento de Operaciones con Dinero Electrónico y el Reglamento de Cuentas Básicas. Diario Oficial El Peruano. </w:t>
      </w:r>
      <w:hyperlink r:id="rId49">
        <w:r w:rsidDel="00000000" w:rsidR="00000000" w:rsidRPr="00000000">
          <w:rPr>
            <w:color w:val="1155cc"/>
            <w:u w:val="single"/>
            <w:rtl w:val="0"/>
          </w:rPr>
          <w:t xml:space="preserve">https://busquedas.elperuano.pe/dispositivo/NL/2494159-1</w:t>
        </w:r>
      </w:hyperlink>
      <w:r w:rsidDel="00000000" w:rsidR="00000000" w:rsidRPr="00000000">
        <w:rPr>
          <w:rtl w:val="0"/>
        </w:rPr>
        <w:t xml:space="preserve"> </w:t>
      </w:r>
    </w:p>
    <w:p w:rsidR="00000000" w:rsidDel="00000000" w:rsidP="00000000" w:rsidRDefault="00000000" w:rsidRPr="00000000" w14:paraId="000000E2">
      <w:pPr>
        <w:spacing w:after="160" w:line="360" w:lineRule="auto"/>
        <w:ind w:left="720" w:hanging="720"/>
        <w:rPr/>
      </w:pPr>
      <w:r w:rsidDel="00000000" w:rsidR="00000000" w:rsidRPr="00000000">
        <w:rPr>
          <w:rtl w:val="0"/>
        </w:rPr>
        <w:t xml:space="preserve">Resolución SBS N.° 00908-2025. (2025, 18 de marzo). Modifican el Reglamento de Cuentas Básicas y el Reglamento de Operaciones con Dinero Electrónico, aprobados mediante la Res. SBS N.° 2891-2018 y la Res. SBS N.° 6283-2013. Diario Oficial El Peruano. </w:t>
      </w:r>
      <w:hyperlink r:id="rId50">
        <w:r w:rsidDel="00000000" w:rsidR="00000000" w:rsidRPr="00000000">
          <w:rPr>
            <w:color w:val="1155cc"/>
            <w:u w:val="single"/>
            <w:rtl w:val="0"/>
          </w:rPr>
          <w:t xml:space="preserve">https://busquedas.elperuano.pe/dispositivo/NL/2379128-1</w:t>
        </w:r>
      </w:hyperlink>
      <w:r w:rsidDel="00000000" w:rsidR="00000000" w:rsidRPr="00000000">
        <w:rPr>
          <w:rtl w:val="0"/>
        </w:rPr>
        <w:t xml:space="preserve"> </w:t>
      </w:r>
    </w:p>
    <w:p w:rsidR="00000000" w:rsidDel="00000000" w:rsidP="00000000" w:rsidRDefault="00000000" w:rsidRPr="00000000" w14:paraId="000000E3">
      <w:pPr>
        <w:spacing w:after="160" w:line="360" w:lineRule="auto"/>
        <w:ind w:left="720" w:hanging="720"/>
        <w:rPr/>
      </w:pPr>
      <w:r w:rsidDel="00000000" w:rsidR="00000000" w:rsidRPr="00000000">
        <w:rPr>
          <w:rtl w:val="0"/>
        </w:rPr>
        <w:t xml:space="preserve">Reusche, I. (2025, 31 de enero). 'Blue', el asistente virtual de BBVA, atiende más de cuatro millones de consultas en Perú. BBVA. </w:t>
      </w:r>
      <w:hyperlink r:id="rId51">
        <w:r w:rsidDel="00000000" w:rsidR="00000000" w:rsidRPr="00000000">
          <w:rPr>
            <w:color w:val="1155cc"/>
            <w:u w:val="single"/>
            <w:rtl w:val="0"/>
          </w:rPr>
          <w:t xml:space="preserve">https://www.bbva.com/es/pe/innovacion/blue-el-asistente-virtual-de-bbva-atiende-mas-de-cuatro-millones-de-consultas-en-peru/</w:t>
        </w:r>
      </w:hyperlink>
      <w:r w:rsidDel="00000000" w:rsidR="00000000" w:rsidRPr="00000000">
        <w:rPr>
          <w:rtl w:val="0"/>
        </w:rPr>
        <w:t xml:space="preserve"> </w:t>
      </w:r>
    </w:p>
    <w:p w:rsidR="00000000" w:rsidDel="00000000" w:rsidP="00000000" w:rsidRDefault="00000000" w:rsidRPr="00000000" w14:paraId="000000E4">
      <w:pPr>
        <w:spacing w:after="160" w:line="360" w:lineRule="auto"/>
        <w:ind w:left="720" w:hanging="720"/>
        <w:rPr/>
      </w:pPr>
      <w:r w:rsidDel="00000000" w:rsidR="00000000" w:rsidRPr="00000000">
        <w:rPr>
          <w:rtl w:val="0"/>
        </w:rPr>
        <w:t xml:space="preserve">Reusche, I. (2026, 4 de agosto). BBVA en Perú alcanza una facturación trimestral histórica en el segmento Pymes con 48 % de crecimiento versus 2025. BBVA. </w:t>
      </w:r>
      <w:hyperlink r:id="rId52">
        <w:r w:rsidDel="00000000" w:rsidR="00000000" w:rsidRPr="00000000">
          <w:rPr>
            <w:color w:val="1155cc"/>
            <w:u w:val="single"/>
            <w:rtl w:val="0"/>
          </w:rPr>
          <w:t xml:space="preserve">https://www.bbva.com/es/pe/empresas/bbva-en-peru-alcanza-una-facturacion-trimestral-historica-en-el-segmento-pymes-con-48-de-crecimiento-versus-2025/</w:t>
        </w:r>
      </w:hyperlink>
      <w:r w:rsidDel="00000000" w:rsidR="00000000" w:rsidRPr="00000000">
        <w:rPr>
          <w:rtl w:val="0"/>
        </w:rPr>
        <w:t xml:space="preserve"> </w:t>
      </w:r>
    </w:p>
    <w:p w:rsidR="00000000" w:rsidDel="00000000" w:rsidP="00000000" w:rsidRDefault="00000000" w:rsidRPr="00000000" w14:paraId="000000E5">
      <w:pPr>
        <w:spacing w:after="160" w:line="360" w:lineRule="auto"/>
        <w:ind w:left="720" w:hanging="720"/>
        <w:rPr/>
      </w:pPr>
      <w:r w:rsidDel="00000000" w:rsidR="00000000" w:rsidRPr="00000000">
        <w:rPr>
          <w:rtl w:val="0"/>
        </w:rPr>
        <w:t xml:space="preserve">Scotiabank Perú. (s. f.). Cuenta Kids. Recuperado el 26 de setiembre de 2026, de </w:t>
      </w:r>
      <w:hyperlink r:id="rId53">
        <w:r w:rsidDel="00000000" w:rsidR="00000000" w:rsidRPr="00000000">
          <w:rPr>
            <w:color w:val="1155cc"/>
            <w:u w:val="single"/>
            <w:rtl w:val="0"/>
          </w:rPr>
          <w:t xml:space="preserve">https://www.scotiabank.com.pe/Personas/Ahorros/Cuentas-Bancarias/cuenta-kids-scotiabank</w:t>
        </w:r>
      </w:hyperlink>
      <w:r w:rsidDel="00000000" w:rsidR="00000000" w:rsidRPr="00000000">
        <w:rPr>
          <w:rtl w:val="0"/>
        </w:rPr>
        <w:t xml:space="preserve">   </w:t>
      </w:r>
    </w:p>
    <w:p w:rsidR="00000000" w:rsidDel="00000000" w:rsidP="00000000" w:rsidRDefault="00000000" w:rsidRPr="00000000" w14:paraId="000000E6">
      <w:pPr>
        <w:spacing w:after="160" w:line="360" w:lineRule="auto"/>
        <w:ind w:left="720" w:hanging="720"/>
        <w:rPr/>
      </w:pPr>
      <w:r w:rsidDel="00000000" w:rsidR="00000000" w:rsidRPr="00000000">
        <w:rPr>
          <w:rtl w:val="0"/>
        </w:rPr>
        <w:t xml:space="preserve">Stealth Agents. (2026, 25 de junio). AI loan underwriting automation stats 2026. </w:t>
      </w:r>
      <w:hyperlink r:id="rId54">
        <w:r w:rsidDel="00000000" w:rsidR="00000000" w:rsidRPr="00000000">
          <w:rPr>
            <w:color w:val="1155cc"/>
            <w:u w:val="single"/>
            <w:rtl w:val="0"/>
          </w:rPr>
          <w:t xml:space="preserve">https://stealthagents.com/research/ai-loan-underwriting-automation-statistics-2026</w:t>
        </w:r>
      </w:hyperlink>
      <w:r w:rsidDel="00000000" w:rsidR="00000000" w:rsidRPr="00000000">
        <w:rPr>
          <w:rtl w:val="0"/>
        </w:rPr>
        <w:t xml:space="preserve"> </w:t>
      </w:r>
    </w:p>
    <w:p w:rsidR="00000000" w:rsidDel="00000000" w:rsidP="00000000" w:rsidRDefault="00000000" w:rsidRPr="00000000" w14:paraId="000000E7">
      <w:pPr>
        <w:spacing w:after="160" w:line="360" w:lineRule="auto"/>
        <w:ind w:left="720" w:hanging="720"/>
        <w:rPr/>
      </w:pPr>
      <w:r w:rsidDel="00000000" w:rsidR="00000000" w:rsidRPr="00000000">
        <w:rPr>
          <w:rtl w:val="0"/>
        </w:rPr>
        <w:t xml:space="preserve">Sundararajan, R., &amp; Jeenah, U. (2025, 15 de agosto). El fin de la inercia: los agentes de IA y la disrupción en la banca minorista y PyME. McKinsey &amp; Company. </w:t>
      </w:r>
      <w:hyperlink r:id="rId55">
        <w:r w:rsidDel="00000000" w:rsidR="00000000" w:rsidRPr="00000000">
          <w:rPr>
            <w:color w:val="1155cc"/>
            <w:u w:val="single"/>
            <w:rtl w:val="0"/>
          </w:rPr>
          <w:t xml:space="preserve">https://www.mckinsey.com/locations/south-america/latam/hispanoamerica-en-potencia/el-fin-de-la-inercia-los-agentes-de-ia-y-la-disrupcion-en-la-banca-minorista-y-pyme/es-CL</w:t>
        </w:r>
      </w:hyperlink>
      <w:r w:rsidDel="00000000" w:rsidR="00000000" w:rsidRPr="00000000">
        <w:rPr>
          <w:rtl w:val="0"/>
        </w:rPr>
        <w:t xml:space="preserve"> </w:t>
      </w:r>
    </w:p>
    <w:p w:rsidR="00000000" w:rsidDel="00000000" w:rsidP="00000000" w:rsidRDefault="00000000" w:rsidRPr="00000000" w14:paraId="000000E8">
      <w:pPr>
        <w:spacing w:after="160" w:line="360" w:lineRule="auto"/>
        <w:ind w:left="720" w:hanging="720"/>
        <w:rPr/>
      </w:pPr>
      <w:r w:rsidDel="00000000" w:rsidR="00000000" w:rsidRPr="00000000">
        <w:rPr>
          <w:rtl w:val="0"/>
        </w:rPr>
        <w:t xml:space="preserve">Superintendencia de Banca, Seguros y Administradoras Privadas de Fondos de Pensiones. (2022, 28 de diciembre). Resolución SBS N.º 04036-2022: Reglamento de Gestión de Reclamos y Requerimientos. </w:t>
      </w:r>
      <w:hyperlink r:id="rId56">
        <w:r w:rsidDel="00000000" w:rsidR="00000000" w:rsidRPr="00000000">
          <w:rPr>
            <w:color w:val="1155cc"/>
            <w:u w:val="single"/>
            <w:rtl w:val="0"/>
          </w:rPr>
          <w:t xml:space="preserve">https://intranet2.sbs.gob.pe/dv_int_cn/2230/v1.0/Adjuntos/4036-2022.r.pdf</w:t>
        </w:r>
      </w:hyperlink>
      <w:r w:rsidDel="00000000" w:rsidR="00000000" w:rsidRPr="00000000">
        <w:rPr>
          <w:rtl w:val="0"/>
        </w:rPr>
        <w:t xml:space="preserve"> </w:t>
      </w:r>
    </w:p>
    <w:p w:rsidR="00000000" w:rsidDel="00000000" w:rsidP="00000000" w:rsidRDefault="00000000" w:rsidRPr="00000000" w14:paraId="000000E9">
      <w:pPr>
        <w:spacing w:after="160" w:line="360" w:lineRule="auto"/>
        <w:ind w:left="720" w:hanging="720"/>
        <w:rPr/>
      </w:pPr>
      <w:r w:rsidDel="00000000" w:rsidR="00000000" w:rsidRPr="00000000">
        <w:rPr>
          <w:rtl w:val="0"/>
        </w:rPr>
        <w:t xml:space="preserve">Yape. (s. f.). ¿Cómo me registro a Yape con carné de extranjería o pasaporte? Recuperado el 26 de setiembre de 2026, de </w:t>
      </w:r>
      <w:hyperlink r:id="rId57">
        <w:r w:rsidDel="00000000" w:rsidR="00000000" w:rsidRPr="00000000">
          <w:rPr>
            <w:color w:val="1155cc"/>
            <w:u w:val="single"/>
            <w:rtl w:val="0"/>
          </w:rPr>
          <w:t xml:space="preserve">https://www.yape.com.pe/preguntas-frecuentes/crear-tu-cuenta-yape/como-me-registro-a-yape-con-carne-de-extranjer%C3%ADa-o-pasaporte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A">
      <w:pPr>
        <w:spacing w:after="160" w:line="360" w:lineRule="auto"/>
        <w:ind w:left="720" w:hanging="720"/>
        <w:rPr/>
      </w:pPr>
      <w:r w:rsidDel="00000000" w:rsidR="00000000" w:rsidRPr="00000000">
        <w:rPr>
          <w:rtl w:val="0"/>
        </w:rPr>
        <w:t xml:space="preserve">Banco BBVA Perú. (s. f.-k). </w:t>
      </w:r>
      <w:r w:rsidDel="00000000" w:rsidR="00000000" w:rsidRPr="00000000">
        <w:rPr>
          <w:i w:val="1"/>
          <w:iCs w:val="1"/>
          <w:rtl w:val="0"/>
        </w:rPr>
        <w:t xml:space="preserve">Línea de Préstamo Comercial Negocios</w:t>
      </w:r>
      <w:r w:rsidDel="00000000" w:rsidR="00000000" w:rsidRPr="00000000">
        <w:rPr>
          <w:rtl w:val="0"/>
        </w:rPr>
        <w:t xml:space="preserve">. Recuperado el 26 de setiembre de 2026, de</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https://www.bbva.pe/empresas/productos/financiamiento/prestamos-comerciales/linea-negocios.html</w:t>
        </w:r>
      </w:hyperlink>
      <w:r w:rsidDel="00000000" w:rsidR="00000000" w:rsidRPr="00000000">
        <w:rPr>
          <w:rtl w:val="0"/>
        </w:rPr>
        <w:t xml:space="preserve"> </w:t>
      </w:r>
    </w:p>
    <w:p w:rsidR="00000000" w:rsidDel="00000000" w:rsidP="00000000" w:rsidRDefault="00000000" w:rsidRPr="00000000" w14:paraId="000000EB">
      <w:pPr>
        <w:spacing w:after="160" w:line="360" w:lineRule="auto"/>
        <w:ind w:left="720" w:hanging="720"/>
        <w:rPr/>
      </w:pPr>
      <w:r w:rsidDel="00000000" w:rsidR="00000000" w:rsidRPr="00000000">
        <w:rPr>
          <w:rtl w:val="0"/>
        </w:rPr>
        <w:t xml:space="preserve">Banco BBVA Perú. (s. f.-l). </w:t>
      </w:r>
      <w:r w:rsidDel="00000000" w:rsidR="00000000" w:rsidRPr="00000000">
        <w:rPr>
          <w:i w:val="1"/>
          <w:iCs w:val="1"/>
          <w:rtl w:val="0"/>
        </w:rPr>
        <w:t xml:space="preserve">Préstamo Comercial a Mediano Plazo</w:t>
      </w:r>
      <w:r w:rsidDel="00000000" w:rsidR="00000000" w:rsidRPr="00000000">
        <w:rPr>
          <w:rtl w:val="0"/>
        </w:rPr>
        <w:t xml:space="preserve">. Recuperado el 26 de setiembre de 2026, de</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https://www.bbva.pe/empresas/productos/financiamiento/prestamos-comerciales/mediano-plazo.html</w:t>
        </w:r>
      </w:hyperlink>
      <w:r w:rsidDel="00000000" w:rsidR="00000000" w:rsidRPr="00000000">
        <w:rPr>
          <w:rtl w:val="0"/>
        </w:rPr>
        <w:t xml:space="preserve"> </w:t>
      </w:r>
    </w:p>
    <w:p w:rsidR="00000000" w:rsidDel="00000000" w:rsidP="00000000" w:rsidRDefault="00000000" w:rsidRPr="00000000" w14:paraId="000000EC">
      <w:pPr>
        <w:spacing w:after="160" w:line="360" w:lineRule="auto"/>
        <w:ind w:left="720" w:hanging="720"/>
        <w:rPr/>
      </w:pPr>
      <w:r w:rsidDel="00000000" w:rsidR="00000000" w:rsidRPr="00000000">
        <w:rPr>
          <w:rtl w:val="0"/>
        </w:rPr>
        <w:t xml:space="preserve">Banco BBVA Perú. (s. f.-m). </w:t>
      </w:r>
      <w:r w:rsidDel="00000000" w:rsidR="00000000" w:rsidRPr="00000000">
        <w:rPr>
          <w:i w:val="1"/>
          <w:iCs w:val="1"/>
          <w:rtl w:val="0"/>
        </w:rPr>
        <w:t xml:space="preserve">Crédito Comercial Mi Oficina</w:t>
      </w:r>
      <w:r w:rsidDel="00000000" w:rsidR="00000000" w:rsidRPr="00000000">
        <w:rPr>
          <w:rtl w:val="0"/>
        </w:rPr>
        <w:t xml:space="preserve">. Recuperado el 26 de setiembre de 2026, de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https://www.bbva.pe/empresas/productos/financiamiento/prestamos-comerciales/mi-oficina.html</w:t>
        </w:r>
      </w:hyperlink>
      <w:r w:rsidDel="00000000" w:rsidR="00000000" w:rsidRPr="00000000">
        <w:rPr>
          <w:rtl w:val="0"/>
        </w:rPr>
        <w:t xml:space="preserve"> </w:t>
      </w:r>
    </w:p>
    <w:p w:rsidR="00000000" w:rsidDel="00000000" w:rsidP="00000000" w:rsidRDefault="00000000" w:rsidRPr="00000000" w14:paraId="000000ED">
      <w:pPr>
        <w:spacing w:after="160" w:line="360" w:lineRule="auto"/>
        <w:ind w:left="720" w:hanging="720"/>
        <w:rPr/>
      </w:pPr>
      <w:r w:rsidDel="00000000" w:rsidR="00000000" w:rsidRPr="00000000">
        <w:rPr>
          <w:rtl w:val="0"/>
        </w:rPr>
        <w:t xml:space="preserve">Banco BBVA Perú. (2026f, julio). </w:t>
      </w:r>
      <w:r w:rsidDel="00000000" w:rsidR="00000000" w:rsidRPr="00000000">
        <w:rPr>
          <w:i w:val="1"/>
          <w:iCs w:val="1"/>
          <w:rtl w:val="0"/>
        </w:rPr>
        <w:t xml:space="preserve">Información de reclamos atendidos: Periodo del 1 al 31 de julio de 2026</w:t>
      </w:r>
      <w:r w:rsidDel="00000000" w:rsidR="00000000" w:rsidRPr="00000000">
        <w:rPr>
          <w:rtl w:val="0"/>
        </w:rPr>
        <w:t xml:space="preserve">.</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https://www.bbva.pe/content/dam/public-web/peru/documents/personas/Informacion_de_Reclamos_Atendidos_Julio_2026.pdf</w:t>
        </w:r>
      </w:hyperlink>
      <w:r w:rsidDel="00000000" w:rsidR="00000000" w:rsidRPr="00000000">
        <w:rPr>
          <w:rtl w:val="0"/>
        </w:rPr>
        <w:t xml:space="preserve"> </w:t>
      </w:r>
    </w:p>
    <w:p w:rsidR="00000000" w:rsidDel="00000000" w:rsidP="00000000" w:rsidRDefault="00000000" w:rsidRPr="00000000" w14:paraId="000000EE">
      <w:pPr>
        <w:spacing w:after="160" w:line="360" w:lineRule="auto"/>
        <w:ind w:left="720" w:hanging="720"/>
        <w:rPr/>
      </w:pPr>
      <w:r w:rsidDel="00000000" w:rsidR="00000000" w:rsidRPr="00000000">
        <w:rPr>
          <w:rtl w:val="0"/>
        </w:rPr>
        <w:t xml:space="preserve">Banco BBVA Perú. (2026g, agosto). </w:t>
      </w:r>
      <w:r w:rsidDel="00000000" w:rsidR="00000000" w:rsidRPr="00000000">
        <w:rPr>
          <w:i w:val="1"/>
          <w:iCs w:val="1"/>
          <w:rtl w:val="0"/>
        </w:rPr>
        <w:t xml:space="preserve">Información de reclamos atendidos: Periodo del 1 al 31 de agosto de 2026</w:t>
      </w:r>
      <w:r w:rsidDel="00000000" w:rsidR="00000000" w:rsidRPr="00000000">
        <w:rPr>
          <w:rtl w:val="0"/>
        </w:rPr>
        <w:t xml:space="preserve">.</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https://www.bbva.pe/content/dam/public-web/peru/documents/personas/Informacion_de_Reclamos_Atendidos_Agosto2026.pdf</w:t>
        </w:r>
      </w:hyperlink>
      <w:r w:rsidDel="00000000" w:rsidR="00000000" w:rsidRPr="00000000">
        <w:rPr>
          <w:rtl w:val="0"/>
        </w:rPr>
        <w:t xml:space="preserve"> </w:t>
      </w:r>
    </w:p>
    <w:p w:rsidR="00000000" w:rsidDel="00000000" w:rsidP="00000000" w:rsidRDefault="00000000" w:rsidRPr="00000000" w14:paraId="000000EF">
      <w:pPr>
        <w:spacing w:after="200" w:before="0" w:line="360" w:lineRule="auto"/>
        <w:jc w:val="both"/>
        <w:rPr/>
      </w:pPr>
      <w:r w:rsidDel="00000000" w:rsidR="00000000" w:rsidRPr="00000000">
        <w:rPr>
          <w:b w:val="1"/>
          <w:bCs w:val="1"/>
          <w:rtl w:val="0"/>
        </w:rPr>
        <w:t xml:space="preserve">Nota sobre las referencias.</w:t>
      </w:r>
      <w:r w:rsidDel="00000000" w:rsidR="00000000" w:rsidRPr="00000000">
        <w:rPr>
          <w:rtl w:val="0"/>
        </w:rPr>
        <w:t xml:space="preserve"> Las entradas correspondientes a Banco BBVA Perú, BBVA, Melo (2026), Reusche (2026), Andina (2025), Alarcón (2023) y la Superintendencia de Banca, Seguros y AFP (2022) provienen del Entregable 1 y del Entregable 2, y se repiten en esta lista porque vuelven a citarse en las secciones 5 y 6. Las demás fuentes fueron consultadas y verificadas específicamente para la elaboración de esta entrega. La comunicación personal con A. Moquillaza (11 de setiembre de 2026), citada en las secciones 5.4 y 6.3, no figura en esta lista porque, conforme a la norma APA 7.ª edición, las comunicaciones personales se citan solo en el texto. En esta revisión se incorporaron como fuentes primarias de la propia entidad Banco BBVA Perú (s. f.-n, s. f.-o), BBVA (2019, 2025b, 2026c, 2026d), López (2026) y Pombo Nartallo (2025), y se retiraron Banco BBVA Perú (s. f.-l, s. f.-m) por no citarse en el texto. Al integrarse los tres avances, la entrada BBVA (2025) del Entregable 2 debe identificarse como BBVA (2025a).</w:t>
      </w:r>
    </w:p>
    <w:sectPr>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quipo — nota de revisión" w:id="0" w:date="2026-09-24T04:59:06Z">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cifras citadas en este párrafo (Sundararajan y Jeenah, 2025; Stealth Agents, 2026; Kore.ai, 2026) provienen de mercados desarrollados, tal como ya advierte el propio texto. Si el tiempo lo permite, buscar un estudio o cifra equivalente para banca Pyme en Perú o América Latina.</w:t>
      </w:r>
    </w:p>
  </w:comment>
  <w:comment w:author="Equipo — nota de revisión" w:id="2" w:date="2026-09-24T04:59:06Z">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Ninguna de las tres hipótesis se vincula explícitamente con el OE2 (Impulsar la sostenibilidad como motor de crecimiento). La Práctica 1 penalizó la falta de trazabilidad completa de los objetivos estratégicos (Tabla 12 del Entregable 1). Evaluar si corresponde justificar esta ausencia o preguntar al profesor/evaluador si se espera cobertura explícita de OE2 en esta entrega.</w:t>
      </w:r>
    </w:p>
  </w:comment>
  <w:comment w:author="Equipo — nota de revisión" w:id="1" w:date="2026-09-24T04:59:06Z">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meta de 55 % fue propuesta por el equipo y aún no ha sido validada con la entidad, conforme a lo señalado en la sección 4.3 del Entregable 2. Confirmar su viabilidad, de ser posible, con A. Moquillaza.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F0" w15:done="0"/>
  <w15:commentEx w15:paraId="000000F1" w15:done="0"/>
  <w15:commentEx w15:paraId="000000F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bolsamania.com/noticias/mercados/economia--revolut-lanza-air-en-espana-su-nuevo-asistente-de-inteligencia-artificial-para-gestionar-las-finanzas--23442762.html" TargetMode="External"/><Relationship Id="rId42" Type="http://schemas.openxmlformats.org/officeDocument/2006/relationships/hyperlink" Target="https://www.kore.ai/blog/ai-agents-in-finance-banking-12-proven-use-cases-2026" TargetMode="External"/><Relationship Id="rId41" Type="http://schemas.openxmlformats.org/officeDocument/2006/relationships/hyperlink" Target="https://interbank.pe/tarjetas/tarjeta-digital/tarjeta-digital" TargetMode="External"/><Relationship Id="rId44" Type="http://schemas.openxmlformats.org/officeDocument/2006/relationships/hyperlink" Target="https://www.infobae.com/peru/2026/03/24/solo-1-de-cada-4-mypes-accede-a-credito-y-paga-mas-por-falta-de-informacion-financiera/" TargetMode="External"/><Relationship Id="rId43" Type="http://schemas.openxmlformats.org/officeDocument/2006/relationships/hyperlink" Target="https://www.bbva.com/es/pe/innovacion/blue-buddy-la-ia-generativa-que-mejora-la-atencion-en-oficinas-bancarias/" TargetMode="External"/><Relationship Id="rId46" Type="http://schemas.openxmlformats.org/officeDocument/2006/relationships/hyperlink" Target="https://www.bbva.com/en/innovation/generative-ai-customer-service-smes-and-fraud-detection-stood-out-at-the-bbva-bot-talent-competition/" TargetMode="External"/><Relationship Id="rId45" Type="http://schemas.openxmlformats.org/officeDocument/2006/relationships/hyperlink" Target="https://elcomercio.pe/tecnologia/inteligencia-artificial/la-inteligencia-artificial-llega-al-call-center-como-responde-el-voicebot-bancario-y-que-sera-capaz-de-hacer-ia-bancos-sistema-financiero-atencion-al-cliente-noticia/"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48" Type="http://schemas.openxmlformats.org/officeDocument/2006/relationships/hyperlink" Target="https://gestion.pe/economia/empresas/habra-mas-control-a-creditos-bancarios-que-se-otorguen-con-ia-que-ganaran-clientes-noticia/" TargetMode="External"/><Relationship Id="rId47" Type="http://schemas.openxmlformats.org/officeDocument/2006/relationships/hyperlink" Target="https://pressperu.com/2026/07/23/mibanco-lleva-la-ia-agentica-de-aws-a-whatsapp-para-transformar-el-acceso-a-las-microfinanzas-en-peru/" TargetMode="External"/><Relationship Id="rId49" Type="http://schemas.openxmlformats.org/officeDocument/2006/relationships/hyperlink" Target="https://busquedas.elperuano.pe/dispositivo/NL/2494159-1"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hyperlink" Target="https://www.bbva.pe/content/dam/public-web/peru/documents/personas/Informacion_de_Reclamos_Atendidos_Julio_2026.pdf" TargetMode="External"/><Relationship Id="rId30" Type="http://schemas.openxmlformats.org/officeDocument/2006/relationships/hyperlink" Target="https://www.bbva.pe/content/dam/public-web/peru/documents/personas/Informacion_de_Reclamos_atendidos_Junio2026.pdf" TargetMode="External"/><Relationship Id="rId33" Type="http://schemas.openxmlformats.org/officeDocument/2006/relationships/hyperlink" Target="https://www.bbva.com/es/pe/innovacion/las-ventajas-que-ofrecen-los-canales-digitales-para-bbva-y-sus-clientes/" TargetMode="External"/><Relationship Id="rId32" Type="http://schemas.openxmlformats.org/officeDocument/2006/relationships/hyperlink" Target="https://www.bbva.pe/content/dam/public-web/peru/documents/personas/Informacion_de_Reclamos_Atendidos_Agosto2026.pdf" TargetMode="External"/><Relationship Id="rId35" Type="http://schemas.openxmlformats.org/officeDocument/2006/relationships/hyperlink" Target="https://www.bbva.com/es/pe/empresas/la-app-bbva-empresas-2-0-crece-141-y-acelera-la-digitalizacion-de-las-pymes/" TargetMode="External"/><Relationship Id="rId34" Type="http://schemas.openxmlformats.org/officeDocument/2006/relationships/hyperlink" Target="https://www.bbva.com/es/innovacion/bbva-impulsa-the-eight-su-estrategia-para-transformar-la-experiencia-financiera-con-ia/" TargetMode="External"/><Relationship Id="rId37" Type="http://schemas.openxmlformats.org/officeDocument/2006/relationships/hyperlink" Target="https://www.bbva.com/es/mx/economia-y-finanzas/bbva-mexico-lanzo-estrategia-de-financiamiento-digital-para-1-1-millones-de-pymes-por-hasta-14-mdp/" TargetMode="External"/><Relationship Id="rId36" Type="http://schemas.openxmlformats.org/officeDocument/2006/relationships/hyperlink" Target="https://accionistaseinversores.bbva.com/wp-content/uploads/2026/02/NP-Resultados-BBVA-4T2025_esp.pdf" TargetMode="External"/><Relationship Id="rId39" Type="http://schemas.openxmlformats.org/officeDocument/2006/relationships/hyperlink" Target="https://busquedas.elperuano.pe/dispositivo/NL/2436426-1" TargetMode="External"/><Relationship Id="rId38" Type="http://schemas.openxmlformats.org/officeDocument/2006/relationships/hyperlink" Target="https://www.blueoceanstrategy.com/tools/errc-grid/" TargetMode="External"/><Relationship Id="rId62" Type="http://schemas.openxmlformats.org/officeDocument/2006/relationships/hyperlink" Target="https://www.bbva.pe/empresas/productos/financiamiento/prestamos-comerciales/mi-oficina.html" TargetMode="External"/><Relationship Id="rId61" Type="http://schemas.openxmlformats.org/officeDocument/2006/relationships/hyperlink" Target="https://www.bbva.pe/empresas/productos/financiamiento/prestamos-comerciales/mediano-plazo.html" TargetMode="External"/><Relationship Id="rId20" Type="http://schemas.openxmlformats.org/officeDocument/2006/relationships/hyperlink" Target="https://www.bbva.pe/personas/productos/cuentas/ahorro/cuenta-digital/abrir-cuenta-app.html" TargetMode="External"/><Relationship Id="rId64" Type="http://schemas.openxmlformats.org/officeDocument/2006/relationships/hyperlink" Target="https://www.bbva.pe/content/dam/public-web/peru/documents/personas/Informacion_de_Reclamos_Atendidos_Julio_2026.pdf" TargetMode="External"/><Relationship Id="rId63" Type="http://schemas.openxmlformats.org/officeDocument/2006/relationships/hyperlink" Target="https://www.bbva.pe/empresas/productos/financiamiento/prestamos-comerciales/mi-oficina.html" TargetMode="External"/><Relationship Id="rId22" Type="http://schemas.openxmlformats.org/officeDocument/2006/relationships/hyperlink" Target="https://www.bbva.pe/empresas/productos/financiamiento/prestamos-comerciales/linea-negocios.html" TargetMode="External"/><Relationship Id="rId66" Type="http://schemas.openxmlformats.org/officeDocument/2006/relationships/hyperlink" Target="https://www.bbva.pe/content/dam/public-web/peru/documents/personas/Informacion_de_Reclamos_Atendidos_Agosto2026.pdf" TargetMode="External"/><Relationship Id="rId21" Type="http://schemas.openxmlformats.org/officeDocument/2006/relationships/hyperlink" Target="https://www.bbva.pe/personas/productos/cuentas/ahorro/preguntas-frecuentes-sobre-cuentas-de-ahorro.html" TargetMode="External"/><Relationship Id="rId65" Type="http://schemas.openxmlformats.org/officeDocument/2006/relationships/hyperlink" Target="https://www.bbva.pe/content/dam/public-web/peru/documents/personas/Informacion_de_Reclamos_Atendidos_Julio_2026.pdf" TargetMode="External"/><Relationship Id="rId24" Type="http://schemas.openxmlformats.org/officeDocument/2006/relationships/hyperlink" Target="https://www.bbva.pe/blog/mis-finanzas/ahorro/abrir-cuenta-joven-bbva-peru.html" TargetMode="External"/><Relationship Id="rId23" Type="http://schemas.openxmlformats.org/officeDocument/2006/relationships/hyperlink" Target="https://www.bbva.pe/blog/mis-finanzas/ahorro/cuentas-bancarias-para-ciudadanos-extranjeros.html" TargetMode="External"/><Relationship Id="rId67" Type="http://schemas.openxmlformats.org/officeDocument/2006/relationships/hyperlink" Target="https://www.bbva.pe/content/dam/public-web/peru/documents/personas/Informacion_de_Reclamos_Atendidos_Agosto2026.pdf" TargetMode="External"/><Relationship Id="rId60" Type="http://schemas.openxmlformats.org/officeDocument/2006/relationships/hyperlink" Target="https://www.bbva.pe/empresas/productos/financiamiento/prestamos-comerciales/mediano-plazo.html" TargetMode="External"/><Relationship Id="rId26" Type="http://schemas.openxmlformats.org/officeDocument/2006/relationships/hyperlink" Target="https://www.bbva.pe/content/dam/public-web/peru/documents/prefooter/informacion-financiera/informacion-anual/2026/informe-de-gestion-2T2026.pdf" TargetMode="External"/><Relationship Id="rId25" Type="http://schemas.openxmlformats.org/officeDocument/2006/relationships/hyperlink" Target="https://www.bbva.pe/content/dam/public-web/peru/documents/personas/investor-relations/BBVA_Peru_Informe_de_Gestion_4Q25.pdf" TargetMode="External"/><Relationship Id="rId28" Type="http://schemas.openxmlformats.org/officeDocument/2006/relationships/hyperlink" Target="https://www.bbva.pe/content/dam/public-web/peru/documents/personas/informacion-reclamos-atendidos-abril-2026.pdf" TargetMode="External"/><Relationship Id="rId27" Type="http://schemas.openxmlformats.org/officeDocument/2006/relationships/hyperlink" Target="https://www.bbva.pe/content/dam/public-web/peru/documents/personas/investor-relations/vii-Memoria-Anual-2025.pdf" TargetMode="External"/><Relationship Id="rId29" Type="http://schemas.openxmlformats.org/officeDocument/2006/relationships/hyperlink" Target="https://www.bbva.pe/content/dam/public-web/peru/documents/personas/Informacion_de_Reclamos_Atendidos_Mayo_2026.pdf" TargetMode="External"/><Relationship Id="rId51" Type="http://schemas.openxmlformats.org/officeDocument/2006/relationships/hyperlink" Target="https://www.bbva.com/es/pe/innovacion/blue-el-asistente-virtual-de-bbva-atiende-mas-de-cuatro-millones-de-consultas-en-peru/" TargetMode="External"/><Relationship Id="rId50" Type="http://schemas.openxmlformats.org/officeDocument/2006/relationships/hyperlink" Target="https://busquedas.elperuano.pe/dispositivo/NL/2379128-1" TargetMode="External"/><Relationship Id="rId53" Type="http://schemas.openxmlformats.org/officeDocument/2006/relationships/hyperlink" Target="https://www.scotiabank.com.pe/Personas/Ahorros/Cuentas-Bancarias/cuenta-kids-scotiabank" TargetMode="External"/><Relationship Id="rId52" Type="http://schemas.openxmlformats.org/officeDocument/2006/relationships/hyperlink" Target="https://www.bbva.com/es/pe/empresas/bbva-en-peru-alcanza-una-facturacion-trimestral-historica-en-el-segmento-pymes-con-48-de-crecimiento-versus-2025/" TargetMode="External"/><Relationship Id="rId11" Type="http://schemas.openxmlformats.org/officeDocument/2006/relationships/hyperlink" Target="https://andina.pe/agencia/noticia-indecopi-sistema-financiero-concentra-90-sanciones-operaciones-no-reconocidas-1026373.aspx" TargetMode="External"/><Relationship Id="rId55" Type="http://schemas.openxmlformats.org/officeDocument/2006/relationships/hyperlink" Target="https://www.mckinsey.com/locations/south-america/latam/hispanoamerica-en-potencia/el-fin-de-la-inercia-los-agentes-de-ia-y-la-disrupcion-en-la-banca-minorista-y-pyme/es-CL" TargetMode="External"/><Relationship Id="rId10" Type="http://schemas.openxmlformats.org/officeDocument/2006/relationships/hyperlink" Target="https://ojo-publico.com/4559/las-millonarias-multas-los-bancos-por-consumos-no-reconocidos" TargetMode="External"/><Relationship Id="rId54" Type="http://schemas.openxmlformats.org/officeDocument/2006/relationships/hyperlink" Target="https://stealthagents.com/research/ai-loan-underwriting-automation-statistics-2026" TargetMode="External"/><Relationship Id="rId13" Type="http://schemas.openxmlformats.org/officeDocument/2006/relationships/hyperlink" Target="https://www.bbva.pe/pymes/productos/financiamiento/fast-cash.html" TargetMode="External"/><Relationship Id="rId57" Type="http://schemas.openxmlformats.org/officeDocument/2006/relationships/hyperlink" Target="https://www.yape.com.pe/preguntas-frecuentes/crear-tu-cuenta-yape/como-me-registro-a-yape-con-carne-de-extranjer%C3%ADa-o-pasaporte" TargetMode="External"/><Relationship Id="rId12" Type="http://schemas.openxmlformats.org/officeDocument/2006/relationships/hyperlink" Target="https://www.backbase.com/blog/ai-banking-dispute-resolution-automation" TargetMode="External"/><Relationship Id="rId56" Type="http://schemas.openxmlformats.org/officeDocument/2006/relationships/hyperlink" Target="https://intranet2.sbs.gob.pe/dv_int_cn/2230/v1.0/Adjuntos/4036-2022.r.pdf" TargetMode="External"/><Relationship Id="rId15" Type="http://schemas.openxmlformats.org/officeDocument/2006/relationships/hyperlink" Target="https://www.bbva.pe/empresas/productos/financiamiento/prestamos-comerciales/linea-de-prestamo-digital.html" TargetMode="External"/><Relationship Id="rId59" Type="http://schemas.openxmlformats.org/officeDocument/2006/relationships/hyperlink" Target="https://www.bbva.pe/empresas/productos/financiamiento/prestamos-comerciales/linea-negocios.html" TargetMode="External"/><Relationship Id="rId14" Type="http://schemas.openxmlformats.org/officeDocument/2006/relationships/hyperlink" Target="https://www.bbva.pe/pymes/productos/financiamiento/prestamo-digital-negocio.html" TargetMode="External"/><Relationship Id="rId58" Type="http://schemas.openxmlformats.org/officeDocument/2006/relationships/hyperlink" Target="https://www.bbva.pe/empresas/productos/financiamiento/prestamos-comerciales/linea-negocios.html" TargetMode="External"/><Relationship Id="rId17" Type="http://schemas.openxmlformats.org/officeDocument/2006/relationships/hyperlink" Target="https://www.bbva.pe/empresas/productos/financiamiento/prestamos-comerciales/negocios-empresas.html" TargetMode="External"/><Relationship Id="rId16" Type="http://schemas.openxmlformats.org/officeDocument/2006/relationships/hyperlink" Target="https://www.bbva.pe/empresas/productos/financiamiento/prestamos-comerciales/linea-prestamo-digital-persona-juridica.html" TargetMode="External"/><Relationship Id="rId19" Type="http://schemas.openxmlformats.org/officeDocument/2006/relationships/hyperlink" Target="https://www.bbva.pe/personas/sos-cliente/consulta-de-reclamos.html" TargetMode="External"/><Relationship Id="rId18" Type="http://schemas.openxmlformats.org/officeDocument/2006/relationships/hyperlink" Target="https://www.bbva.pe/empresas/productos/financiamiento/prestamos-comerciales/anticipo-po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Pr96q2rFfav7TJ/U1Ggo78dnRQ==">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2026-09-15T18:58:12.530Z</dcterms:created>
  <dc:creator>Un-named</dc:creator>
</cp:coreProperties>
</file>

<file path=docProps/custom.xml><?xml version="1.0" encoding="utf-8"?>
<Properties xmlns="http://schemas.openxmlformats.org/officeDocument/2006/custom-properties" xmlns:vt="http://schemas.openxmlformats.org/officeDocument/2006/docPropsVTypes"/>
</file>