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120"/>
        <w:jc w:val="center"/>
      </w:pPr>
      <w:r>
        <w:rPr>
          <w:rFonts w:ascii="Times New Roman" w:hAnsi="Times New Roman"/>
          <w:b/>
          <w:sz w:val="26"/>
        </w:rPr>
        <w:t>PONTIFICIA UNIVERSIDAD CATÓLICA DEL PERÚ</w:t>
      </w:r>
    </w:p>
    <w:p>
      <w:pPr>
        <w:spacing w:after="120"/>
        <w:jc w:val="center"/>
      </w:pPr>
      <w:r>
        <w:rPr>
          <w:rFonts w:ascii="Times New Roman" w:hAnsi="Times New Roman"/>
          <w:b/>
          <w:sz w:val="24"/>
        </w:rPr>
        <w:t>FACULTAD DE CIENCIAS E INGENIERÍA</w:t>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360"/>
        <w:jc w:val="center"/>
      </w:pPr>
      <w:r>
        <w:rPr>
          <w:rFonts w:ascii="Times New Roman" w:hAnsi="Times New Roman"/>
          <w:b/>
          <w:sz w:val="26"/>
        </w:rPr>
        <w:t>ESTRATEGIAS Y GESTIÓN DE SISTEMAS DE INFORMACIÓN</w:t>
      </w:r>
    </w:p>
    <w:p>
      <w:pPr>
        <w:spacing w:after="480"/>
        <w:jc w:val="center"/>
      </w:pPr>
      <w:r>
        <w:rPr>
          <w:rFonts w:ascii="Times New Roman" w:hAnsi="Times New Roman"/>
          <w:b w:val="0"/>
          <w:sz w:val="24"/>
        </w:rPr>
        <w:t>Práctica 4: Diseño TO BE del proceso, descripción de las soluciones y business case de las iniciativas priorizadas</w:t>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200"/>
        <w:jc w:val="center"/>
      </w:pPr>
      <w:r>
        <w:rPr>
          <w:rFonts w:ascii="Times New Roman" w:hAnsi="Times New Roman"/>
          <w:b/>
          <w:sz w:val="24"/>
        </w:rPr>
        <w:t>AUTORES:</w:t>
      </w:r>
    </w:p>
    <w:p>
      <w:pPr>
        <w:spacing w:after="80"/>
        <w:jc w:val="center"/>
      </w:pPr>
      <w:r>
        <w:rPr>
          <w:rFonts w:ascii="Times New Roman" w:hAnsi="Times New Roman"/>
          <w:b w:val="0"/>
          <w:sz w:val="24"/>
        </w:rPr>
        <w:t>SALAS COHAILA, Gabriel Lucio - 20200606</w:t>
      </w:r>
    </w:p>
    <w:p>
      <w:pPr>
        <w:spacing w:after="80"/>
        <w:jc w:val="center"/>
      </w:pPr>
      <w:r>
        <w:rPr>
          <w:rFonts w:ascii="Times New Roman" w:hAnsi="Times New Roman"/>
          <w:b w:val="0"/>
          <w:sz w:val="24"/>
        </w:rPr>
        <w:t>CHAMORRO CAYETANO, Jorge Josue - 20206234</w:t>
      </w:r>
    </w:p>
    <w:p>
      <w:pPr>
        <w:spacing w:after="80"/>
        <w:jc w:val="center"/>
      </w:pPr>
      <w:r>
        <w:rPr>
          <w:rFonts w:ascii="Times New Roman" w:hAnsi="Times New Roman"/>
          <w:b w:val="0"/>
          <w:sz w:val="24"/>
        </w:rPr>
        <w:t>SANCHEZ PASTOR, Rodrigo Alonso - 20201230</w:t>
      </w:r>
    </w:p>
    <w:p>
      <w:pPr>
        <w:spacing w:after="80"/>
        <w:jc w:val="center"/>
      </w:pPr>
      <w:r>
        <w:rPr>
          <w:rFonts w:ascii="Times New Roman" w:hAnsi="Times New Roman"/>
          <w:b w:val="0"/>
          <w:sz w:val="24"/>
        </w:rPr>
        <w:t>SANTILLÁN HUAMÁN, Aarón Ulises - 20200445</w:t>
      </w:r>
    </w:p>
    <w:p>
      <w:pPr>
        <w:spacing w:after="80"/>
        <w:jc w:val="center"/>
      </w:pPr>
      <w:r>
        <w:rPr>
          <w:rFonts w:ascii="Times New Roman" w:hAnsi="Times New Roman"/>
          <w:b w:val="0"/>
          <w:sz w:val="24"/>
        </w:rPr>
        <w:t>ORIHUELA MONTERO, Johnny Fabricio - 20211000</w:t>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120"/>
        <w:jc w:val="center"/>
      </w:pPr>
      <w:r>
        <w:rPr>
          <w:rFonts w:ascii="Times New Roman" w:hAnsi="Times New Roman"/>
          <w:b/>
          <w:sz w:val="24"/>
        </w:rPr>
        <w:t>PROFESOR:</w:t>
      </w:r>
    </w:p>
    <w:p>
      <w:pPr>
        <w:spacing w:after="480"/>
        <w:jc w:val="center"/>
      </w:pPr>
      <w:r>
        <w:rPr>
          <w:rFonts w:ascii="Times New Roman" w:hAnsi="Times New Roman"/>
          <w:b w:val="0"/>
          <w:sz w:val="24"/>
        </w:rPr>
        <w:t>MORALES BARRERA, LUIS ALBERTO</w:t>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0"/>
        <w:jc w:val="center"/>
      </w:pPr>
      <w:r>
        <w:rPr>
          <w:rFonts w:ascii="Times New Roman" w:hAnsi="Times New Roman"/>
          <w:b w:val="0"/>
          <w:sz w:val="24"/>
        </w:rPr>
      </w:r>
    </w:p>
    <w:p>
      <w:pPr>
        <w:spacing w:after="0"/>
        <w:jc w:val="center"/>
      </w:pPr>
      <w:r>
        <w:rPr>
          <w:rFonts w:ascii="Times New Roman" w:hAnsi="Times New Roman"/>
          <w:b w:val="0"/>
          <w:sz w:val="24"/>
        </w:rPr>
        <w:t>Lima, setiembre, 2026</w:t>
      </w:r>
    </w:p>
    <w:p>
      <w:r>
        <w:br w:type="page"/>
      </w:r>
    </w:p>
    <w:p>
      <w:pPr>
        <w:spacing w:lineRule="auto" w:line="360" w:after="160"/>
        <w:jc w:val="both"/>
      </w:pPr>
      <w:r>
        <w:rPr>
          <w:rFonts w:ascii="Times New Roman" w:hAnsi="Times New Roman"/>
          <w:b/>
          <w:sz w:val="24"/>
        </w:rPr>
        <w:t>Nota sobre la numeración.</w:t>
      </w:r>
      <w:commentRangeStart w:id="63"/>
      <w:r>
        <w:rPr>
          <w:rFonts w:ascii="Times New Roman" w:hAnsi="Times New Roman"/>
          <w:sz w:val="24"/>
        </w:rPr>
        <w:t xml:space="preserve"> Este documento da continuidad al informe parcial del Grupo 05, que cierra con la sección 7 (Referencias bibliográficas), el Anexo A y la Tabla 32. Por ello, las secciones nuevas se numeran de la 8 a la 11, y las tablas y figuras continúan con la Tabla 33 y la Figura 5, de modo que ambos documentos puedan integrarse sin renumerar. Este documento incorpora además dos figuras (Figura 5 y Figura 6), conforme a la pauta de evaluación del curso de incluir gráficas y sustentos de resultados. Los dolores críticos se citan con la codificación DC1 a DC3 establecida en la Tabla 21 (sección 4.1) del informe parcial, los objetivos estratégicos con la codificación OE1 a OE6 de la Tabla 10 (sección 2.1) y las tres hipótesis de iniciativa con los nombres de las secciones 5.2 a 5.4 y la síntesis de la Tabla 29 (sección 5.5). Conforme a lo señalado en la sección 5.1 del informe parcial, las tres iniciativas se desarrollan en este entregable con el mismo nivel de rigor y profundidad, aun cuando el equipo prioriza el desarrollo operativo de la iniciativa vinculada a DC3.</w:t>
      </w:r>
      <w:commentRangeEnd w:id="63"/>
      <w:r>
        <w:rPr>
          <w:rStyle w:val="CommentReference"/>
        </w:rPr>
        <w:commentReference w:id="63"/>
      </w:r>
    </w:p>
    <w:p>
      <w:pPr>
        <w:spacing w:lineRule="auto" w:line="360" w:after="160"/>
        <w:jc w:val="both"/>
      </w:pPr>
      <w:r>
        <w:rPr>
          <w:rFonts w:ascii="Times New Roman" w:hAnsi="Times New Roman"/>
          <w:b/>
          <w:sz w:val="24"/>
        </w:rPr>
        <w:t>Advertencia sobre las estimaciones financieras.</w:t>
      </w:r>
      <w:r>
        <w:rPr>
          <w:rFonts w:ascii="Times New Roman" w:hAnsi="Times New Roman"/>
          <w:sz w:val="24"/>
        </w:rPr>
        <w:t xml:space="preserve"> Ninguna fuente pública disponible informa los costos reales de implementación, los ahorros efectivos ni el retorno de inversión que BBVA Perú obtendría de las tres iniciativas propuestas; </w:t>
      </w:r>
      <w:commentRangeStart w:id="5"/>
      <w:r>
        <w:rPr>
          <w:rFonts w:ascii="Times New Roman" w:hAnsi="Times New Roman"/>
          <w:sz w:val="24"/>
        </w:rPr>
        <w:t xml:space="preserve">esa información corresponde a gestión interna que la entidad no publica, como ya se declaró en la sección 6.3 del informe parcial.</w:t>
      </w:r>
      <w:commentRangeEnd w:id="5"/>
      <w:r>
        <w:rPr>
          <w:rStyle w:val="CommentReference"/>
        </w:rPr>
        <w:commentReference w:id="5"/>
      </w:r>
      <w:r>
        <w:rPr>
          <w:rFonts w:ascii="Times New Roman" w:hAnsi="Times New Roman"/>
          <w:sz w:val="24"/>
        </w:rPr>
        <w:t xml:space="preserve"> Por ello, </w:t>
      </w:r>
      <w:commentRangeStart w:id="6"/>
      <w:r>
        <w:rPr>
          <w:rFonts w:ascii="Times New Roman" w:hAnsi="Times New Roman"/>
          <w:sz w:val="24"/>
        </w:rPr>
        <w:t xml:space="preserve">como extensión del criterio de evidencia de la sección 3.1 del informe parcial (fuentes públicas verificables frente a testimonio consignado en el Anexo A), toda cifra</w:t>
      </w:r>
      <w:commentRangeEnd w:id="6"/>
      <w:r>
        <w:rPr>
          <w:rStyle w:val="CommentReference"/>
        </w:rPr>
        <w:commentReference w:id="6"/>
      </w:r>
      <w:r>
        <w:rPr>
          <w:rFonts w:ascii="Times New Roman" w:hAnsi="Times New Roman"/>
          <w:sz w:val="24"/>
        </w:rPr>
        <w:t xml:space="preserve"> financiera de la sección 10 que no provenga directamente de una fuente citada se marca de forma explícita como </w:t>
      </w:r>
      <w:r>
        <w:rPr>
          <w:rFonts w:ascii="Times New Roman" w:hAnsi="Times New Roman"/>
          <w:b/>
          <w:sz w:val="24"/>
        </w:rPr>
        <w:t>[C]</w:t>
      </w:r>
      <w:r>
        <w:rPr>
          <w:rFonts w:ascii="Times New Roman" w:hAnsi="Times New Roman"/>
          <w:sz w:val="24"/>
        </w:rPr>
        <w:t xml:space="preserve"> (construcción o estimación propia del equipo, ancladas en los órdenes de magnitud de fuentes públicas verificadas) y se declara pendiente de validación con la entidad. </w:t>
      </w:r>
      <w:commentRangeStart w:id="7"/>
      <w:r>
        <w:rPr>
          <w:rFonts w:ascii="Times New Roman" w:hAnsi="Times New Roman"/>
          <w:sz w:val="24"/>
        </w:rPr>
        <w:t xml:space="preserve">Las cifras sin marca provienen de una fuente citada. Los vacíos de información se declaran como en el informe parcial («La entidad no publica este indicador») y, cuando no existe ninguna fuente pública, con la fórmula NO HAY FUENTES EN INTERNET DISPONIBLES.</w:t>
      </w:r>
      <w:commentRangeEnd w:id="7"/>
      <w:r>
        <w:rPr>
          <w:rStyle w:val="CommentReference"/>
        </w:rPr>
        <w:commentReference w:id="7"/>
      </w:r>
    </w:p>
    <w:p>
      <w:pPr>
        <w:keepNext/>
        <w:spacing w:before="360" w:after="200"/>
      </w:pPr>
      <w:r>
        <w:rPr>
          <w:rFonts w:ascii="Times New Roman" w:hAnsi="Times New Roman"/>
          <w:b/>
          <w:color w:val="1F3864"/>
          <w:sz w:val="30"/>
        </w:rPr>
        <w:t>8. Diseño TO BE del proceso</w:t>
      </w:r>
    </w:p>
    <w:p>
      <w:pPr>
        <w:spacing w:lineRule="auto" w:line="360" w:after="160"/>
        <w:jc w:val="both"/>
      </w:pPr>
      <w:r>
        <w:rPr>
          <w:rFonts w:ascii="Times New Roman" w:hAnsi="Times New Roman"/>
          <w:sz w:val="24"/>
        </w:rPr>
        <w:t xml:space="preserve">Esta sección especifica cómo cambiaría cada uno de los tres procesos afectados —originación de crédito Pyme (DC1), gestión de reclamos por operaciones no reconocidas (DC2) y contratación de productos por canal digital (DC3)— con la solución propuesta en cada hipótesis de iniciativa de la </w:t>
      </w:r>
      <w:commentRangeStart w:id="11"/>
      <w:r>
        <w:rPr>
          <w:rFonts w:ascii="Times New Roman" w:hAnsi="Times New Roman"/>
          <w:sz w:val="24"/>
        </w:rPr>
        <w:t xml:space="preserve">Tabla 29</w:t>
      </w:r>
      <w:commentRangeEnd w:id="11"/>
      <w:r>
        <w:rPr>
          <w:rStyle w:val="CommentReference"/>
        </w:rPr>
        <w:commentReference w:id="11"/>
      </w:r>
      <w:commentRangeStart w:id="66"/>
      <w:r>
        <w:rPr>
          <w:rFonts w:ascii="Times New Roman" w:hAnsi="Times New Roman"/>
          <w:sz w:val="24"/>
        </w:rPr>
        <w:t xml:space="preserve"> del informe parcial</w:t>
      </w:r>
      <w:commentRangeEnd w:id="66"/>
      <w:r>
        <w:rPr>
          <w:rStyle w:val="CommentReference"/>
        </w:rPr>
        <w:commentReference w:id="66"/>
      </w:r>
      <w:r>
        <w:rPr>
          <w:rFonts w:ascii="Times New Roman" w:hAnsi="Times New Roman"/>
          <w:sz w:val="24"/>
        </w:rPr>
        <w:t xml:space="preserve">. Para cada iniciativa se especifica el cambio en el proceso frente a la situación As Is descrita en las </w:t>
      </w:r>
      <w:commentRangeStart w:id="10"/>
      <w:r>
        <w:rPr>
          <w:rFonts w:ascii="Times New Roman" w:hAnsi="Times New Roman"/>
          <w:sz w:val="24"/>
        </w:rPr>
        <w:t xml:space="preserve">Tablas 30 a 32</w:t>
      </w:r>
      <w:commentRangeEnd w:id="10"/>
      <w:r>
        <w:rPr>
          <w:rStyle w:val="CommentReference"/>
        </w:rPr>
        <w:commentReference w:id="10"/>
      </w:r>
      <w:r>
        <w:rPr>
          <w:rFonts w:ascii="Times New Roman" w:hAnsi="Times New Roman"/>
          <w:sz w:val="24"/>
        </w:rPr>
        <w:t xml:space="preserve">, los sistemas que la solución actualiza, las reglas de negocio —incluidas las regulatorias— que aplica y la forma en que se mide el resultado, reutilizando los indicadores de éxito ya definidos en las secciones 5.2 a 5.4.</w:t>
      </w:r>
    </w:p>
    <w:p>
      <w:pPr>
        <w:spacing w:lineRule="auto" w:line="360" w:after="160"/>
        <w:jc w:val="both"/>
      </w:pPr>
      <w:r>
        <w:rPr>
          <w:rFonts w:ascii="Times New Roman" w:hAnsi="Times New Roman"/>
          <w:sz w:val="24"/>
        </w:rPr>
        <w:t xml:space="preserve">Aunque cada dolor crítico tiene su propio AS IS y su propia solución, las tres iniciativas comparten un mismo patrón de diseño TO BE, ilustrado en la </w:t>
      </w:r>
      <w:commentRangeStart w:id="12"/>
      <w:r>
        <w:rPr>
          <w:rFonts w:ascii="Times New Roman" w:hAnsi="Times New Roman"/>
          <w:sz w:val="24"/>
        </w:rPr>
        <w:t xml:space="preserve">Figura 5</w:t>
      </w:r>
      <w:commentRangeEnd w:id="12"/>
      <w:r>
        <w:rPr>
          <w:rStyle w:val="CommentReference"/>
        </w:rPr>
        <w:commentReference w:id="12"/>
      </w:r>
      <w:r>
        <w:rPr>
          <w:rFonts w:ascii="Times New Roman" w:hAnsi="Times New Roman"/>
          <w:sz w:val="24"/>
        </w:rPr>
        <w:t xml:space="preserve">: el usuario solicita algo por un canal conversacional, un agente de IA interpreta la solicitud y la contrasta con los datos del ecosistema BBVA, el sistema correspondiente se consulta o actualiza, se aplican las reglas de negocio vigentes —incluida la supervisión humana cuando la regulación o el riesgo lo exige— y el resultado queda medido por el indicador de éxito ya definido en la sección 5. Las tres secciones siguientes particularizan este patrón común para DC1, DC2 y DC3.</w:t>
      </w:r>
    </w:p>
    <w:p>
      <w:pPr>
        <w:spacing w:before="200"/>
        <w:jc w:val="center"/>
      </w:pPr>
      <w:r>
        <w:drawing>
          <wp:inline xmlns:a="http://schemas.openxmlformats.org/drawingml/2006/main" xmlns:pic="http://schemas.openxmlformats.org/drawingml/2006/picture">
            <wp:extent cx="5760000" cy="1455280"/>
            <wp:docPr id="1" name="Picture 1"/>
            <wp:cNvGraphicFramePr>
              <a:graphicFrameLocks noChangeAspect="1"/>
            </wp:cNvGraphicFramePr>
            <a:graphic>
              <a:graphicData uri="http://schemas.openxmlformats.org/drawingml/2006/picture">
                <pic:pic>
                  <pic:nvPicPr>
                    <pic:cNvPr id="0" name="out_fig_tobe_pattern.png"/>
                    <pic:cNvPicPr/>
                  </pic:nvPicPr>
                  <pic:blipFill>
                    <a:blip r:embed="rId9"/>
                    <a:stretch>
                      <a:fillRect/>
                    </a:stretch>
                  </pic:blipFill>
                  <pic:spPr>
                    <a:xfrm>
                      <a:off x="0" y="0"/>
                      <a:ext cx="5760000" cy="1455280"/>
                    </a:xfrm>
                    <a:prstGeom prst="rect"/>
                  </pic:spPr>
                </pic:pic>
              </a:graphicData>
            </a:graphic>
          </wp:inline>
        </w:drawing>
      </w:r>
    </w:p>
    <w:p>
      <w:pPr>
        <w:spacing w:after="0"/>
        <w:jc w:val="center"/>
      </w:pPr>
      <w:commentRangeStart w:id="13"/>
      <w:r>
        <w:rPr>
          <w:rFonts w:ascii="Times New Roman" w:hAnsi="Times New Roman"/>
          <w:b/>
          <w:sz w:val="24"/>
        </w:rPr>
        <w:t xml:space="preserve">Figura 5</w:t>
      </w:r>
      <w:commentRangeEnd w:id="13"/>
      <w:r>
        <w:rPr>
          <w:rStyle w:val="CommentReference"/>
        </w:rPr>
        <w:commentReference w:id="13"/>
      </w:r>
    </w:p>
    <w:p>
      <w:pPr>
        <w:spacing w:after="200"/>
        <w:jc w:val="center"/>
      </w:pPr>
      <w:r>
        <w:rPr>
          <w:rFonts w:ascii="Times New Roman" w:hAnsi="Times New Roman"/>
          <w:i/>
          <w:sz w:val="24"/>
        </w:rPr>
        <w:t>Patrón común del diseño TO BE aplicado a las tres iniciativas (DC1, DC2 y DC3)</w:t>
      </w:r>
    </w:p>
    <w:p>
      <w:pPr>
        <w:keepNext/>
        <w:spacing w:before="240" w:after="160"/>
      </w:pPr>
      <w:r>
        <w:rPr>
          <w:rFonts w:ascii="Times New Roman" w:hAnsi="Times New Roman"/>
          <w:b/>
          <w:color w:val="1F3864"/>
          <w:sz w:val="26"/>
        </w:rPr>
        <w:t>8.1. Diseño TO BE del proceso para DC1: originación de crédito Pyme</w:t>
      </w:r>
    </w:p>
    <w:p>
      <w:pPr>
        <w:spacing w:lineRule="auto" w:line="360" w:after="160"/>
        <w:jc w:val="both"/>
      </w:pPr>
      <w:r>
        <w:rPr>
          <w:rFonts w:ascii="Times New Roman" w:hAnsi="Times New Roman"/>
          <w:sz w:val="24"/>
        </w:rPr>
        <w:t xml:space="preserve">El proceso As Is descrito en la </w:t>
      </w:r>
      <w:commentRangeStart w:id="14"/>
      <w:r>
        <w:rPr>
          <w:rFonts w:ascii="Times New Roman" w:hAnsi="Times New Roman"/>
          <w:sz w:val="24"/>
        </w:rPr>
        <w:t xml:space="preserve">Tabla 30</w:t>
      </w:r>
      <w:commentRangeEnd w:id="14"/>
      <w:r>
        <w:rPr>
          <w:rStyle w:val="CommentReference"/>
        </w:rPr>
        <w:commentReference w:id="14"/>
      </w:r>
      <w:r>
        <w:rPr>
          <w:rFonts w:ascii="Times New Roman" w:hAnsi="Times New Roman"/>
          <w:sz w:val="24"/>
        </w:rPr>
        <w:t xml:space="preserve"> depende de que el banco presente al empresario una oferta preaprobada sobre la base de documentación financiera estructurada que la microempresa no siempre produce (Melo, 2026). En el diseño TO BE, el empresario puede solicitar en cualquier momento, por canal conversacional, una precalificación preliminar antes del trámite formal, sin esperar a que el banco le presente una oferta. El agente interpreta lenguaje natural y documentación no estructurada, la contrasta en tiempo real con la transaccionalidad ya registrada (cuenta corriente, Openpay, QR Empresas) y devuelve al empresario, en la misma conversación, para qué producto precalifica y bajo qué condiciones, conforme a la formulación de la sección 5.2. La evaluación crediticia formal y su aprobación final permanecen bajo responsabilidad del analista de riesgo; el agente reduce el trabajo de acopio de información previo a esa decisión, no la sustituye.</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Dimensión</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Diseño TO BE — DC1</w:t>
            </w:r>
          </w:p>
        </w:tc>
      </w:tr>
      <w:tr>
        <w:tc>
          <w:tcPr>
            <w:tcW w:type="dxa" w:w="2381"/>
          </w:tcPr>
          <w:p>
            <w:pPr>
              <w:spacing w:lineRule="auto" w:line="276" w:after="80"/>
              <w:jc w:val="left"/>
            </w:pPr>
            <w:r>
              <w:rPr>
                <w:b/>
                <w:sz w:val="22"/>
              </w:rPr>
            </w:r>
            <w:commentRangeStart w:id="140"/>
            <w:r>
              <w:rPr>
                <w:rFonts w:ascii="Times New Roman" w:hAnsi="Times New Roman"/>
                <w:b/>
                <w:sz w:val="22"/>
              </w:rPr>
              <w:t>Cambio en el proceso</w:t>
            </w:r>
            <w:commentRangeEnd w:id="140"/>
            <w:r>
              <w:rPr>
                <w:rStyle w:val="CommentReference"/>
              </w:rPr>
              <w:commentReference w:id="140"/>
            </w:r>
          </w:p>
        </w:tc>
        <w:tc>
          <w:tcPr>
            <w:tcW w:type="dxa" w:w="5839"/>
          </w:tcPr>
          <w:p>
            <w:pPr>
              <w:spacing w:lineRule="auto" w:line="276" w:after="80"/>
              <w:jc w:val="left"/>
            </w:pPr>
            <w:r>
              <w:rPr>
                <w:sz w:val="22"/>
              </w:rPr>
            </w:r>
            <w:r>
              <w:rPr>
                <w:rFonts w:ascii="Times New Roman" w:hAnsi="Times New Roman"/>
                <w:sz w:val="22"/>
              </w:rPr>
              <w:t>La precalificación deja de ser una oferta que el banco presenta a un subconjunto de clientes y pasa a ser una evaluación preliminar que el empresario solicita cuando la necesita, previa al trámite formal y sin exigir primero documentación financiera estructurada. El motor de decisión pasa de recibir solo datos estructurados a recibir también las interpretaciones del agente sobre documentación no estructurada (fotografías de comprobantes de venta).</w:t>
            </w:r>
          </w:p>
        </w:tc>
      </w:tr>
      <w:tr>
        <w:tc>
          <w:tcPr>
            <w:tcW w:type="dxa" w:w="2381"/>
          </w:tcPr>
          <w:p>
            <w:pPr>
              <w:spacing w:lineRule="auto" w:line="276" w:after="80"/>
              <w:jc w:val="left"/>
            </w:pPr>
            <w:r>
              <w:rPr>
                <w:b/>
                <w:sz w:val="22"/>
              </w:rPr>
            </w:r>
            <w:r>
              <w:rPr>
                <w:rFonts w:ascii="Times New Roman" w:hAnsi="Times New Roman"/>
                <w:b/>
                <w:sz w:val="22"/>
              </w:rPr>
              <w:t>¿Qué sistemas actualiza?</w:t>
            </w:r>
          </w:p>
        </w:tc>
        <w:tc>
          <w:tcPr>
            <w:tcW w:type="dxa" w:w="5839"/>
          </w:tcPr>
          <w:p>
            <w:pPr>
              <w:spacing w:lineRule="auto" w:line="276" w:after="80"/>
              <w:jc w:val="left"/>
            </w:pPr>
            <w:r>
              <w:rPr>
                <w:sz w:val="22"/>
              </w:rPr>
            </w:r>
            <w:r>
              <w:rPr>
                <w:rFonts w:ascii="Times New Roman" w:hAnsi="Times New Roman"/>
                <w:b/>
                <w:sz w:val="22"/>
              </w:rPr>
              <w:t>Perfil Mi Negocio (App BBVA)</w:t>
            </w:r>
            <w:r>
              <w:rPr>
                <w:rFonts w:ascii="Times New Roman" w:hAnsi="Times New Roman"/>
                <w:sz w:val="22"/>
              </w:rPr>
              <w:t xml:space="preserve"> y </w:t>
            </w:r>
            <w:r>
              <w:rPr>
                <w:rFonts w:ascii="Times New Roman" w:hAnsi="Times New Roman"/>
                <w:b/>
                <w:sz w:val="22"/>
              </w:rPr>
              <w:t>App BBVA Empresas 2.0</w:t>
            </w:r>
            <w:r>
              <w:rPr>
                <w:rFonts w:ascii="Times New Roman" w:hAnsi="Times New Roman"/>
                <w:sz w:val="22"/>
              </w:rPr>
              <w:t xml:space="preserve">: incorporan el punto de entrada conversacional. </w:t>
            </w:r>
            <w:r>
              <w:rPr>
                <w:rFonts w:ascii="Times New Roman" w:hAnsi="Times New Roman"/>
                <w:b/>
                <w:sz w:val="22"/>
              </w:rPr>
              <w:t>Motor de decisión y ofertas preaprobadas</w:t>
            </w:r>
            <w:r>
              <w:rPr>
                <w:rFonts w:ascii="Times New Roman" w:hAnsi="Times New Roman"/>
                <w:sz w:val="22"/>
              </w:rPr>
              <w:t xml:space="preserve">: incorpora un nuevo tipo de evento, la "precalificación conversacional", como insumo adicional a la oferta preaprobada tradicional. </w:t>
            </w:r>
            <w:r>
              <w:rPr>
                <w:rFonts w:ascii="Times New Roman" w:hAnsi="Times New Roman"/>
                <w:b/>
                <w:sz w:val="22"/>
              </w:rPr>
              <w:t>Centrales de riesgo</w:t>
            </w:r>
            <w:r>
              <w:rPr>
                <w:rFonts w:ascii="Times New Roman" w:hAnsi="Times New Roman"/>
                <w:sz w:val="22"/>
              </w:rPr>
              <w:t xml:space="preserve">: pasan a consultarse dentro de la conversación en lugar de en una etapa posterior del trámite. </w:t>
            </w:r>
            <w:r>
              <w:rPr>
                <w:rFonts w:ascii="Times New Roman" w:hAnsi="Times New Roman"/>
                <w:b/>
                <w:sz w:val="22"/>
              </w:rPr>
              <w:t>BBVA Net Cash</w:t>
            </w:r>
            <w:r>
              <w:rPr>
                <w:rFonts w:ascii="Times New Roman" w:hAnsi="Times New Roman"/>
                <w:sz w:val="22"/>
              </w:rPr>
              <w:t xml:space="preserve"> y </w:t>
            </w:r>
            <w:r>
              <w:rPr>
                <w:rFonts w:ascii="Times New Roman" w:hAnsi="Times New Roman"/>
                <w:b/>
                <w:sz w:val="22"/>
              </w:rPr>
              <w:t>plataforma ADA</w:t>
            </w:r>
            <w:r>
              <w:rPr>
                <w:rFonts w:ascii="Times New Roman" w:hAnsi="Times New Roman"/>
                <w:sz w:val="22"/>
              </w:rPr>
              <w:t xml:space="preserve">: se integran como fuente de transaccionalidad y como infraestructura conversacional base, respectivamente (Tabla 15, </w:t>
            </w:r>
            <w:commentRangeStart w:id="15"/>
            <w:r>
              <w:rPr>
                <w:rFonts w:ascii="Times New Roman" w:hAnsi="Times New Roman"/>
                <w:sz w:val="22"/>
              </w:rPr>
              <w:t xml:space="preserve">Tabla 30</w:t>
            </w:r>
            <w:commentRangeEnd w:id="15"/>
            <w:r>
              <w:rPr>
                <w:rStyle w:val="CommentReference"/>
              </w:rPr>
              <w:commentReference w:id="15"/>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¿Qué reglas de negocio aplica?</w:t>
            </w:r>
          </w:p>
        </w:tc>
        <w:tc>
          <w:tcPr>
            <w:tcW w:type="dxa" w:w="5839"/>
          </w:tcPr>
          <w:p>
            <w:pPr>
              <w:spacing w:lineRule="auto" w:line="276" w:after="80"/>
              <w:jc w:val="left"/>
            </w:pPr>
            <w:r>
              <w:rPr>
                <w:sz w:val="22"/>
              </w:rPr>
            </w:r>
            <w:r>
              <w:rPr>
                <w:rFonts w:ascii="Times New Roman" w:hAnsi="Times New Roman"/>
                <w:sz w:val="22"/>
              </w:rPr>
              <w:t xml:space="preserve">Se mantienen las reglas de elegibilidad vigentes (persona natural con negocio u oferta preaprobada para persona jurídica en App BBVA Empresas; </w:t>
            </w:r>
            <w:commentRangeStart w:id="78"/>
            <w:r>
              <w:rPr>
                <w:rFonts w:ascii="Times New Roman" w:hAnsi="Times New Roman"/>
                <w:sz w:val="22"/>
              </w:rPr>
              <w:t xml:space="preserve">Banco BBVA Perú, s. f.-i, s. f.-j, s. f.-l</w:t>
            </w:r>
            <w:commentRangeEnd w:id="78"/>
            <w:r>
              <w:rPr>
                <w:rStyle w:val="CommentReference"/>
              </w:rPr>
              <w:commentReference w:id="78"/>
            </w:r>
            <w:r>
              <w:rPr>
                <w:rFonts w:ascii="Times New Roman" w:hAnsi="Times New Roman"/>
                <w:sz w:val="22"/>
              </w:rPr>
              <w:t xml:space="preserve">), que el diseño TO BE no elimina sino que complementa con una vía de acceso adicional. Por tratarse de un sistema de IA que participa en la evaluación crediticia de personas, clasificado como de riesgo alto salvo para detección de fraude (art. 24.1, literal g, del Reglamento de la Ley </w:t>
            </w:r>
            <w:commentRangeStart w:id="144"/>
            <w:r>
              <w:rPr>
                <w:rFonts w:ascii="Times New Roman" w:hAnsi="Times New Roman"/>
                <w:sz w:val="22"/>
              </w:rPr>
              <w:t xml:space="preserve">N.º</w:t>
            </w:r>
            <w:commentRangeEnd w:id="144"/>
            <w:r>
              <w:rPr>
                <w:rStyle w:val="CommentReference"/>
              </w:rPr>
              <w:commentReference w:id="144"/>
            </w:r>
            <w:r>
              <w:rPr>
                <w:rFonts w:ascii="Times New Roman" w:hAnsi="Times New Roman"/>
                <w:sz w:val="22"/>
              </w:rPr>
              <w:t xml:space="preserve"> 31814), se incorporan como reglas obligatorias: informar al empresario, de forma previa y sencilla, la finalidad del sistema y el tipo de decisión que puede tomar (art. 25.1); explicar los factores clave que sustentan la precalificación (art. 25.3); y mantener supervisión humana capacitada, con capacidad de detener, corregir o invalidar la recomendación del agente, a cargo del analista de riesgo (art. 31.4) (Decreto Supremo </w:t>
            </w:r>
            <w:commentRangeStart w:id="145"/>
            <w:r>
              <w:rPr>
                <w:rFonts w:ascii="Times New Roman" w:hAnsi="Times New Roman"/>
                <w:sz w:val="22"/>
              </w:rPr>
              <w:t xml:space="preserve">N.º</w:t>
            </w:r>
            <w:commentRangeEnd w:id="145"/>
            <w:r>
              <w:rPr>
                <w:rStyle w:val="CommentReference"/>
              </w:rPr>
              <w:commentReference w:id="145"/>
            </w:r>
            <w:r>
              <w:rPr>
                <w:rFonts w:ascii="Times New Roman" w:hAnsi="Times New Roman"/>
                <w:sz w:val="22"/>
              </w:rPr>
              <w:t xml:space="preserve"> 115-2025-PCM, 2025).</w:t>
            </w:r>
          </w:p>
        </w:tc>
      </w:tr>
      <w:tr>
        <w:tc>
          <w:tcPr>
            <w:tcW w:type="dxa" w:w="2381"/>
          </w:tcPr>
          <w:p>
            <w:pPr>
              <w:spacing w:lineRule="auto" w:line="276" w:after="80"/>
              <w:jc w:val="left"/>
            </w:pPr>
            <w:r>
              <w:rPr>
                <w:b/>
                <w:sz w:val="22"/>
              </w:rPr>
            </w:r>
            <w:r>
              <w:rPr>
                <w:rFonts w:ascii="Times New Roman" w:hAnsi="Times New Roman"/>
                <w:b/>
                <w:sz w:val="22"/>
              </w:rPr>
              <w:t>¿Cómo se mide el resultado?</w:t>
            </w:r>
          </w:p>
        </w:tc>
        <w:tc>
          <w:tcPr>
            <w:tcW w:type="dxa" w:w="5839"/>
          </w:tcPr>
          <w:p>
            <w:pPr>
              <w:spacing w:lineRule="auto" w:line="276" w:after="80"/>
              <w:jc w:val="left"/>
            </w:pPr>
            <w:r>
              <w:rPr>
                <w:sz w:val="22"/>
              </w:rPr>
            </w:r>
            <w:r>
              <w:rPr>
                <w:rFonts w:ascii="Times New Roman" w:hAnsi="Times New Roman"/>
                <w:sz w:val="22"/>
              </w:rPr>
              <w:t xml:space="preserve">Tasa de originación digital Pyme, con línea base pública aproximada de 33 % y meta de 60 % en </w:t>
            </w:r>
            <w:commentRangeStart w:id="96"/>
            <w:r>
              <w:rPr>
                <w:rFonts w:ascii="Times New Roman" w:hAnsi="Times New Roman"/>
                <w:sz w:val="22"/>
              </w:rPr>
              <w:t xml:space="preserve">18 meses</w:t>
            </w:r>
            <w:commentRangeEnd w:id="96"/>
            <w:r>
              <w:rPr>
                <w:rStyle w:val="CommentReference"/>
              </w:rPr>
              <w:commentReference w:id="96"/>
            </w:r>
            <w:r>
              <w:rPr>
                <w:rFonts w:ascii="Times New Roman" w:hAnsi="Times New Roman"/>
                <w:sz w:val="22"/>
              </w:rPr>
              <w:t xml:space="preserve"> (</w:t>
            </w:r>
            <w:commentRangeStart w:id="17"/>
            <w:r>
              <w:rPr>
                <w:rFonts w:ascii="Times New Roman" w:hAnsi="Times New Roman"/>
                <w:sz w:val="22"/>
              </w:rPr>
              <w:t xml:space="preserve">Tabla 23</w:t>
            </w:r>
            <w:commentRangeEnd w:id="17"/>
            <w:r>
              <w:rPr>
                <w:rStyle w:val="CommentReference"/>
              </w:rPr>
              <w:commentReference w:id="17"/>
            </w:r>
            <w:r>
              <w:rPr>
                <w:rFonts w:ascii="Times New Roman" w:hAnsi="Times New Roman"/>
                <w:sz w:val="22"/>
              </w:rPr>
              <w:t xml:space="preserve">; Reusche, 2026), instrumentada mediante el registro de cada precalificación conversacional como evento propio del agente. </w:t>
            </w:r>
            <w:commentRangeStart w:id="16"/>
            <w:commentRangeStart w:id="124"/>
            <w:r>
              <w:rPr>
                <w:rFonts w:ascii="Times New Roman" w:hAnsi="Times New Roman"/>
                <w:sz w:val="22"/>
              </w:rPr>
              <w:t xml:space="preserve">Tiempo de ciclo de la ruta asistida, hoy sin línea base pública (Tablas 23 y 30)</w:t>
            </w:r>
            <w:commentRangeEnd w:id="124"/>
            <w:r>
              <w:rPr>
                <w:rStyle w:val="CommentReference"/>
              </w:rPr>
              <w:commentReference w:id="124"/>
            </w:r>
            <w:commentRangeEnd w:id="16"/>
            <w:r>
              <w:rPr>
                <w:rStyle w:val="CommentReference"/>
              </w:rPr>
              <w:commentReference w:id="16"/>
            </w:r>
            <w:r>
              <w:rPr>
                <w:rFonts w:ascii="Times New Roman" w:hAnsi="Times New Roman"/>
                <w:sz w:val="22"/>
              </w:rPr>
              <w:t xml:space="preserve">, que el propio agente permite instrumentar por primera vez al registrar el momento en que el empresario recibe la precalificación frente al momento en que hoy recibe una respuesta por canal asistido.</w:t>
            </w:r>
          </w:p>
        </w:tc>
      </w:tr>
    </w:tbl>
    <w:p>
      <w:pPr>
        <w:spacing w:after="0" w:before="200"/>
      </w:pPr>
      <w:commentRangeStart w:id="18"/>
      <w:r>
        <w:rPr>
          <w:rFonts w:ascii="Times New Roman" w:hAnsi="Times New Roman"/>
          <w:b/>
          <w:sz w:val="24"/>
        </w:rPr>
        <w:t xml:space="preserve">Tabla 33</w:t>
      </w:r>
      <w:commentRangeEnd w:id="18"/>
      <w:r>
        <w:rPr>
          <w:rStyle w:val="CommentReference"/>
        </w:rPr>
        <w:commentReference w:id="18"/>
      </w:r>
    </w:p>
    <w:p>
      <w:pPr>
        <w:spacing w:after="80"/>
      </w:pPr>
      <w:r>
        <w:rPr>
          <w:rFonts w:ascii="Times New Roman" w:hAnsi="Times New Roman"/>
          <w:i/>
          <w:sz w:val="24"/>
        </w:rPr>
        <w:t>Diseño TO BE del proceso para DC1: agente de precalificación crediticia Pyme</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5.2 y la descripción As Is de la </w:t>
      </w:r>
      <w:commentRangeStart w:id="19"/>
      <w:r>
        <w:rPr>
          <w:rFonts w:ascii="Times New Roman" w:hAnsi="Times New Roman"/>
          <w:sz w:val="21"/>
        </w:rPr>
        <w:t xml:space="preserve">Tabla 30</w:t>
      </w:r>
      <w:commentRangeEnd w:id="19"/>
      <w:r>
        <w:rPr>
          <w:rStyle w:val="CommentReference"/>
        </w:rPr>
        <w:commentReference w:id="19"/>
      </w:r>
      <w:commentRangeStart w:id="67"/>
      <w:r>
        <w:rPr>
          <w:rFonts w:ascii="Times New Roman" w:hAnsi="Times New Roman"/>
          <w:sz w:val="21"/>
        </w:rPr>
        <w:t xml:space="preserve"> del informe parcial</w:t>
      </w:r>
      <w:commentRangeEnd w:id="67"/>
      <w:r>
        <w:rPr>
          <w:rStyle w:val="CommentReference"/>
        </w:rPr>
        <w:commentReference w:id="67"/>
      </w:r>
      <w:r>
        <w:rPr>
          <w:rFonts w:ascii="Times New Roman" w:hAnsi="Times New Roman"/>
          <w:sz w:val="21"/>
        </w:rPr>
        <w:t xml:space="preserve">.</w:t>
      </w:r>
    </w:p>
    <w:p>
      <w:pPr>
        <w:keepNext/>
        <w:spacing w:before="240" w:after="160"/>
      </w:pPr>
      <w:r>
        <w:rPr>
          <w:rFonts w:ascii="Times New Roman" w:hAnsi="Times New Roman"/>
          <w:b/>
          <w:color w:val="1F3864"/>
          <w:sz w:val="26"/>
        </w:rPr>
        <w:t>8.2. Diseño TO BE del proceso para DC2: operaciones no reconocidas</w:t>
      </w:r>
    </w:p>
    <w:p>
      <w:pPr>
        <w:spacing w:lineRule="auto" w:line="360" w:after="160"/>
        <w:jc w:val="both"/>
      </w:pPr>
      <w:r>
        <w:rPr>
          <w:rFonts w:ascii="Times New Roman" w:hAnsi="Times New Roman"/>
          <w:sz w:val="24"/>
        </w:rPr>
        <w:t xml:space="preserve">El proceso As Is descrito en la </w:t>
      </w:r>
      <w:commentRangeStart w:id="20"/>
      <w:r>
        <w:rPr>
          <w:rFonts w:ascii="Times New Roman" w:hAnsi="Times New Roman"/>
          <w:sz w:val="24"/>
        </w:rPr>
        <w:t xml:space="preserve">Tabla 31</w:t>
      </w:r>
      <w:commentRangeEnd w:id="20"/>
      <w:r>
        <w:rPr>
          <w:rStyle w:val="CommentReference"/>
        </w:rPr>
        <w:commentReference w:id="20"/>
      </w:r>
      <w:r>
        <w:rPr>
          <w:rFonts w:ascii="Times New Roman" w:hAnsi="Times New Roman"/>
          <w:sz w:val="24"/>
        </w:rPr>
        <w:t xml:space="preserve"> exige que el analista revise de forma manual y secuencial las trazas transaccionales dispersas entre los sistemas de fraude, operaciones y atención al cliente (Tabla 16). En el diseño TO BE, el agente cruza automáticamente esas trazas, las señales de comportamiento y el historial de casos similares, y produce un expediente estructurado con una recomendación preliminar explicable: proceder con el abono provisional o escalar el caso a revisión especializada, conforme a la formulación de la sección 5.3. El analista deja de investigar desde cero y pasa a validar una propuesta ya construida; la decisión final sobre la procedencia del reclamo se mantiene humana, dado que el reglamento de la SBS exige que la entidad la sustente (SBS, 2022).</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Dimensión</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Diseño TO BE — DC2</w:t>
            </w:r>
          </w:p>
        </w:tc>
      </w:tr>
      <w:tr>
        <w:tc>
          <w:tcPr>
            <w:tcW w:type="dxa" w:w="2381"/>
          </w:tcPr>
          <w:p>
            <w:pPr>
              <w:spacing w:lineRule="auto" w:line="276" w:after="80"/>
              <w:jc w:val="left"/>
            </w:pPr>
            <w:r>
              <w:rPr>
                <w:b/>
                <w:sz w:val="22"/>
              </w:rPr>
            </w:r>
            <w:r>
              <w:rPr>
                <w:rFonts w:ascii="Times New Roman" w:hAnsi="Times New Roman"/>
                <w:b/>
                <w:sz w:val="22"/>
              </w:rPr>
              <w:t>Cambio en el proceso</w:t>
            </w:r>
          </w:p>
        </w:tc>
        <w:tc>
          <w:tcPr>
            <w:tcW w:type="dxa" w:w="5839"/>
          </w:tcPr>
          <w:p>
            <w:pPr>
              <w:spacing w:lineRule="auto" w:line="276" w:after="80"/>
              <w:jc w:val="left"/>
            </w:pPr>
            <w:r>
              <w:rPr>
                <w:sz w:val="22"/>
              </w:rPr>
            </w:r>
            <w:r>
              <w:rPr>
                <w:rFonts w:ascii="Times New Roman" w:hAnsi="Times New Roman"/>
                <w:sz w:val="22"/>
              </w:rPr>
              <w:t xml:space="preserve">La investigación deja de ser una revisión manual y secuencial entre sistemas y pasa a ser una validación de un expediente ya estructurado por el agente, con recomendación preliminar explicable. El cliente reclamante gana visibilidad porque la trazabilidad que hoy solo ve el asesor en Blue Buddy (90 % de adopción; </w:t>
            </w:r>
            <w:commentRangeStart w:id="80"/>
            <w:r>
              <w:rPr>
                <w:rFonts w:ascii="Times New Roman" w:hAnsi="Times New Roman"/>
                <w:sz w:val="22"/>
              </w:rPr>
              <w:t xml:space="preserve">Banco BBVA Perú, 2026f, p. 4</w:t>
            </w:r>
            <w:commentRangeEnd w:id="80"/>
            <w:r>
              <w:rPr>
                <w:rStyle w:val="CommentReference"/>
              </w:rPr>
              <w:commentReference w:id="80"/>
            </w:r>
            <w:r>
              <w:rPr>
                <w:rFonts w:ascii="Times New Roman" w:hAnsi="Times New Roman"/>
                <w:sz w:val="22"/>
              </w:rPr>
              <w:t xml:space="preserve">) se extiende a la interacción con él.</w:t>
            </w:r>
          </w:p>
        </w:tc>
      </w:tr>
      <w:tr>
        <w:tc>
          <w:tcPr>
            <w:tcW w:type="dxa" w:w="2381"/>
          </w:tcPr>
          <w:p>
            <w:pPr>
              <w:spacing w:lineRule="auto" w:line="276" w:after="80"/>
              <w:jc w:val="left"/>
            </w:pPr>
            <w:r>
              <w:rPr>
                <w:b/>
                <w:sz w:val="22"/>
              </w:rPr>
            </w:r>
            <w:r>
              <w:rPr>
                <w:rFonts w:ascii="Times New Roman" w:hAnsi="Times New Roman"/>
                <w:b/>
                <w:sz w:val="22"/>
              </w:rPr>
              <w:t>¿Qué sistemas actualiza?</w:t>
            </w:r>
          </w:p>
        </w:tc>
        <w:tc>
          <w:tcPr>
            <w:tcW w:type="dxa" w:w="5839"/>
          </w:tcPr>
          <w:p>
            <w:pPr>
              <w:spacing w:lineRule="auto" w:line="276" w:after="80"/>
              <w:jc w:val="left"/>
            </w:pPr>
            <w:r>
              <w:rPr>
                <w:sz w:val="22"/>
              </w:rPr>
            </w:r>
            <w:r>
              <w:rPr>
                <w:rFonts w:ascii="Times New Roman" w:hAnsi="Times New Roman"/>
                <w:b/>
                <w:sz w:val="22"/>
              </w:rPr>
              <w:t>Blue Buddy</w:t>
            </w:r>
            <w:r>
              <w:rPr>
                <w:rFonts w:ascii="Times New Roman" w:hAnsi="Times New Roman"/>
                <w:sz w:val="22"/>
              </w:rPr>
              <w:t xml:space="preserve">: su flujo de reclamos, hoy de consulta, se extiende a un módulo de investigación con generación de expediente. </w:t>
            </w:r>
            <w:r>
              <w:rPr>
                <w:rFonts w:ascii="Times New Roman" w:hAnsi="Times New Roman"/>
                <w:b/>
                <w:sz w:val="22"/>
              </w:rPr>
              <w:t>Sistema de gestión de reclamos</w:t>
            </w:r>
            <w:r>
              <w:rPr>
                <w:rFonts w:ascii="Times New Roman" w:hAnsi="Times New Roman"/>
                <w:sz w:val="22"/>
              </w:rPr>
              <w:t xml:space="preserve">: incorpora un campo de recomendación explicable y un indicador de riesgo de incumplimiento del plazo regulatorio. </w:t>
            </w:r>
            <w:r>
              <w:rPr>
                <w:rFonts w:ascii="Times New Roman" w:hAnsi="Times New Roman"/>
                <w:b/>
                <w:sz w:val="22"/>
              </w:rPr>
              <w:t>Motor de monitoreo transaccional y reglas antifraude</w:t>
            </w:r>
            <w:r>
              <w:rPr>
                <w:rFonts w:ascii="Times New Roman" w:hAnsi="Times New Roman"/>
                <w:sz w:val="22"/>
              </w:rPr>
              <w:t xml:space="preserve">: se consulta como fuente de señales de comportamiento en lugar de revisarse manualmente. </w:t>
            </w:r>
            <w:r>
              <w:rPr>
                <w:rFonts w:ascii="Times New Roman" w:hAnsi="Times New Roman"/>
                <w:b/>
                <w:sz w:val="22"/>
              </w:rPr>
              <w:t>Herramientas de identidades, monitoreo y respuesta a incidentes</w:t>
            </w:r>
            <w:r>
              <w:rPr>
                <w:rFonts w:ascii="Times New Roman" w:hAnsi="Times New Roman"/>
                <w:sz w:val="22"/>
              </w:rPr>
              <w:t xml:space="preserve">: se integran como fuente adicional del expediente (Tabla 16, </w:t>
            </w:r>
            <w:commentRangeStart w:id="21"/>
            <w:r>
              <w:rPr>
                <w:rFonts w:ascii="Times New Roman" w:hAnsi="Times New Roman"/>
                <w:sz w:val="22"/>
              </w:rPr>
              <w:t xml:space="preserve">Tabla 31</w:t>
            </w:r>
            <w:commentRangeEnd w:id="21"/>
            <w:r>
              <w:rPr>
                <w:rStyle w:val="CommentReference"/>
              </w:rPr>
              <w:commentReference w:id="21"/>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¿Qué reglas de negocio aplica?</w:t>
            </w:r>
          </w:p>
        </w:tc>
        <w:tc>
          <w:tcPr>
            <w:tcW w:type="dxa" w:w="5839"/>
          </w:tcPr>
          <w:p>
            <w:pPr>
              <w:spacing w:lineRule="auto" w:line="276" w:after="80"/>
              <w:jc w:val="left"/>
            </w:pPr>
            <w:r>
              <w:rPr>
                <w:sz w:val="22"/>
              </w:rPr>
            </w:r>
            <w:r>
              <w:rPr>
                <w:rFonts w:ascii="Times New Roman" w:hAnsi="Times New Roman"/>
                <w:sz w:val="22"/>
              </w:rPr>
              <w:t xml:space="preserve">El plazo regulatorio de quince días hábiles, prorrogable, para la absolución de reclamos (SBS, 2022, arts. 7.1 y 7.3) se mantiene como restricción dura; el agente debe señalar los casos en riesgo de incumplirlo. La decisión sobre la procedencia del reclamo se mantiene humana, conforme a la exigencia de la SBS de que la entidad la sustente. Por prudencia, y aunque esta iniciativa no constituye formalmente una evaluación crediticia de riesgo alto, se aplican también el principio de supervisión humana capaz de corregir o invalidar decisiones (art. 7, literal h, y art. 31.4 del Reglamento de la Ley </w:t>
            </w:r>
            <w:commentRangeStart w:id="146"/>
            <w:r>
              <w:rPr>
                <w:rFonts w:ascii="Times New Roman" w:hAnsi="Times New Roman"/>
                <w:sz w:val="22"/>
              </w:rPr>
              <w:t xml:space="preserve">N.º</w:t>
            </w:r>
            <w:commentRangeEnd w:id="146"/>
            <w:r>
              <w:rPr>
                <w:rStyle w:val="CommentReference"/>
              </w:rPr>
              <w:commentReference w:id="146"/>
            </w:r>
            <w:r>
              <w:rPr>
                <w:rFonts w:ascii="Times New Roman" w:hAnsi="Times New Roman"/>
                <w:sz w:val="22"/>
              </w:rPr>
              <w:t xml:space="preserve"> 31814) y la práctica de minimización de sesgos algorítmicos (art. 27.1, literal d) (Decreto Supremo </w:t>
            </w:r>
            <w:commentRangeStart w:id="147"/>
            <w:r>
              <w:rPr>
                <w:rFonts w:ascii="Times New Roman" w:hAnsi="Times New Roman"/>
                <w:sz w:val="22"/>
              </w:rPr>
              <w:t xml:space="preserve">N.º</w:t>
            </w:r>
            <w:commentRangeEnd w:id="147"/>
            <w:r>
              <w:rPr>
                <w:rStyle w:val="CommentReference"/>
              </w:rPr>
              <w:commentReference w:id="147"/>
            </w:r>
            <w:r>
              <w:rPr>
                <w:rFonts w:ascii="Times New Roman" w:hAnsi="Times New Roman"/>
                <w:sz w:val="22"/>
              </w:rPr>
              <w:t xml:space="preserve"> 115-2025-PCM, 2025; Ramírez Huancayo, 2026).</w:t>
            </w:r>
          </w:p>
        </w:tc>
      </w:tr>
      <w:tr>
        <w:tc>
          <w:tcPr>
            <w:tcW w:type="dxa" w:w="2381"/>
          </w:tcPr>
          <w:p>
            <w:pPr>
              <w:spacing w:lineRule="auto" w:line="276" w:after="80"/>
              <w:jc w:val="left"/>
            </w:pPr>
            <w:r>
              <w:rPr>
                <w:b/>
                <w:sz w:val="22"/>
              </w:rPr>
            </w:r>
            <w:r>
              <w:rPr>
                <w:rFonts w:ascii="Times New Roman" w:hAnsi="Times New Roman"/>
                <w:b/>
                <w:sz w:val="22"/>
              </w:rPr>
              <w:t>¿Cómo se mide el resultado?</w:t>
            </w:r>
          </w:p>
        </w:tc>
        <w:tc>
          <w:tcPr>
            <w:tcW w:type="dxa" w:w="5839"/>
          </w:tcPr>
          <w:p>
            <w:pPr>
              <w:spacing w:lineRule="auto" w:line="276" w:after="80"/>
              <w:jc w:val="left"/>
            </w:pPr>
            <w:r>
              <w:rPr>
                <w:sz w:val="22"/>
              </w:rPr>
            </w:r>
            <w:r>
              <w:rPr>
                <w:rFonts w:ascii="Times New Roman" w:hAnsi="Times New Roman"/>
                <w:sz w:val="22"/>
              </w:rPr>
              <w:t xml:space="preserve">Tiempo promedio de absolución, con línea base de 11.29 días frente al promedio general de la entidad de 8.02 días en el 2T2026 (</w:t>
            </w:r>
            <w:commentRangeStart w:id="22"/>
            <w:r>
              <w:rPr>
                <w:rFonts w:ascii="Times New Roman" w:hAnsi="Times New Roman"/>
                <w:sz w:val="22"/>
              </w:rPr>
              <w:t xml:space="preserve">Tabla 31</w:t>
            </w:r>
            <w:commentRangeEnd w:id="22"/>
            <w:r>
              <w:rPr>
                <w:rStyle w:val="CommentReference"/>
              </w:rPr>
              <w:commentReference w:id="22"/>
            </w:r>
            <w:r>
              <w:rPr>
                <w:rFonts w:ascii="Times New Roman" w:hAnsi="Times New Roman"/>
                <w:sz w:val="22"/>
              </w:rPr>
              <w:t xml:space="preserve">); dado que ambos promedios varían entre periodos, la meta se expresa como el cierre de la brecha relativa, </w:t>
            </w:r>
            <w:commentRangeStart w:id="83"/>
            <w:commentRangeStart w:id="117"/>
            <w:r>
              <w:rPr>
                <w:rFonts w:ascii="Times New Roman" w:hAnsi="Times New Roman"/>
                <w:sz w:val="22"/>
              </w:rPr>
              <w:t xml:space="preserve">de 1.41 veces en el 2T2026 y de 1.30 veces en julio-agosto de 2026 (cálculo propio con base en Banco BBVA Perú, 2026a a 2026e)</w:t>
            </w:r>
            <w:commentRangeEnd w:id="117"/>
            <w:r>
              <w:rPr>
                <w:rStyle w:val="CommentReference"/>
              </w:rPr>
              <w:commentReference w:id="117"/>
            </w:r>
            <w:commentRangeEnd w:id="83"/>
            <w:r>
              <w:rPr>
                <w:rStyle w:val="CommentReference"/>
              </w:rPr>
              <w:commentReference w:id="83"/>
            </w:r>
            <w:r>
              <w:rPr>
                <w:rFonts w:ascii="Times New Roman" w:hAnsi="Times New Roman"/>
                <w:sz w:val="22"/>
              </w:rPr>
              <w:t xml:space="preserve">, y no como una cifra absoluta de días, conforme a la sección 5.3. La instrumentación TO BE añade el tiempo que el expediente permanece con el analista antes de la validación, hoy no medido, como indicador operativo adicional.</w:t>
            </w:r>
          </w:p>
        </w:tc>
      </w:tr>
    </w:tbl>
    <w:p>
      <w:pPr>
        <w:spacing w:after="0" w:before="200"/>
      </w:pPr>
      <w:commentRangeStart w:id="23"/>
      <w:r>
        <w:rPr>
          <w:rFonts w:ascii="Times New Roman" w:hAnsi="Times New Roman"/>
          <w:b/>
          <w:sz w:val="24"/>
        </w:rPr>
        <w:t xml:space="preserve">Tabla 34</w:t>
      </w:r>
      <w:commentRangeEnd w:id="23"/>
      <w:r>
        <w:rPr>
          <w:rStyle w:val="CommentReference"/>
        </w:rPr>
        <w:commentReference w:id="23"/>
      </w:r>
    </w:p>
    <w:p>
      <w:pPr>
        <w:spacing w:after="80"/>
      </w:pPr>
      <w:r>
        <w:rPr>
          <w:rFonts w:ascii="Times New Roman" w:hAnsi="Times New Roman"/>
          <w:i/>
          <w:sz w:val="24"/>
        </w:rPr>
        <w:t>Diseño TO BE del proceso para DC2: agente de investigación asistida de reclamos</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5.3 y la descripción As Is de la </w:t>
      </w:r>
      <w:commentRangeStart w:id="24"/>
      <w:r>
        <w:rPr>
          <w:rFonts w:ascii="Times New Roman" w:hAnsi="Times New Roman"/>
          <w:sz w:val="21"/>
        </w:rPr>
        <w:t xml:space="preserve">Tabla 31</w:t>
      </w:r>
      <w:commentRangeEnd w:id="24"/>
      <w:r>
        <w:rPr>
          <w:rStyle w:val="CommentReference"/>
        </w:rPr>
        <w:commentReference w:id="24"/>
      </w:r>
      <w:commentRangeStart w:id="68"/>
      <w:r>
        <w:rPr>
          <w:rFonts w:ascii="Times New Roman" w:hAnsi="Times New Roman"/>
          <w:sz w:val="21"/>
        </w:rPr>
        <w:t xml:space="preserve"> del informe parcial</w:t>
      </w:r>
      <w:commentRangeEnd w:id="68"/>
      <w:r>
        <w:rPr>
          <w:rStyle w:val="CommentReference"/>
        </w:rPr>
        <w:commentReference w:id="68"/>
      </w:r>
      <w:r>
        <w:rPr>
          <w:rFonts w:ascii="Times New Roman" w:hAnsi="Times New Roman"/>
          <w:sz w:val="21"/>
        </w:rPr>
        <w:t xml:space="preserve">.</w:t>
      </w:r>
    </w:p>
    <w:p>
      <w:pPr>
        <w:keepNext/>
        <w:spacing w:before="240" w:after="160"/>
      </w:pPr>
      <w:r>
        <w:rPr>
          <w:rFonts w:ascii="Times New Roman" w:hAnsi="Times New Roman"/>
          <w:b/>
          <w:color w:val="1F3864"/>
          <w:sz w:val="26"/>
        </w:rPr>
        <w:t>8.3. Diseño TO BE del proceso para DC3: contratación por canal digital</w:t>
      </w:r>
    </w:p>
    <w:p>
      <w:pPr>
        <w:spacing w:lineRule="auto" w:line="360" w:after="160"/>
        <w:jc w:val="both"/>
      </w:pPr>
      <w:r>
        <w:rPr>
          <w:rFonts w:ascii="Times New Roman" w:hAnsi="Times New Roman"/>
          <w:sz w:val="24"/>
        </w:rPr>
        <w:t xml:space="preserve">El proceso As Is descrito en la </w:t>
      </w:r>
      <w:commentRangeStart w:id="25"/>
      <w:r>
        <w:rPr>
          <w:rFonts w:ascii="Times New Roman" w:hAnsi="Times New Roman"/>
          <w:sz w:val="24"/>
        </w:rPr>
        <w:t xml:space="preserve">Tabla 32</w:t>
      </w:r>
      <w:commentRangeEnd w:id="25"/>
      <w:r>
        <w:rPr>
          <w:rStyle w:val="CommentReference"/>
        </w:rPr>
        <w:commentReference w:id="25"/>
      </w:r>
      <w:r>
        <w:rPr>
          <w:rFonts w:ascii="Times New Roman" w:hAnsi="Times New Roman"/>
          <w:sz w:val="24"/>
        </w:rPr>
        <w:t xml:space="preserve"> interrumpe por completo el flujo 100 % digital y deriva a oficina física cuando el solicitante no encaja en el perfil elegible: </w:t>
      </w:r>
      <w:commentRangeStart w:id="118"/>
      <w:r>
        <w:rPr>
          <w:rFonts w:ascii="Times New Roman" w:hAnsi="Times New Roman"/>
          <w:sz w:val="24"/>
        </w:rPr>
        <w:t xml:space="preserve">menor de edad o titular de carné de extranjería (A. Moquillaza, comunicación personal, 11 de setiembre de 2026), dado que la apertura desde la App está disponible solo para peruanos con DNI (Banco BBVA Perú, s. f.-a)</w:t>
      </w:r>
      <w:commentRangeEnd w:id="118"/>
      <w:r>
        <w:rPr>
          <w:rStyle w:val="CommentReference"/>
        </w:rPr>
        <w:commentReference w:id="118"/>
      </w:r>
      <w:r>
        <w:rPr>
          <w:rFonts w:ascii="Times New Roman" w:hAnsi="Times New Roman"/>
          <w:sz w:val="24"/>
        </w:rPr>
        <w:t xml:space="preserve">. En el diseño TO BE, el agente conversacional gestiona la verificación adicional de forma progresiva y asíncrona dentro del mismo canal, sin cerrar la conversación, conforme a la formulación de la sección 5.4. Por ejemplo, puede abrir una cuenta básica con los límites regulatorios vigentes mientras la verificación ante Migraciones se completa en segundo plano, o solicitar la autorización del tutor de un menor sin interrumpir el flujo.</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Dimensión</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Diseño TO BE — DC3</w:t>
            </w:r>
          </w:p>
        </w:tc>
      </w:tr>
      <w:tr>
        <w:tc>
          <w:tcPr>
            <w:tcW w:type="dxa" w:w="2381"/>
          </w:tcPr>
          <w:p>
            <w:pPr>
              <w:spacing w:lineRule="auto" w:line="276" w:after="80"/>
              <w:jc w:val="left"/>
            </w:pPr>
            <w:r>
              <w:rPr>
                <w:b/>
                <w:sz w:val="22"/>
              </w:rPr>
            </w:r>
            <w:r>
              <w:rPr>
                <w:rFonts w:ascii="Times New Roman" w:hAnsi="Times New Roman"/>
                <w:b/>
                <w:sz w:val="22"/>
              </w:rPr>
              <w:t>Cambio en el proceso</w:t>
            </w:r>
          </w:p>
        </w:tc>
        <w:tc>
          <w:tcPr>
            <w:tcW w:type="dxa" w:w="5839"/>
          </w:tcPr>
          <w:p>
            <w:pPr>
              <w:spacing w:lineRule="auto" w:line="276" w:after="80"/>
              <w:jc w:val="left"/>
            </w:pPr>
            <w:r>
              <w:rPr>
                <w:sz w:val="22"/>
              </w:rPr>
            </w:r>
            <w:r>
              <w:rPr>
                <w:rFonts w:ascii="Times New Roman" w:hAnsi="Times New Roman"/>
                <w:sz w:val="22"/>
              </w:rPr>
              <w:t>El flujo deja de detenerse ante un perfil no contemplado y deriva a oficina física, y pasa a continuar en el mismo canal conversacional mientras una verificación adicional se completa en segundo plano. El estado "pendiente de verificación" se vuelve visible para el solicitante, sustituyendo el vacío de trazabilidad que hoy caracteriza la ruta derivada.</w:t>
            </w:r>
          </w:p>
        </w:tc>
      </w:tr>
      <w:tr>
        <w:tc>
          <w:tcPr>
            <w:tcW w:type="dxa" w:w="2381"/>
          </w:tcPr>
          <w:p>
            <w:pPr>
              <w:spacing w:lineRule="auto" w:line="276" w:after="80"/>
              <w:jc w:val="left"/>
            </w:pPr>
            <w:r>
              <w:rPr>
                <w:b/>
                <w:sz w:val="22"/>
              </w:rPr>
            </w:r>
            <w:r>
              <w:rPr>
                <w:rFonts w:ascii="Times New Roman" w:hAnsi="Times New Roman"/>
                <w:b/>
                <w:sz w:val="22"/>
              </w:rPr>
              <w:t>¿Qué sistemas actualiza?</w:t>
            </w:r>
          </w:p>
        </w:tc>
        <w:tc>
          <w:tcPr>
            <w:tcW w:type="dxa" w:w="5839"/>
          </w:tcPr>
          <w:p>
            <w:pPr>
              <w:spacing w:lineRule="auto" w:line="276" w:after="80"/>
              <w:jc w:val="left"/>
            </w:pPr>
            <w:r>
              <w:rPr>
                <w:sz w:val="22"/>
              </w:rPr>
            </w:r>
            <w:r>
              <w:rPr>
                <w:rFonts w:ascii="Times New Roman" w:hAnsi="Times New Roman"/>
                <w:b/>
                <w:sz w:val="22"/>
              </w:rPr>
              <w:t>App BBVA / flujo 100 % digital</w:t>
            </w:r>
            <w:r>
              <w:rPr>
                <w:rFonts w:ascii="Times New Roman" w:hAnsi="Times New Roman"/>
                <w:sz w:val="22"/>
              </w:rPr>
              <w:t xml:space="preserve">: incorpora una rama de verificación progresiva en lugar de un punto de interrupción único. </w:t>
            </w:r>
            <w:r>
              <w:rPr>
                <w:rFonts w:ascii="Times New Roman" w:hAnsi="Times New Roman"/>
                <w:b/>
                <w:sz w:val="22"/>
              </w:rPr>
              <w:t>Interfaz con RENIEC, Migraciones y el Ministerio de Relaciones Exteriores</w:t>
            </w:r>
            <w:r>
              <w:rPr>
                <w:rFonts w:ascii="Times New Roman" w:hAnsi="Times New Roman"/>
                <w:sz w:val="22"/>
              </w:rPr>
              <w:t xml:space="preserve">: nueva integración para verificación posterior a la apertura, </w:t>
            </w:r>
            <w:commentRangeStart w:id="87"/>
            <w:r>
              <w:rPr>
                <w:rFonts w:ascii="Times New Roman" w:hAnsi="Times New Roman"/>
                <w:sz w:val="22"/>
              </w:rPr>
              <w:t xml:space="preserve">habilitada por la Resolución SBS N.º 00908-2025 (SBS, 2025b).</w:t>
            </w:r>
            <w:commentRangeEnd w:id="87"/>
            <w:r>
              <w:rPr>
                <w:rStyle w:val="CommentReference"/>
              </w:rPr>
              <w:commentReference w:id="87"/>
            </w:r>
            <w:r>
              <w:rPr>
                <w:rFonts w:ascii="Times New Roman" w:hAnsi="Times New Roman"/>
                <w:sz w:val="22"/>
              </w:rPr>
              <w:t xml:space="preserve"> </w:t>
            </w:r>
            <w:r>
              <w:rPr>
                <w:rFonts w:ascii="Times New Roman" w:hAnsi="Times New Roman"/>
                <w:b/>
                <w:sz w:val="22"/>
              </w:rPr>
              <w:t>Core bancario</w:t>
            </w:r>
            <w:r>
              <w:rPr>
                <w:rFonts w:ascii="Times New Roman" w:hAnsi="Times New Roman"/>
                <w:sz w:val="22"/>
              </w:rPr>
              <w:t xml:space="preserve">: incorpora un estado transitorio de "cuenta básica" con límites propios, distinto de la cuenta digital estándar. </w:t>
            </w:r>
            <w:r>
              <w:rPr>
                <w:rFonts w:ascii="Times New Roman" w:hAnsi="Times New Roman"/>
                <w:b/>
                <w:sz w:val="22"/>
              </w:rPr>
              <w:t>Motor de verificación biométrica</w:t>
            </w:r>
            <w:r>
              <w:rPr>
                <w:rFonts w:ascii="Times New Roman" w:hAnsi="Times New Roman"/>
                <w:sz w:val="22"/>
              </w:rPr>
              <w:t xml:space="preserve">: se usa para autenticar identidad, uso expresamente no prohibido por el Reglamento de la Ley </w:t>
            </w:r>
            <w:commentRangeStart w:id="148"/>
            <w:r>
              <w:rPr>
                <w:rFonts w:ascii="Times New Roman" w:hAnsi="Times New Roman"/>
                <w:sz w:val="22"/>
              </w:rPr>
              <w:t xml:space="preserve">N.º</w:t>
            </w:r>
            <w:commentRangeEnd w:id="148"/>
            <w:r>
              <w:rPr>
                <w:rStyle w:val="CommentReference"/>
              </w:rPr>
              <w:commentReference w:id="148"/>
            </w:r>
            <w:r>
              <w:rPr>
                <w:rFonts w:ascii="Times New Roman" w:hAnsi="Times New Roman"/>
                <w:sz w:val="22"/>
              </w:rPr>
              <w:t xml:space="preserve"> 31814 </w:t>
            </w:r>
            <w:commentRangeStart w:id="76"/>
            <w:commentRangeStart w:id="95"/>
            <w:r>
              <w:rPr>
                <w:rFonts w:ascii="Times New Roman" w:hAnsi="Times New Roman"/>
                <w:sz w:val="22"/>
              </w:rPr>
              <w:t xml:space="preserve">(art. 23.1, literal e; Decreto Supremo </w:t>
            </w:r>
            <w:commentRangeEnd w:id="95"/>
            <w:r>
              <w:rPr>
                <w:rStyle w:val="CommentReference"/>
              </w:rPr>
              <w:commentReference w:id="95"/>
            </w:r>
            <w:commentRangeEnd w:id="76"/>
            <w:r>
              <w:rPr>
                <w:rStyle w:val="CommentReference"/>
              </w:rPr>
              <w:commentReference w:id="76"/>
            </w:r>
            <w:commentRangeStart w:id="149"/>
            <w:r>
              <w:rPr>
                <w:rFonts w:ascii="Times New Roman" w:hAnsi="Times New Roman"/>
                <w:sz w:val="22"/>
              </w:rPr>
              <w:t xml:space="preserve">N.º</w:t>
            </w:r>
            <w:commentRangeEnd w:id="149"/>
            <w:r>
              <w:rPr>
                <w:rStyle w:val="CommentReference"/>
              </w:rPr>
              <w:commentReference w:id="149"/>
            </w:r>
            <w:r>
              <w:rPr>
                <w:rFonts w:ascii="Times New Roman" w:hAnsi="Times New Roman"/>
                <w:sz w:val="22"/>
              </w:rPr>
              <w:t xml:space="preserve"> 115-2025-PCM, 2025) (Banco BBVA Perú</w:t>
            </w:r>
            <w:r>
              <w:rPr>
                <w:rFonts w:ascii="Times New Roman" w:hAnsi="Times New Roman"/>
                <w:sz w:val="22"/>
              </w:rPr>
              <w:t xml:space="preserve">, s. f.-a, s. f.-k)</w:t>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¿Qué reglas de negocio aplica?</w:t>
            </w:r>
          </w:p>
        </w:tc>
        <w:tc>
          <w:tcPr>
            <w:tcW w:type="dxa" w:w="5839"/>
          </w:tcPr>
          <w:p>
            <w:pPr>
              <w:spacing w:lineRule="auto" w:line="276" w:after="80"/>
              <w:jc w:val="left"/>
            </w:pPr>
            <w:r>
              <w:rPr>
                <w:sz w:val="22"/>
              </w:rPr>
            </w:r>
            <w:r>
              <w:rPr>
                <w:rFonts w:ascii="Times New Roman" w:hAnsi="Times New Roman"/>
                <w:sz w:val="22"/>
              </w:rPr>
              <w:t xml:space="preserve">La cuenta básica que se habilita mientras la verificación está pendiente opera con los límites de la Resolución SBS </w:t>
            </w:r>
            <w:commentRangeStart w:id="150"/>
            <w:r>
              <w:rPr>
                <w:rFonts w:ascii="Times New Roman" w:hAnsi="Times New Roman"/>
                <w:sz w:val="22"/>
              </w:rPr>
              <w:t xml:space="preserve">N.º</w:t>
            </w:r>
            <w:commentRangeEnd w:id="150"/>
            <w:r>
              <w:rPr>
                <w:rStyle w:val="CommentReference"/>
              </w:rPr>
              <w:commentReference w:id="150"/>
            </w:r>
            <w:r>
              <w:rPr>
                <w:rFonts w:ascii="Times New Roman" w:hAnsi="Times New Roman"/>
                <w:sz w:val="22"/>
              </w:rPr>
              <w:t xml:space="preserve"> 00704-2026: 0.6 UIT por transacción, 1.9 UIT de saldo y 2.8 UIT de </w:t>
            </w:r>
            <w:commentRangeStart w:id="88"/>
            <w:r>
              <w:rPr>
                <w:rFonts w:ascii="Times New Roman" w:hAnsi="Times New Roman"/>
                <w:sz w:val="22"/>
              </w:rPr>
              <w:t xml:space="preserve">transacciones mensuales (SBS, 2026). La verificación posterior</w:t>
            </w:r>
            <w:commentRangeEnd w:id="88"/>
            <w:r>
              <w:rPr>
                <w:rStyle w:val="CommentReference"/>
              </w:rPr>
              <w:commentReference w:id="88"/>
            </w:r>
            <w:r>
              <w:rPr>
                <w:rFonts w:ascii="Times New Roman" w:hAnsi="Times New Roman"/>
                <w:sz w:val="22"/>
              </w:rPr>
              <w:t xml:space="preserve"> a la apertura para extranjeros se ampara en la Resolución SBS </w:t>
            </w:r>
            <w:commentRangeStart w:id="151"/>
            <w:r>
              <w:rPr>
                <w:rFonts w:ascii="Times New Roman" w:hAnsi="Times New Roman"/>
                <w:sz w:val="22"/>
              </w:rPr>
              <w:t xml:space="preserve">N.º</w:t>
            </w:r>
            <w:commentRangeEnd w:id="151"/>
            <w:r>
              <w:rPr>
                <w:rStyle w:val="CommentReference"/>
              </w:rPr>
              <w:commentReference w:id="151"/>
            </w:r>
            <w:r>
              <w:rPr>
                <w:rFonts w:ascii="Times New Roman" w:hAnsi="Times New Roman"/>
                <w:sz w:val="22"/>
              </w:rPr>
              <w:t xml:space="preserve"> 00908-2025, que solo exige </w:t>
            </w:r>
            <w:commentRangeStart w:id="89"/>
            <w:r>
              <w:rPr>
                <w:rFonts w:ascii="Times New Roman" w:hAnsi="Times New Roman"/>
                <w:sz w:val="22"/>
              </w:rPr>
              <w:t xml:space="preserve">presencialidad cuando la contratación misma es presencial (SBS, 2025b).</w:t>
            </w:r>
            <w:commentRangeEnd w:id="89"/>
            <w:r>
              <w:rPr>
                <w:rStyle w:val="CommentReference"/>
              </w:rPr>
              <w:commentReference w:id="89"/>
            </w:r>
            <w:r>
              <w:rPr>
                <w:rFonts w:ascii="Times New Roman" w:hAnsi="Times New Roman"/>
                <w:sz w:val="22"/>
              </w:rPr>
              <w:t xml:space="preserve"> El diseño debe considerar las necesidades diferenciadas de niñas, niños y adolescentes (art. 12 del Reglamento de la Ley </w:t>
            </w:r>
            <w:commentRangeStart w:id="152"/>
            <w:r>
              <w:rPr>
                <w:rFonts w:ascii="Times New Roman" w:hAnsi="Times New Roman"/>
                <w:sz w:val="22"/>
              </w:rPr>
              <w:t xml:space="preserve">N.º</w:t>
            </w:r>
            <w:commentRangeEnd w:id="152"/>
            <w:r>
              <w:rPr>
                <w:rStyle w:val="CommentReference"/>
              </w:rPr>
              <w:commentReference w:id="152"/>
            </w:r>
            <w:r>
              <w:rPr>
                <w:rFonts w:ascii="Times New Roman" w:hAnsi="Times New Roman"/>
                <w:sz w:val="22"/>
              </w:rPr>
              <w:t xml:space="preserve"> 31814); para el caso de un menor de edad, </w:t>
            </w:r>
            <w:commentRangeStart w:id="0"/>
            <w:r>
              <w:rPr>
                <w:rFonts w:ascii="Times New Roman" w:hAnsi="Times New Roman"/>
                <w:sz w:val="22"/>
              </w:rPr>
              <w:t>la autorización asíncrona del tutor requiere validar previamente el alcance legal con las áreas legal y de cumplimiento del banco antes de habilitarse en el flujo conversacional</w:t>
            </w:r>
            <w:commentRangeEnd w:id="0"/>
            <w:r>
              <w:rPr>
                <w:rStyle w:val="CommentReference"/>
              </w:rPr>
              <w:commentReference w:id="0"/>
            </w:r>
            <w:r>
              <w:rPr>
                <w:rFonts w:ascii="Times New Roman" w:hAnsi="Times New Roman"/>
                <w:sz w:val="22"/>
              </w:rPr>
              <w:t xml:space="preserve">, tal como ya advertía la hipótesis de la sección 5.4</w:t>
            </w:r>
            <w:commentRangeStart w:id="69"/>
            <w:r>
              <w:rPr>
                <w:rFonts w:ascii="Times New Roman" w:hAnsi="Times New Roman"/>
                <w:sz w:val="22"/>
              </w:rPr>
              <w:t xml:space="preserve"> del informe parcial</w:t>
            </w:r>
            <w:commentRangeEnd w:id="69"/>
            <w:r>
              <w:rPr>
                <w:rStyle w:val="CommentReference"/>
              </w:rPr>
              <w:commentReference w:id="69"/>
            </w:r>
            <w:r>
              <w:rPr>
                <w:rFonts w:ascii="Times New Roman" w:hAnsi="Times New Roman"/>
                <w:sz w:val="22"/>
              </w:rPr>
              <w:t xml:space="preserve"> (Decreto Supremo </w:t>
            </w:r>
            <w:commentRangeStart w:id="153"/>
            <w:r>
              <w:rPr>
                <w:rFonts w:ascii="Times New Roman" w:hAnsi="Times New Roman"/>
                <w:sz w:val="22"/>
              </w:rPr>
              <w:t xml:space="preserve">N.º</w:t>
            </w:r>
            <w:commentRangeEnd w:id="153"/>
            <w:r>
              <w:rPr>
                <w:rStyle w:val="CommentReference"/>
              </w:rPr>
              <w:commentReference w:id="153"/>
            </w:r>
            <w:r>
              <w:rPr>
                <w:rFonts w:ascii="Times New Roman" w:hAnsi="Times New Roman"/>
                <w:sz w:val="22"/>
              </w:rPr>
              <w:t xml:space="preserve"> 115-2025-PCM, 2025).</w:t>
            </w:r>
          </w:p>
        </w:tc>
      </w:tr>
      <w:tr>
        <w:tc>
          <w:tcPr>
            <w:tcW w:type="dxa" w:w="2381"/>
          </w:tcPr>
          <w:p>
            <w:pPr>
              <w:spacing w:lineRule="auto" w:line="276" w:after="80"/>
              <w:jc w:val="left"/>
            </w:pPr>
            <w:r>
              <w:rPr>
                <w:b/>
                <w:sz w:val="22"/>
              </w:rPr>
            </w:r>
            <w:r>
              <w:rPr>
                <w:rFonts w:ascii="Times New Roman" w:hAnsi="Times New Roman"/>
                <w:b/>
                <w:sz w:val="22"/>
              </w:rPr>
              <w:t>¿Cómo se mide el resultado?</w:t>
            </w:r>
          </w:p>
        </w:tc>
        <w:tc>
          <w:tcPr>
            <w:tcW w:type="dxa" w:w="5839"/>
          </w:tcPr>
          <w:p>
            <w:pPr>
              <w:spacing w:lineRule="auto" w:line="276" w:after="80"/>
              <w:jc w:val="left"/>
            </w:pPr>
            <w:r>
              <w:rPr>
                <w:sz w:val="22"/>
              </w:rPr>
            </w:r>
            <w:r>
              <w:rPr>
                <w:rFonts w:ascii="Times New Roman" w:hAnsi="Times New Roman"/>
                <w:sz w:val="22"/>
              </w:rPr>
              <w:t xml:space="preserve">Penetración digital en cuentas, con línea base de 33 % y meta de 55 % en </w:t>
            </w:r>
            <w:commentRangeStart w:id="97"/>
            <w:r>
              <w:rPr>
                <w:rFonts w:ascii="Times New Roman" w:hAnsi="Times New Roman"/>
                <w:sz w:val="22"/>
              </w:rPr>
              <w:t xml:space="preserve">18 meses</w:t>
            </w:r>
            <w:commentRangeEnd w:id="97"/>
            <w:r>
              <w:rPr>
                <w:rStyle w:val="CommentReference"/>
              </w:rPr>
              <w:commentReference w:id="97"/>
            </w:r>
            <w:r>
              <w:rPr>
                <w:rFonts w:ascii="Times New Roman" w:hAnsi="Times New Roman"/>
                <w:sz w:val="22"/>
              </w:rPr>
              <w:t xml:space="preserve"> (</w:t>
            </w:r>
            <w:commentRangeStart w:id="27"/>
            <w:r>
              <w:rPr>
                <w:rFonts w:ascii="Times New Roman" w:hAnsi="Times New Roman"/>
                <w:sz w:val="22"/>
              </w:rPr>
              <w:t xml:space="preserve">Tabla 25</w:t>
            </w:r>
            <w:commentRangeEnd w:id="27"/>
            <w:r>
              <w:rPr>
                <w:rStyle w:val="CommentReference"/>
              </w:rPr>
              <w:commentReference w:id="27"/>
            </w:r>
            <w:r>
              <w:rPr>
                <w:rFonts w:ascii="Times New Roman" w:hAnsi="Times New Roman"/>
                <w:sz w:val="22"/>
              </w:rPr>
              <w:t xml:space="preserve">; Banco BBVA Perú, </w:t>
            </w:r>
            <w:commentRangeStart w:id="82"/>
            <w:r>
              <w:rPr>
                <w:rFonts w:ascii="Times New Roman" w:hAnsi="Times New Roman"/>
                <w:sz w:val="22"/>
              </w:rPr>
              <w:t xml:space="preserve">2025, p. 3; 2026f, p. 3</w:t>
            </w:r>
            <w:commentRangeEnd w:id="82"/>
            <w:r>
              <w:rPr>
                <w:rStyle w:val="CommentReference"/>
              </w:rPr>
              <w:commentReference w:id="82"/>
            </w:r>
            <w:r>
              <w:rPr>
                <w:rFonts w:ascii="Times New Roman" w:hAnsi="Times New Roman"/>
                <w:sz w:val="22"/>
              </w:rPr>
              <w:t xml:space="preserve">). </w:t>
            </w:r>
            <w:commentRangeStart w:id="26"/>
            <w:commentRangeStart w:id="123"/>
            <w:r>
              <w:rPr>
                <w:rFonts w:ascii="Times New Roman" w:hAnsi="Times New Roman"/>
                <w:sz w:val="22"/>
              </w:rPr>
              <w:t xml:space="preserve">Tasa de derivación a canal asistido, hoy sin línea base pública (Tabla 25)</w:t>
            </w:r>
            <w:commentRangeEnd w:id="123"/>
            <w:r>
              <w:rPr>
                <w:rStyle w:val="CommentReference"/>
              </w:rPr>
              <w:commentReference w:id="123"/>
            </w:r>
            <w:commentRangeEnd w:id="26"/>
            <w:r>
              <w:rPr>
                <w:rStyle w:val="CommentReference"/>
              </w:rPr>
              <w:commentReference w:id="26"/>
            </w:r>
            <w:r>
              <w:rPr>
                <w:rFonts w:ascii="Times New Roman" w:hAnsi="Times New Roman"/>
                <w:sz w:val="22"/>
              </w:rPr>
              <w:t xml:space="preserve">, que el propio agente permite instrumentar por primera vez al registrar cada caso que hoy se derivaría a oficina y que, en el diseño TO BE, completa la verificación de forma asíncrona sin abandonar el canal digital.</w:t>
            </w:r>
          </w:p>
        </w:tc>
      </w:tr>
    </w:tbl>
    <w:p>
      <w:pPr>
        <w:spacing w:after="0" w:before="200"/>
      </w:pPr>
      <w:commentRangeStart w:id="28"/>
      <w:r>
        <w:rPr>
          <w:rFonts w:ascii="Times New Roman" w:hAnsi="Times New Roman"/>
          <w:b/>
          <w:sz w:val="24"/>
        </w:rPr>
        <w:t xml:space="preserve">Tabla 35</w:t>
      </w:r>
      <w:commentRangeEnd w:id="28"/>
      <w:r>
        <w:rPr>
          <w:rStyle w:val="CommentReference"/>
        </w:rPr>
        <w:commentReference w:id="28"/>
      </w:r>
    </w:p>
    <w:p>
      <w:pPr>
        <w:spacing w:after="80"/>
      </w:pPr>
      <w:r>
        <w:rPr>
          <w:rFonts w:ascii="Times New Roman" w:hAnsi="Times New Roman"/>
          <w:i/>
          <w:sz w:val="24"/>
        </w:rPr>
        <w:t>Diseño TO BE del proceso para DC3: agente de verificación progresiva en la contratación digital</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5.4 y la descripción As Is de la </w:t>
      </w:r>
      <w:commentRangeStart w:id="29"/>
      <w:r>
        <w:rPr>
          <w:rFonts w:ascii="Times New Roman" w:hAnsi="Times New Roman"/>
          <w:sz w:val="21"/>
        </w:rPr>
        <w:t xml:space="preserve">Tabla 32</w:t>
      </w:r>
      <w:commentRangeEnd w:id="29"/>
      <w:r>
        <w:rPr>
          <w:rStyle w:val="CommentReference"/>
        </w:rPr>
        <w:commentReference w:id="29"/>
      </w:r>
      <w:commentRangeStart w:id="70"/>
      <w:r>
        <w:rPr>
          <w:rFonts w:ascii="Times New Roman" w:hAnsi="Times New Roman"/>
          <w:sz w:val="21"/>
        </w:rPr>
        <w:t xml:space="preserve"> del informe parcial</w:t>
      </w:r>
      <w:commentRangeEnd w:id="70"/>
      <w:r>
        <w:rPr>
          <w:rStyle w:val="CommentReference"/>
        </w:rPr>
        <w:commentReference w:id="70"/>
      </w:r>
      <w:r>
        <w:rPr>
          <w:rFonts w:ascii="Times New Roman" w:hAnsi="Times New Roman"/>
          <w:sz w:val="21"/>
        </w:rPr>
        <w:t xml:space="preserve">.</w:t>
      </w:r>
    </w:p>
    <w:p>
      <w:pPr>
        <w:spacing w:lineRule="auto" w:line="360" w:after="160"/>
        <w:jc w:val="both"/>
      </w:pPr>
      <w:r>
        <w:rPr>
          <w:rFonts w:ascii="Times New Roman" w:hAnsi="Times New Roman"/>
          <w:sz w:val="24"/>
        </w:rPr>
        <w:t xml:space="preserve">Este diseño TO BE traslada a nivel operativo un punto que </w:t>
      </w:r>
      <w:commentRangeStart w:id="65"/>
      <w:r>
        <w:rPr>
          <w:rFonts w:ascii="Times New Roman" w:hAnsi="Times New Roman"/>
          <w:sz w:val="24"/>
        </w:rPr>
        <w:t xml:space="preserve">la propia hipótesis de la sección 5.4 del informe parcial dejó</w:t>
      </w:r>
      <w:commentRangeEnd w:id="65"/>
      <w:r>
        <w:rPr>
          <w:rStyle w:val="CommentReference"/>
        </w:rPr>
        <w:commentReference w:id="65"/>
      </w:r>
      <w:r>
        <w:rPr>
          <w:rFonts w:ascii="Times New Roman" w:hAnsi="Times New Roman"/>
          <w:sz w:val="24"/>
        </w:rPr>
        <w:t xml:space="preserve"> explícitamente abierto y que el equipo no ha podido cerrar con fuentes públicas: la viabilidad legal de una autorización remota del tutor para el caso de un menor de edad. La </w:t>
      </w:r>
      <w:commentRangeStart w:id="30"/>
      <w:r>
        <w:rPr>
          <w:rFonts w:ascii="Times New Roman" w:hAnsi="Times New Roman"/>
          <w:sz w:val="24"/>
        </w:rPr>
        <w:t xml:space="preserve">Tabla 35</w:t>
      </w:r>
      <w:commentRangeEnd w:id="30"/>
      <w:r>
        <w:rPr>
          <w:rStyle w:val="CommentReference"/>
        </w:rPr>
        <w:commentReference w:id="30"/>
      </w:r>
      <w:r>
        <w:rPr>
          <w:rFonts w:ascii="Times New Roman" w:hAnsi="Times New Roman"/>
          <w:sz w:val="24"/>
        </w:rPr>
        <w:t xml:space="preserve"> señala ese punto de forma explícita como pendiente de validación antes de avanzar a una siguiente fase de diseño detallado.</w:t>
      </w:r>
    </w:p>
    <w:p>
      <w:pPr>
        <w:keepNext/>
        <w:spacing w:before="360" w:after="200"/>
      </w:pPr>
      <w:r>
        <w:rPr>
          <w:rFonts w:ascii="Times New Roman" w:hAnsi="Times New Roman"/>
          <w:b/>
          <w:color w:val="1F3864"/>
          <w:sz w:val="30"/>
        </w:rPr>
        <w:t>9. Descripción de las soluciones</w:t>
      </w:r>
    </w:p>
    <w:p>
      <w:pPr>
        <w:spacing w:lineRule="auto" w:line="360" w:after="160"/>
        <w:jc w:val="both"/>
      </w:pPr>
      <w:r>
        <w:rPr>
          <w:rFonts w:ascii="Times New Roman" w:hAnsi="Times New Roman"/>
          <w:sz w:val="24"/>
        </w:rPr>
        <w:t xml:space="preserve">Esta sección diseña, para cada una de las tres iniciativas, la solución propuesta con el mismo nivel de detalle: nombre, objetivo, usuarios atendidos, canales, capacidades, datos que usa, sistemas con los que interactúa y límites. La descripción reutiliza la formulación de las hipótesis de las secciones 5.2 a 5.4</w:t>
      </w:r>
      <w:commentRangeStart w:id="71"/>
      <w:r>
        <w:rPr>
          <w:rFonts w:ascii="Times New Roman" w:hAnsi="Times New Roman"/>
          <w:sz w:val="24"/>
        </w:rPr>
        <w:t xml:space="preserve"> del informe parcial</w:t>
      </w:r>
      <w:commentRangeEnd w:id="71"/>
      <w:r>
        <w:rPr>
          <w:rStyle w:val="CommentReference"/>
        </w:rPr>
        <w:commentReference w:id="71"/>
      </w:r>
      <w:r>
        <w:rPr>
          <w:rFonts w:ascii="Times New Roman" w:hAnsi="Times New Roman"/>
          <w:sz w:val="24"/>
        </w:rPr>
        <w:t xml:space="preserve"> y el diseño TO BE de la sección 8; no introduce capacidades nuevas que no se hayan sustentado previamente en este documento.</w:t>
      </w:r>
    </w:p>
    <w:p>
      <w:pPr>
        <w:keepNext/>
        <w:spacing w:before="240" w:after="160"/>
      </w:pPr>
      <w:r>
        <w:rPr>
          <w:rFonts w:ascii="Times New Roman" w:hAnsi="Times New Roman"/>
          <w:b/>
          <w:color w:val="1F3864"/>
          <w:sz w:val="26"/>
        </w:rPr>
        <w:t>9.1. Solución para DC1: agente de precalificación crediticia Pyme</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Atributo</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Descripción de la solución — DC1</w:t>
            </w:r>
          </w:p>
        </w:tc>
      </w:tr>
      <w:tr>
        <w:tc>
          <w:tcPr>
            <w:tcW w:type="dxa" w:w="2381"/>
          </w:tcPr>
          <w:p>
            <w:pPr>
              <w:spacing w:lineRule="auto" w:line="276" w:after="80"/>
              <w:jc w:val="left"/>
            </w:pPr>
            <w:r>
              <w:rPr>
                <w:b/>
                <w:sz w:val="22"/>
              </w:rPr>
            </w:r>
            <w:r>
              <w:rPr>
                <w:rFonts w:ascii="Times New Roman" w:hAnsi="Times New Roman"/>
                <w:b/>
                <w:sz w:val="22"/>
              </w:rPr>
              <w:t>Nombre de la solución</w:t>
            </w:r>
          </w:p>
        </w:tc>
        <w:tc>
          <w:tcPr>
            <w:tcW w:type="dxa" w:w="5839"/>
          </w:tcPr>
          <w:p>
            <w:pPr>
              <w:spacing w:lineRule="auto" w:line="276" w:after="80"/>
              <w:jc w:val="left"/>
            </w:pPr>
            <w:r>
              <w:rPr>
                <w:sz w:val="22"/>
              </w:rPr>
            </w:r>
            <w:commentRangeStart w:id="141"/>
            <w:r>
              <w:rPr>
                <w:rFonts w:ascii="Times New Roman" w:hAnsi="Times New Roman"/>
                <w:sz w:val="22"/>
              </w:rPr>
              <w:t>Agente de precalificación y acompañamiento conversacional para el crédito Pyme.</w:t>
            </w:r>
            <w:commentRangeEnd w:id="141"/>
            <w:r>
              <w:rPr>
                <w:rStyle w:val="CommentReference"/>
              </w:rPr>
              <w:commentReference w:id="141"/>
            </w:r>
          </w:p>
        </w:tc>
      </w:tr>
      <w:tr>
        <w:tc>
          <w:tcPr>
            <w:tcW w:type="dxa" w:w="2381"/>
          </w:tcPr>
          <w:p>
            <w:pPr>
              <w:spacing w:lineRule="auto" w:line="276" w:after="80"/>
              <w:jc w:val="left"/>
            </w:pPr>
            <w:r>
              <w:rPr>
                <w:b/>
                <w:sz w:val="22"/>
              </w:rPr>
            </w:r>
            <w:r>
              <w:rPr>
                <w:rFonts w:ascii="Times New Roman" w:hAnsi="Times New Roman"/>
                <w:b/>
                <w:sz w:val="22"/>
              </w:rPr>
              <w:t>Objetivo</w:t>
            </w:r>
          </w:p>
        </w:tc>
        <w:tc>
          <w:tcPr>
            <w:tcW w:type="dxa" w:w="5839"/>
          </w:tcPr>
          <w:p>
            <w:pPr>
              <w:spacing w:lineRule="auto" w:line="276" w:after="80"/>
              <w:jc w:val="left"/>
            </w:pPr>
            <w:r>
              <w:rPr>
                <w:sz w:val="22"/>
              </w:rPr>
            </w:r>
            <w:r>
              <w:rPr>
                <w:rFonts w:ascii="Times New Roman" w:hAnsi="Times New Roman"/>
                <w:sz w:val="22"/>
              </w:rPr>
              <w:t>Permitir que el empresario Pyme solicite y reciba una precalificación crediticia preliminar y explicable, a demanda, antes del trámite formal y sin depender de documentación financiera estructurada que hoy no siempre produce (Melo, 2026).</w:t>
            </w:r>
          </w:p>
        </w:tc>
      </w:tr>
      <w:tr>
        <w:tc>
          <w:tcPr>
            <w:tcW w:type="dxa" w:w="2381"/>
          </w:tcPr>
          <w:p>
            <w:pPr>
              <w:spacing w:lineRule="auto" w:line="276" w:after="80"/>
              <w:jc w:val="left"/>
            </w:pPr>
            <w:r>
              <w:rPr>
                <w:b/>
                <w:sz w:val="22"/>
              </w:rPr>
            </w:r>
            <w:r>
              <w:rPr>
                <w:rFonts w:ascii="Times New Roman" w:hAnsi="Times New Roman"/>
                <w:b/>
                <w:sz w:val="22"/>
              </w:rPr>
              <w:t>Usuarios atendidos</w:t>
            </w:r>
          </w:p>
        </w:tc>
        <w:tc>
          <w:tcPr>
            <w:tcW w:type="dxa" w:w="5839"/>
          </w:tcPr>
          <w:p>
            <w:pPr>
              <w:spacing w:lineRule="auto" w:line="276" w:after="80"/>
              <w:jc w:val="left"/>
            </w:pPr>
            <w:r>
              <w:rPr>
                <w:sz w:val="22"/>
              </w:rPr>
            </w:r>
            <w:r>
              <w:rPr>
                <w:rFonts w:ascii="Times New Roman" w:hAnsi="Times New Roman"/>
                <w:sz w:val="22"/>
              </w:rPr>
              <w:t>Empresarios Pyme, tanto persona natural con negocio como persona jurídica, con o sin oferta preaprobada vigente en el ecosistema BBVA.</w:t>
            </w:r>
          </w:p>
        </w:tc>
      </w:tr>
      <w:tr>
        <w:tc>
          <w:tcPr>
            <w:tcW w:type="dxa" w:w="2381"/>
          </w:tcPr>
          <w:p>
            <w:pPr>
              <w:spacing w:lineRule="auto" w:line="276" w:after="80"/>
              <w:jc w:val="left"/>
            </w:pPr>
            <w:r>
              <w:rPr>
                <w:b/>
                <w:sz w:val="22"/>
              </w:rPr>
            </w:r>
            <w:r>
              <w:rPr>
                <w:rFonts w:ascii="Times New Roman" w:hAnsi="Times New Roman"/>
                <w:b/>
                <w:sz w:val="22"/>
              </w:rPr>
              <w:t>Canales</w:t>
            </w:r>
          </w:p>
        </w:tc>
        <w:tc>
          <w:tcPr>
            <w:tcW w:type="dxa" w:w="5839"/>
          </w:tcPr>
          <w:p>
            <w:pPr>
              <w:spacing w:lineRule="auto" w:line="276" w:after="80"/>
              <w:jc w:val="left"/>
            </w:pPr>
            <w:r>
              <w:rPr>
                <w:sz w:val="22"/>
              </w:rPr>
            </w:r>
            <w:r>
              <w:rPr>
                <w:rFonts w:ascii="Times New Roman" w:hAnsi="Times New Roman"/>
                <w:sz w:val="22"/>
              </w:rPr>
              <w:t>Perfil Mi Negocio (App BBVA), App BBVA Empresas 2.0 y canal de mensajería, conforme al alcance definido en la hipótesis de la sección 5.2.</w:t>
            </w:r>
          </w:p>
        </w:tc>
      </w:tr>
      <w:tr>
        <w:tc>
          <w:tcPr>
            <w:tcW w:type="dxa" w:w="2381"/>
          </w:tcPr>
          <w:p>
            <w:pPr>
              <w:spacing w:lineRule="auto" w:line="276" w:after="80"/>
              <w:jc w:val="left"/>
            </w:pPr>
            <w:r>
              <w:rPr>
                <w:b/>
                <w:sz w:val="22"/>
              </w:rPr>
            </w:r>
            <w:r>
              <w:rPr>
                <w:rFonts w:ascii="Times New Roman" w:hAnsi="Times New Roman"/>
                <w:b/>
                <w:sz w:val="22"/>
              </w:rPr>
              <w:t>Capacidades</w:t>
            </w:r>
          </w:p>
        </w:tc>
        <w:tc>
          <w:tcPr>
            <w:tcW w:type="dxa" w:w="5839"/>
          </w:tcPr>
          <w:p>
            <w:pPr>
              <w:spacing w:lineRule="auto" w:line="276" w:after="80"/>
              <w:jc w:val="left"/>
            </w:pPr>
            <w:r>
              <w:rPr>
                <w:sz w:val="22"/>
              </w:rPr>
            </w:r>
            <w:r>
              <w:rPr>
                <w:rFonts w:ascii="Times New Roman" w:hAnsi="Times New Roman"/>
                <w:sz w:val="22"/>
              </w:rPr>
              <w:t xml:space="preserve">Procesamiento de lenguaje natural; interpretación de documentación no estructurada, incluidas fotografías de comprobantes de venta; consulta en tiempo real al motor de decisión y a las centrales de riesgo; explicación de los factores clave que sustentan la precalificación, </w:t>
            </w:r>
            <w:commentRangeStart w:id="91"/>
            <w:r>
              <w:rPr>
                <w:rFonts w:ascii="Times New Roman" w:hAnsi="Times New Roman"/>
                <w:sz w:val="22"/>
              </w:rPr>
              <w:t xml:space="preserve">conforme al art. 25.3 del Reglamento de la Ley </w:t>
            </w:r>
            <w:commentRangeEnd w:id="91"/>
            <w:r>
              <w:rPr>
                <w:rStyle w:val="CommentReference"/>
              </w:rPr>
              <w:commentReference w:id="91"/>
            </w:r>
            <w:commentRangeStart w:id="154"/>
            <w:r>
              <w:rPr>
                <w:rFonts w:ascii="Times New Roman" w:hAnsi="Times New Roman"/>
                <w:sz w:val="22"/>
              </w:rPr>
              <w:t xml:space="preserve">N.º</w:t>
            </w:r>
            <w:commentRangeEnd w:id="154"/>
            <w:r>
              <w:rPr>
                <w:rStyle w:val="CommentReference"/>
              </w:rPr>
              <w:commentReference w:id="154"/>
            </w:r>
            <w:r>
              <w:rPr>
                <w:rFonts w:ascii="Times New Roman" w:hAnsi="Times New Roman"/>
                <w:sz w:val="22"/>
              </w:rPr>
              <w:t xml:space="preserve"> 31814 (Decreto Supremo </w:t>
            </w:r>
            <w:commentRangeStart w:id="155"/>
            <w:r>
              <w:rPr>
                <w:rFonts w:ascii="Times New Roman" w:hAnsi="Times New Roman"/>
                <w:sz w:val="22"/>
              </w:rPr>
              <w:t xml:space="preserve">N.º</w:t>
            </w:r>
            <w:commentRangeEnd w:id="155"/>
            <w:r>
              <w:rPr>
                <w:rStyle w:val="CommentReference"/>
              </w:rPr>
              <w:commentReference w:id="155"/>
            </w:r>
            <w:r>
              <w:rPr>
                <w:rFonts w:ascii="Times New Roman" w:hAnsi="Times New Roman"/>
                <w:sz w:val="22"/>
              </w:rPr>
              <w:t xml:space="preserve"> 115-2025-PCM, 2025).</w:t>
            </w:r>
          </w:p>
        </w:tc>
      </w:tr>
      <w:tr>
        <w:tc>
          <w:tcPr>
            <w:tcW w:type="dxa" w:w="2381"/>
          </w:tcPr>
          <w:p>
            <w:pPr>
              <w:spacing w:lineRule="auto" w:line="276" w:after="80"/>
              <w:jc w:val="left"/>
            </w:pPr>
            <w:r>
              <w:rPr>
                <w:b/>
                <w:sz w:val="22"/>
              </w:rPr>
            </w:r>
            <w:r>
              <w:rPr>
                <w:rFonts w:ascii="Times New Roman" w:hAnsi="Times New Roman"/>
                <w:b/>
                <w:sz w:val="22"/>
              </w:rPr>
              <w:t>Datos que usa</w:t>
            </w:r>
          </w:p>
        </w:tc>
        <w:tc>
          <w:tcPr>
            <w:tcW w:type="dxa" w:w="5839"/>
          </w:tcPr>
          <w:p>
            <w:pPr>
              <w:spacing w:lineRule="auto" w:line="276" w:after="80"/>
              <w:jc w:val="left"/>
            </w:pPr>
            <w:r>
              <w:rPr>
                <w:sz w:val="22"/>
              </w:rPr>
            </w:r>
            <w:r>
              <w:rPr>
                <w:rFonts w:ascii="Times New Roman" w:hAnsi="Times New Roman"/>
                <w:sz w:val="22"/>
              </w:rPr>
              <w:t>Transaccionalidad de cuenta corriente, Openpay, QR Empresas y ventas por POS; documentación fotográfica aportada por el empresario en la conversación; historial de centrales de riesgo; condiciones de ofertas preaprobadas vigentes.</w:t>
            </w:r>
          </w:p>
        </w:tc>
      </w:tr>
      <w:tr>
        <w:tc>
          <w:tcPr>
            <w:tcW w:type="dxa" w:w="2381"/>
          </w:tcPr>
          <w:p>
            <w:pPr>
              <w:spacing w:lineRule="auto" w:line="276" w:after="80"/>
              <w:jc w:val="left"/>
            </w:pPr>
            <w:r>
              <w:rPr>
                <w:b/>
                <w:sz w:val="22"/>
              </w:rPr>
            </w:r>
            <w:r>
              <w:rPr>
                <w:rFonts w:ascii="Times New Roman" w:hAnsi="Times New Roman"/>
                <w:b/>
                <w:sz w:val="22"/>
              </w:rPr>
              <w:t>Sistemas con los que interactúa</w:t>
            </w:r>
          </w:p>
        </w:tc>
        <w:tc>
          <w:tcPr>
            <w:tcW w:type="dxa" w:w="5839"/>
          </w:tcPr>
          <w:p>
            <w:pPr>
              <w:spacing w:lineRule="auto" w:line="276" w:after="80"/>
              <w:jc w:val="left"/>
            </w:pPr>
            <w:r>
              <w:rPr>
                <w:sz w:val="22"/>
              </w:rPr>
            </w:r>
            <w:r>
              <w:rPr>
                <w:rFonts w:ascii="Times New Roman" w:hAnsi="Times New Roman"/>
                <w:sz w:val="22"/>
              </w:rPr>
              <w:t xml:space="preserve">Perfil Mi Negocio (App BBVA), App BBVA Empresas 2.0, BBVA Net Cash, motor de decisión y ofertas preaprobadas, centrales de riesgo y plataforma ADA (Tabla 15, </w:t>
            </w:r>
            <w:commentRangeStart w:id="32"/>
            <w:r>
              <w:rPr>
                <w:rFonts w:ascii="Times New Roman" w:hAnsi="Times New Roman"/>
                <w:sz w:val="22"/>
              </w:rPr>
              <w:t xml:space="preserve">Tabla 30</w:t>
            </w:r>
            <w:commentRangeEnd w:id="32"/>
            <w:r>
              <w:rPr>
                <w:rStyle w:val="CommentReference"/>
              </w:rPr>
              <w:commentReference w:id="32"/>
            </w:r>
            <w:r>
              <w:rPr>
                <w:rFonts w:ascii="Times New Roman" w:hAnsi="Times New Roman"/>
                <w:sz w:val="22"/>
              </w:rPr>
              <w:t xml:space="preserve">, </w:t>
            </w:r>
            <w:commentRangeStart w:id="31"/>
            <w:r>
              <w:rPr>
                <w:rFonts w:ascii="Times New Roman" w:hAnsi="Times New Roman"/>
                <w:sz w:val="22"/>
              </w:rPr>
              <w:t xml:space="preserve">Tabla 33</w:t>
            </w:r>
            <w:commentRangeEnd w:id="31"/>
            <w:r>
              <w:rPr>
                <w:rStyle w:val="CommentReference"/>
              </w:rPr>
              <w:commentReference w:id="31"/>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Límites</w:t>
            </w:r>
          </w:p>
        </w:tc>
        <w:tc>
          <w:tcPr>
            <w:tcW w:type="dxa" w:w="5839"/>
          </w:tcPr>
          <w:p>
            <w:pPr>
              <w:spacing w:lineRule="auto" w:line="276" w:after="80"/>
              <w:jc w:val="left"/>
            </w:pPr>
            <w:r>
              <w:rPr>
                <w:sz w:val="22"/>
              </w:rPr>
            </w:r>
            <w:r>
              <w:rPr>
                <w:rFonts w:ascii="Times New Roman" w:hAnsi="Times New Roman"/>
                <w:sz w:val="22"/>
              </w:rPr>
              <w:t xml:space="preserve">No sustituye la evaluación crediticia formal ni aprueba el crédito; solo entrega una precalificación preliminar. Mantiene las reglas de elegibilidad vigentes (oferta preaprobada obligatoria para persona jurídica en App BBVA Empresas). Depende en mayor medida de la documentación aportada por el empresario cuando este no maneja su transaccionalidad principal en BBVA Perú, lo que ocurre en poco más de la mitad de los clientes Pyme </w:t>
            </w:r>
            <w:commentRangeStart w:id="137"/>
            <w:r>
              <w:rPr>
                <w:rFonts w:ascii="Times New Roman" w:hAnsi="Times New Roman"/>
                <w:sz w:val="22"/>
              </w:rPr>
              <w:t xml:space="preserve">(52 %, complemento del 48 % de principalidad; Reusche, 2026)</w:t>
            </w:r>
            <w:commentRangeEnd w:id="137"/>
            <w:r>
              <w:rPr>
                <w:rStyle w:val="CommentReference"/>
              </w:rPr>
              <w:commentReference w:id="137"/>
            </w:r>
            <w:r>
              <w:rPr>
                <w:rFonts w:ascii="Times New Roman" w:hAnsi="Times New Roman"/>
                <w:sz w:val="22"/>
              </w:rPr>
              <w:t xml:space="preserve">. Está sujeto a supervisión humana obligatoria </w:t>
            </w:r>
            <w:commentRangeStart w:id="92"/>
            <w:r>
              <w:rPr>
                <w:rFonts w:ascii="Times New Roman" w:hAnsi="Times New Roman"/>
                <w:sz w:val="22"/>
              </w:rPr>
              <w:t xml:space="preserve">del analista de riesgo (art. 31.4 del Reglamento de la Ley </w:t>
            </w:r>
            <w:commentRangeEnd w:id="92"/>
            <w:r>
              <w:rPr>
                <w:rStyle w:val="CommentReference"/>
              </w:rPr>
              <w:commentReference w:id="92"/>
            </w:r>
            <w:commentRangeStart w:id="156"/>
            <w:r>
              <w:rPr>
                <w:rFonts w:ascii="Times New Roman" w:hAnsi="Times New Roman"/>
                <w:sz w:val="22"/>
              </w:rPr>
              <w:t xml:space="preserve">N.º</w:t>
            </w:r>
            <w:commentRangeEnd w:id="156"/>
            <w:r>
              <w:rPr>
                <w:rStyle w:val="CommentReference"/>
              </w:rPr>
              <w:commentReference w:id="156"/>
            </w:r>
            <w:r>
              <w:rPr>
                <w:rFonts w:ascii="Times New Roman" w:hAnsi="Times New Roman"/>
                <w:sz w:val="22"/>
              </w:rPr>
              <w:t xml:space="preserve"> 31814; Decreto Supremo </w:t>
            </w:r>
            <w:commentRangeStart w:id="157"/>
            <w:r>
              <w:rPr>
                <w:rFonts w:ascii="Times New Roman" w:hAnsi="Times New Roman"/>
                <w:sz w:val="22"/>
              </w:rPr>
              <w:t xml:space="preserve">N.º</w:t>
            </w:r>
            <w:commentRangeEnd w:id="157"/>
            <w:r>
              <w:rPr>
                <w:rStyle w:val="CommentReference"/>
              </w:rPr>
              <w:commentReference w:id="157"/>
            </w:r>
            <w:r>
              <w:rPr>
                <w:rFonts w:ascii="Times New Roman" w:hAnsi="Times New Roman"/>
                <w:sz w:val="22"/>
              </w:rPr>
              <w:t xml:space="preserve"> 115-2025-PCM, 2025).</w:t>
            </w:r>
          </w:p>
        </w:tc>
      </w:tr>
    </w:tbl>
    <w:p>
      <w:pPr>
        <w:spacing w:after="0" w:before="200"/>
      </w:pPr>
      <w:commentRangeStart w:id="33"/>
      <w:r>
        <w:rPr>
          <w:rFonts w:ascii="Times New Roman" w:hAnsi="Times New Roman"/>
          <w:b/>
          <w:sz w:val="24"/>
        </w:rPr>
        <w:t xml:space="preserve">Tabla 36</w:t>
      </w:r>
      <w:commentRangeEnd w:id="33"/>
      <w:r>
        <w:rPr>
          <w:rStyle w:val="CommentReference"/>
        </w:rPr>
        <w:commentReference w:id="33"/>
      </w:r>
    </w:p>
    <w:p>
      <w:pPr>
        <w:spacing w:after="80"/>
      </w:pPr>
      <w:r>
        <w:rPr>
          <w:rFonts w:ascii="Times New Roman" w:hAnsi="Times New Roman"/>
          <w:i/>
          <w:sz w:val="24"/>
        </w:rPr>
        <w:t>Descripción de la solución para DC1: agente de precalificación crediticia Pyme</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5.2 y el diseño TO BE de la </w:t>
      </w:r>
      <w:commentRangeStart w:id="34"/>
      <w:r>
        <w:rPr>
          <w:rFonts w:ascii="Times New Roman" w:hAnsi="Times New Roman"/>
          <w:sz w:val="21"/>
        </w:rPr>
        <w:t xml:space="preserve">Tabla 33</w:t>
      </w:r>
      <w:commentRangeEnd w:id="34"/>
      <w:r>
        <w:rPr>
          <w:rStyle w:val="CommentReference"/>
        </w:rPr>
        <w:commentReference w:id="34"/>
      </w:r>
      <w:r>
        <w:rPr>
          <w:rFonts w:ascii="Times New Roman" w:hAnsi="Times New Roman"/>
          <w:sz w:val="21"/>
        </w:rPr>
        <w:t xml:space="preserve">.</w:t>
      </w:r>
    </w:p>
    <w:p>
      <w:pPr>
        <w:keepNext/>
        <w:spacing w:before="240" w:after="160"/>
      </w:pPr>
      <w:r>
        <w:rPr>
          <w:rFonts w:ascii="Times New Roman" w:hAnsi="Times New Roman"/>
          <w:b/>
          <w:color w:val="1F3864"/>
          <w:sz w:val="26"/>
        </w:rPr>
        <w:t>9.2. Solución para DC2: agente de investigación asistida de reclamos</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Atributo</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Descripción de la solución — DC2</w:t>
            </w:r>
          </w:p>
        </w:tc>
      </w:tr>
      <w:tr>
        <w:tc>
          <w:tcPr>
            <w:tcW w:type="dxa" w:w="2381"/>
          </w:tcPr>
          <w:p>
            <w:pPr>
              <w:spacing w:lineRule="auto" w:line="276" w:after="80"/>
              <w:jc w:val="left"/>
            </w:pPr>
            <w:r>
              <w:rPr>
                <w:b/>
                <w:sz w:val="22"/>
              </w:rPr>
            </w:r>
            <w:r>
              <w:rPr>
                <w:rFonts w:ascii="Times New Roman" w:hAnsi="Times New Roman"/>
                <w:b/>
                <w:sz w:val="22"/>
              </w:rPr>
              <w:t>Nombre de la solución</w:t>
            </w:r>
          </w:p>
        </w:tc>
        <w:tc>
          <w:tcPr>
            <w:tcW w:type="dxa" w:w="5839"/>
          </w:tcPr>
          <w:p>
            <w:pPr>
              <w:spacing w:lineRule="auto" w:line="276" w:after="80"/>
              <w:jc w:val="left"/>
            </w:pPr>
            <w:r>
              <w:rPr>
                <w:sz w:val="22"/>
              </w:rPr>
            </w:r>
            <w:commentRangeStart w:id="142"/>
            <w:r>
              <w:rPr>
                <w:rFonts w:ascii="Times New Roman" w:hAnsi="Times New Roman"/>
                <w:sz w:val="22"/>
              </w:rPr>
              <w:t>Extensión del asistente Blue Buddy hacia un agente de investigación de casos para reclamos por operaciones no reconocidas.</w:t>
            </w:r>
            <w:commentRangeEnd w:id="142"/>
            <w:r>
              <w:rPr>
                <w:rStyle w:val="CommentReference"/>
              </w:rPr>
              <w:commentReference w:id="142"/>
            </w:r>
          </w:p>
        </w:tc>
      </w:tr>
      <w:tr>
        <w:tc>
          <w:tcPr>
            <w:tcW w:type="dxa" w:w="2381"/>
          </w:tcPr>
          <w:p>
            <w:pPr>
              <w:spacing w:lineRule="auto" w:line="276" w:after="80"/>
              <w:jc w:val="left"/>
            </w:pPr>
            <w:r>
              <w:rPr>
                <w:b/>
                <w:sz w:val="22"/>
              </w:rPr>
            </w:r>
            <w:r>
              <w:rPr>
                <w:rFonts w:ascii="Times New Roman" w:hAnsi="Times New Roman"/>
                <w:b/>
                <w:sz w:val="22"/>
              </w:rPr>
              <w:t>Objetivo</w:t>
            </w:r>
          </w:p>
        </w:tc>
        <w:tc>
          <w:tcPr>
            <w:tcW w:type="dxa" w:w="5839"/>
          </w:tcPr>
          <w:p>
            <w:pPr>
              <w:spacing w:lineRule="auto" w:line="276" w:after="80"/>
              <w:jc w:val="left"/>
            </w:pPr>
            <w:r>
              <w:rPr>
                <w:sz w:val="22"/>
              </w:rPr>
            </w:r>
            <w:r>
              <w:rPr>
                <w:rFonts w:ascii="Times New Roman" w:hAnsi="Times New Roman"/>
                <w:sz w:val="22"/>
              </w:rPr>
              <w:t>Generar, para cada reclamo por operación no reconocida, un expediente estructurado con recomendación preliminar explicable —proceder con abono provisional o escalar a revisión especializada—, reduciendo el trabajo manual de investigación previo a la decisión humana.</w:t>
            </w:r>
          </w:p>
        </w:tc>
      </w:tr>
      <w:tr>
        <w:tc>
          <w:tcPr>
            <w:tcW w:type="dxa" w:w="2381"/>
          </w:tcPr>
          <w:p>
            <w:pPr>
              <w:spacing w:lineRule="auto" w:line="276" w:after="80"/>
              <w:jc w:val="left"/>
            </w:pPr>
            <w:r>
              <w:rPr>
                <w:b/>
                <w:sz w:val="22"/>
              </w:rPr>
            </w:r>
            <w:r>
              <w:rPr>
                <w:rFonts w:ascii="Times New Roman" w:hAnsi="Times New Roman"/>
                <w:b/>
                <w:sz w:val="22"/>
              </w:rPr>
              <w:t>Usuarios atendidos</w:t>
            </w:r>
          </w:p>
        </w:tc>
        <w:tc>
          <w:tcPr>
            <w:tcW w:type="dxa" w:w="5839"/>
          </w:tcPr>
          <w:p>
            <w:pPr>
              <w:spacing w:lineRule="auto" w:line="276" w:after="80"/>
              <w:jc w:val="left"/>
            </w:pPr>
            <w:r>
              <w:rPr>
                <w:sz w:val="22"/>
              </w:rPr>
            </w:r>
            <w:r>
              <w:rPr>
                <w:rFonts w:ascii="Times New Roman" w:hAnsi="Times New Roman"/>
                <w:sz w:val="22"/>
              </w:rPr>
              <w:t>Usuario primario: analistas de fraude y de operaciones que hoy ejecutan la revisión manual de trazas (Tabla 16). Usuario indirecto: el cliente reclamante, que gana trazabilidad del caso en su interacción con el banco.</w:t>
            </w:r>
          </w:p>
        </w:tc>
      </w:tr>
      <w:tr>
        <w:tc>
          <w:tcPr>
            <w:tcW w:type="dxa" w:w="2381"/>
          </w:tcPr>
          <w:p>
            <w:pPr>
              <w:spacing w:lineRule="auto" w:line="276" w:after="80"/>
              <w:jc w:val="left"/>
            </w:pPr>
            <w:r>
              <w:rPr>
                <w:b/>
                <w:sz w:val="22"/>
              </w:rPr>
            </w:r>
            <w:r>
              <w:rPr>
                <w:rFonts w:ascii="Times New Roman" w:hAnsi="Times New Roman"/>
                <w:b/>
                <w:sz w:val="22"/>
              </w:rPr>
              <w:t>Canales</w:t>
            </w:r>
          </w:p>
        </w:tc>
        <w:tc>
          <w:tcPr>
            <w:tcW w:type="dxa" w:w="5839"/>
          </w:tcPr>
          <w:p>
            <w:pPr>
              <w:spacing w:lineRule="auto" w:line="276" w:after="80"/>
              <w:jc w:val="left"/>
            </w:pPr>
            <w:r>
              <w:rPr>
                <w:sz w:val="22"/>
              </w:rPr>
            </w:r>
            <w:r>
              <w:rPr>
                <w:rFonts w:ascii="Times New Roman" w:hAnsi="Times New Roman"/>
                <w:sz w:val="22"/>
              </w:rPr>
              <w:t xml:space="preserve">Blue Buddy como interfaz interna del analista; App (alerta y registro del reclamo); contact center y oficina como canales de origen del reclamo; consulta web del estado del caso para el cliente </w:t>
            </w:r>
            <w:commentRangeStart w:id="79"/>
            <w:r>
              <w:rPr>
                <w:rFonts w:ascii="Times New Roman" w:hAnsi="Times New Roman"/>
                <w:sz w:val="22"/>
              </w:rPr>
              <w:t xml:space="preserve">(Banco BBVA Perú, s. f.-f)</w:t>
            </w:r>
            <w:commentRangeEnd w:id="79"/>
            <w:r>
              <w:rPr>
                <w:rStyle w:val="CommentReference"/>
              </w:rPr>
              <w:commentReference w:id="79"/>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Capacidades</w:t>
            </w:r>
          </w:p>
        </w:tc>
        <w:tc>
          <w:tcPr>
            <w:tcW w:type="dxa" w:w="5839"/>
          </w:tcPr>
          <w:p>
            <w:pPr>
              <w:spacing w:lineRule="auto" w:line="276" w:after="80"/>
              <w:jc w:val="left"/>
            </w:pPr>
            <w:r>
              <w:rPr>
                <w:sz w:val="22"/>
              </w:rPr>
            </w:r>
            <w:r>
              <w:rPr>
                <w:rFonts w:ascii="Times New Roman" w:hAnsi="Times New Roman"/>
                <w:sz w:val="22"/>
              </w:rPr>
              <w:t>Cruce automático de trazas transaccionales, señales de comportamiento y antifraude, e historial de casos similares entre los sistemas de fraude, operaciones y atención; generación de expediente estructurado; recomendación preliminar explicable; señalización de casos en riesgo de incumplir el plazo regulatorio de quince días hábiles (SBS, 2022, arts. 7.1 y 7.3).</w:t>
            </w:r>
          </w:p>
        </w:tc>
      </w:tr>
      <w:tr>
        <w:tc>
          <w:tcPr>
            <w:tcW w:type="dxa" w:w="2381"/>
          </w:tcPr>
          <w:p>
            <w:pPr>
              <w:spacing w:lineRule="auto" w:line="276" w:after="80"/>
              <w:jc w:val="left"/>
            </w:pPr>
            <w:r>
              <w:rPr>
                <w:b/>
                <w:sz w:val="22"/>
              </w:rPr>
            </w:r>
            <w:r>
              <w:rPr>
                <w:rFonts w:ascii="Times New Roman" w:hAnsi="Times New Roman"/>
                <w:b/>
                <w:sz w:val="22"/>
              </w:rPr>
              <w:t>Datos que usa</w:t>
            </w:r>
          </w:p>
        </w:tc>
        <w:tc>
          <w:tcPr>
            <w:tcW w:type="dxa" w:w="5839"/>
          </w:tcPr>
          <w:p>
            <w:pPr>
              <w:spacing w:lineRule="auto" w:line="276" w:after="80"/>
              <w:jc w:val="left"/>
            </w:pPr>
            <w:r>
              <w:rPr>
                <w:sz w:val="22"/>
              </w:rPr>
            </w:r>
            <w:r>
              <w:rPr>
                <w:rFonts w:ascii="Times New Roman" w:hAnsi="Times New Roman"/>
                <w:sz w:val="22"/>
              </w:rPr>
              <w:t xml:space="preserve">Trazas transaccionales de la operación reclamada; señales del motor de monitoreo antifraude; historial de casos similares dentro del sistema de gestión de reclamos; ciclo de vida del caso ya visible en Blue Buddy (</w:t>
            </w:r>
            <w:commentRangeStart w:id="81"/>
            <w:r>
              <w:rPr>
                <w:rFonts w:ascii="Times New Roman" w:hAnsi="Times New Roman"/>
                <w:sz w:val="22"/>
              </w:rPr>
              <w:t xml:space="preserve">Banco BBVA Perú, 2026f, p. 4</w:t>
            </w:r>
            <w:commentRangeEnd w:id="81"/>
            <w:r>
              <w:rPr>
                <w:rStyle w:val="CommentReference"/>
              </w:rPr>
              <w:commentReference w:id="81"/>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Sistemas con los que interactúa</w:t>
            </w:r>
          </w:p>
        </w:tc>
        <w:tc>
          <w:tcPr>
            <w:tcW w:type="dxa" w:w="5839"/>
          </w:tcPr>
          <w:p>
            <w:pPr>
              <w:spacing w:lineRule="auto" w:line="276" w:after="80"/>
              <w:jc w:val="left"/>
            </w:pPr>
            <w:r>
              <w:rPr>
                <w:sz w:val="22"/>
              </w:rPr>
            </w:r>
            <w:r>
              <w:rPr>
                <w:rFonts w:ascii="Times New Roman" w:hAnsi="Times New Roman"/>
                <w:sz w:val="22"/>
              </w:rPr>
              <w:t xml:space="preserve">Motor de monitoreo transaccional y reglas antifraude, Blue Buddy, sistema de gestión de reclamos, y herramientas de identidades, monitoreo y respuesta a incidentes (Tabla 16, </w:t>
            </w:r>
            <w:commentRangeStart w:id="36"/>
            <w:r>
              <w:rPr>
                <w:rFonts w:ascii="Times New Roman" w:hAnsi="Times New Roman"/>
                <w:sz w:val="22"/>
              </w:rPr>
              <w:t xml:space="preserve">Tabla 31</w:t>
            </w:r>
            <w:commentRangeEnd w:id="36"/>
            <w:r>
              <w:rPr>
                <w:rStyle w:val="CommentReference"/>
              </w:rPr>
              <w:commentReference w:id="36"/>
            </w:r>
            <w:r>
              <w:rPr>
                <w:rFonts w:ascii="Times New Roman" w:hAnsi="Times New Roman"/>
                <w:sz w:val="22"/>
              </w:rPr>
              <w:t xml:space="preserve">, </w:t>
            </w:r>
            <w:commentRangeStart w:id="35"/>
            <w:r>
              <w:rPr>
                <w:rFonts w:ascii="Times New Roman" w:hAnsi="Times New Roman"/>
                <w:sz w:val="22"/>
              </w:rPr>
              <w:t xml:space="preserve">Tabla 34</w:t>
            </w:r>
            <w:commentRangeEnd w:id="35"/>
            <w:r>
              <w:rPr>
                <w:rStyle w:val="CommentReference"/>
              </w:rPr>
              <w:commentReference w:id="35"/>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Límites</w:t>
            </w:r>
          </w:p>
        </w:tc>
        <w:tc>
          <w:tcPr>
            <w:tcW w:type="dxa" w:w="5839"/>
          </w:tcPr>
          <w:p>
            <w:pPr>
              <w:spacing w:lineRule="auto" w:line="276" w:after="80"/>
              <w:jc w:val="left"/>
            </w:pPr>
            <w:r>
              <w:rPr>
                <w:sz w:val="22"/>
              </w:rPr>
            </w:r>
            <w:r>
              <w:rPr>
                <w:rFonts w:ascii="Times New Roman" w:hAnsi="Times New Roman"/>
                <w:sz w:val="22"/>
              </w:rPr>
              <w:t xml:space="preserve">No decide la procedencia final del reclamo: la decisión y su sustento ante la SBS permanecen a cargo del analista humano (SBS, 2022). No ejecuta el abono ni el rechazo, solo los recomienda. Su alcance se circunscribe a reclamos por operaciones no reconocidas y no se extiende a otras materias de reclamo. Aplica, por prudencia, el estándar de supervisión humana capaz de </w:t>
            </w:r>
            <w:commentRangeStart w:id="93"/>
            <w:r>
              <w:rPr>
                <w:rFonts w:ascii="Times New Roman" w:hAnsi="Times New Roman"/>
                <w:sz w:val="22"/>
              </w:rPr>
              <w:t xml:space="preserve">invalidar sus recomendaciones (art. 31.4 del Reglamento de la Ley </w:t>
            </w:r>
            <w:commentRangeEnd w:id="93"/>
            <w:r>
              <w:rPr>
                <w:rStyle w:val="CommentReference"/>
              </w:rPr>
              <w:commentReference w:id="93"/>
            </w:r>
            <w:commentRangeStart w:id="158"/>
            <w:r>
              <w:rPr>
                <w:rFonts w:ascii="Times New Roman" w:hAnsi="Times New Roman"/>
                <w:sz w:val="22"/>
              </w:rPr>
              <w:t xml:space="preserve">N.º</w:t>
            </w:r>
            <w:commentRangeEnd w:id="158"/>
            <w:r>
              <w:rPr>
                <w:rStyle w:val="CommentReference"/>
              </w:rPr>
              <w:commentReference w:id="158"/>
            </w:r>
            <w:r>
              <w:rPr>
                <w:rFonts w:ascii="Times New Roman" w:hAnsi="Times New Roman"/>
                <w:sz w:val="22"/>
              </w:rPr>
              <w:t xml:space="preserve"> 31814; Decreto Supremo </w:t>
            </w:r>
            <w:commentRangeStart w:id="159"/>
            <w:r>
              <w:rPr>
                <w:rFonts w:ascii="Times New Roman" w:hAnsi="Times New Roman"/>
                <w:sz w:val="22"/>
              </w:rPr>
              <w:t xml:space="preserve">N.º</w:t>
            </w:r>
            <w:commentRangeEnd w:id="159"/>
            <w:r>
              <w:rPr>
                <w:rStyle w:val="CommentReference"/>
              </w:rPr>
              <w:commentReference w:id="159"/>
            </w:r>
            <w:r>
              <w:rPr>
                <w:rFonts w:ascii="Times New Roman" w:hAnsi="Times New Roman"/>
                <w:sz w:val="22"/>
              </w:rPr>
              <w:t xml:space="preserve"> 115-2025-PCM, 2025)</w:t>
            </w:r>
            <w:r>
              <w:rPr>
                <w:rFonts w:ascii="Times New Roman" w:hAnsi="Times New Roman"/>
                <w:sz w:val="22"/>
              </w:rPr>
              <w:t xml:space="preserve">, aunque esta iniciativa no constituye formalmente una evaluación crediticia de riesgo alto.</w:t>
            </w:r>
          </w:p>
        </w:tc>
      </w:tr>
    </w:tbl>
    <w:p>
      <w:pPr>
        <w:spacing w:after="0" w:before="200"/>
      </w:pPr>
      <w:commentRangeStart w:id="37"/>
      <w:r>
        <w:rPr>
          <w:rFonts w:ascii="Times New Roman" w:hAnsi="Times New Roman"/>
          <w:b/>
          <w:sz w:val="24"/>
        </w:rPr>
        <w:t xml:space="preserve">Tabla 37</w:t>
      </w:r>
      <w:commentRangeEnd w:id="37"/>
      <w:r>
        <w:rPr>
          <w:rStyle w:val="CommentReference"/>
        </w:rPr>
        <w:commentReference w:id="37"/>
      </w:r>
    </w:p>
    <w:p>
      <w:pPr>
        <w:spacing w:after="80"/>
      </w:pPr>
      <w:r>
        <w:rPr>
          <w:rFonts w:ascii="Times New Roman" w:hAnsi="Times New Roman"/>
          <w:i/>
          <w:sz w:val="24"/>
        </w:rPr>
        <w:t>Descripción de la solución para DC2: agente de investigación asistida de reclamos</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5.3 y el diseño TO BE de la </w:t>
      </w:r>
      <w:commentRangeStart w:id="38"/>
      <w:r>
        <w:rPr>
          <w:rFonts w:ascii="Times New Roman" w:hAnsi="Times New Roman"/>
          <w:sz w:val="21"/>
        </w:rPr>
        <w:t xml:space="preserve">Tabla 34</w:t>
      </w:r>
      <w:commentRangeEnd w:id="38"/>
      <w:r>
        <w:rPr>
          <w:rStyle w:val="CommentReference"/>
        </w:rPr>
        <w:commentReference w:id="38"/>
      </w:r>
      <w:r>
        <w:rPr>
          <w:rFonts w:ascii="Times New Roman" w:hAnsi="Times New Roman"/>
          <w:sz w:val="21"/>
        </w:rPr>
        <w:t xml:space="preserve">.</w:t>
      </w:r>
    </w:p>
    <w:p>
      <w:pPr>
        <w:keepNext/>
        <w:spacing w:before="240" w:after="160"/>
      </w:pPr>
      <w:r>
        <w:rPr>
          <w:rFonts w:ascii="Times New Roman" w:hAnsi="Times New Roman"/>
          <w:b/>
          <w:color w:val="1F3864"/>
          <w:sz w:val="26"/>
        </w:rPr>
        <w:t>9.3. Solución para DC3: agente de verificación progresiva en la contratación digital</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Atributo</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Descripción de la solución — DC3</w:t>
            </w:r>
          </w:p>
        </w:tc>
      </w:tr>
      <w:tr>
        <w:tc>
          <w:tcPr>
            <w:tcW w:type="dxa" w:w="2381"/>
          </w:tcPr>
          <w:p>
            <w:pPr>
              <w:spacing w:lineRule="auto" w:line="276" w:after="80"/>
              <w:jc w:val="left"/>
            </w:pPr>
            <w:r>
              <w:rPr>
                <w:b/>
                <w:sz w:val="22"/>
              </w:rPr>
            </w:r>
            <w:r>
              <w:rPr>
                <w:rFonts w:ascii="Times New Roman" w:hAnsi="Times New Roman"/>
                <w:b/>
                <w:sz w:val="22"/>
              </w:rPr>
              <w:t>Nombre de la solución</w:t>
            </w:r>
          </w:p>
        </w:tc>
        <w:tc>
          <w:tcPr>
            <w:tcW w:type="dxa" w:w="5839"/>
          </w:tcPr>
          <w:p>
            <w:pPr>
              <w:spacing w:lineRule="auto" w:line="276" w:after="80"/>
              <w:jc w:val="left"/>
            </w:pPr>
            <w:r>
              <w:rPr>
                <w:sz w:val="22"/>
              </w:rPr>
            </w:r>
            <w:commentRangeStart w:id="143"/>
            <w:r>
              <w:rPr>
                <w:rFonts w:ascii="Times New Roman" w:hAnsi="Times New Roman"/>
                <w:sz w:val="22"/>
              </w:rPr>
              <w:t>Agente conversacional de contratación con verificación de identidad progresiva y asíncrona.</w:t>
            </w:r>
            <w:commentRangeEnd w:id="143"/>
            <w:r>
              <w:rPr>
                <w:rStyle w:val="CommentReference"/>
              </w:rPr>
              <w:commentReference w:id="143"/>
            </w:r>
          </w:p>
        </w:tc>
      </w:tr>
      <w:tr>
        <w:tc>
          <w:tcPr>
            <w:tcW w:type="dxa" w:w="2381"/>
          </w:tcPr>
          <w:p>
            <w:pPr>
              <w:spacing w:lineRule="auto" w:line="276" w:after="80"/>
              <w:jc w:val="left"/>
            </w:pPr>
            <w:r>
              <w:rPr>
                <w:b/>
                <w:sz w:val="22"/>
              </w:rPr>
            </w:r>
            <w:r>
              <w:rPr>
                <w:rFonts w:ascii="Times New Roman" w:hAnsi="Times New Roman"/>
                <w:b/>
                <w:sz w:val="22"/>
              </w:rPr>
              <w:t>Objetivo</w:t>
            </w:r>
          </w:p>
        </w:tc>
        <w:tc>
          <w:tcPr>
            <w:tcW w:type="dxa" w:w="5839"/>
          </w:tcPr>
          <w:p>
            <w:pPr>
              <w:spacing w:lineRule="auto" w:line="276" w:after="80"/>
              <w:jc w:val="left"/>
            </w:pPr>
            <w:r>
              <w:rPr>
                <w:sz w:val="22"/>
              </w:rPr>
            </w:r>
            <w:r>
              <w:rPr>
                <w:rFonts w:ascii="Times New Roman" w:hAnsi="Times New Roman"/>
                <w:sz w:val="22"/>
              </w:rPr>
              <w:t xml:space="preserve">Evitar que el flujo 100 % digital se interrumpa y derive a oficina física ante perfiles hoy no contemplados </w:t>
            </w:r>
            <w:commentRangeStart w:id="119"/>
            <w:r>
              <w:rPr>
                <w:rFonts w:ascii="Times New Roman" w:hAnsi="Times New Roman"/>
                <w:sz w:val="22"/>
              </w:rPr>
              <w:t xml:space="preserve">—menores de edad y titulares de carné de extranjería—, completando</w:t>
            </w:r>
            <w:commentRangeEnd w:id="119"/>
            <w:r>
              <w:rPr>
                <w:rStyle w:val="CommentReference"/>
              </w:rPr>
              <w:commentReference w:id="119"/>
            </w:r>
            <w:r>
              <w:rPr>
                <w:rFonts w:ascii="Times New Roman" w:hAnsi="Times New Roman"/>
                <w:sz w:val="22"/>
              </w:rPr>
              <w:t xml:space="preserve"> la verificación adicional en segundo plano dentro del mismo canal conversacional.</w:t>
            </w:r>
          </w:p>
        </w:tc>
      </w:tr>
      <w:tr>
        <w:tc>
          <w:tcPr>
            <w:tcW w:type="dxa" w:w="2381"/>
          </w:tcPr>
          <w:p>
            <w:pPr>
              <w:spacing w:lineRule="auto" w:line="276" w:after="80"/>
              <w:jc w:val="left"/>
            </w:pPr>
            <w:r>
              <w:rPr>
                <w:b/>
                <w:sz w:val="22"/>
              </w:rPr>
            </w:r>
            <w:r>
              <w:rPr>
                <w:rFonts w:ascii="Times New Roman" w:hAnsi="Times New Roman"/>
                <w:b/>
                <w:sz w:val="22"/>
              </w:rPr>
              <w:t>Usuarios atendidos</w:t>
            </w:r>
          </w:p>
        </w:tc>
        <w:tc>
          <w:tcPr>
            <w:tcW w:type="dxa" w:w="5839"/>
          </w:tcPr>
          <w:p>
            <w:pPr>
              <w:spacing w:lineRule="auto" w:line="276" w:after="80"/>
              <w:jc w:val="left"/>
            </w:pPr>
            <w:r>
              <w:rPr>
                <w:sz w:val="22"/>
              </w:rPr>
            </w:r>
            <w:r>
              <w:rPr>
                <w:rFonts w:ascii="Times New Roman" w:hAnsi="Times New Roman"/>
                <w:sz w:val="22"/>
              </w:rPr>
              <w:t>Personas naturales interesadas en contratar un producto, clientes y no clientes, incluidos extranjeros con carné de extranjería o pasaporte y, con autorización del tutor legal, menores de edad.</w:t>
            </w:r>
          </w:p>
        </w:tc>
      </w:tr>
      <w:tr>
        <w:tc>
          <w:tcPr>
            <w:tcW w:type="dxa" w:w="2381"/>
          </w:tcPr>
          <w:p>
            <w:pPr>
              <w:spacing w:lineRule="auto" w:line="276" w:after="80"/>
              <w:jc w:val="left"/>
            </w:pPr>
            <w:r>
              <w:rPr>
                <w:b/>
                <w:sz w:val="22"/>
              </w:rPr>
            </w:r>
            <w:r>
              <w:rPr>
                <w:rFonts w:ascii="Times New Roman" w:hAnsi="Times New Roman"/>
                <w:b/>
                <w:sz w:val="22"/>
              </w:rPr>
              <w:t>Canales</w:t>
            </w:r>
          </w:p>
        </w:tc>
        <w:tc>
          <w:tcPr>
            <w:tcW w:type="dxa" w:w="5839"/>
          </w:tcPr>
          <w:p>
            <w:pPr>
              <w:spacing w:lineRule="auto" w:line="276" w:after="80"/>
              <w:jc w:val="left"/>
            </w:pPr>
            <w:r>
              <w:rPr>
                <w:sz w:val="22"/>
              </w:rPr>
            </w:r>
            <w:r>
              <w:rPr>
                <w:rFonts w:ascii="Times New Roman" w:hAnsi="Times New Roman"/>
                <w:sz w:val="22"/>
              </w:rPr>
              <w:t xml:space="preserve">App BBVA y el flujo 100 % digital de contratación ya lanzado a inicios de 2026 </w:t>
            </w:r>
            <w:commentRangeStart w:id="8"/>
            <w:r>
              <w:rPr>
                <w:rFonts w:ascii="Times New Roman" w:hAnsi="Times New Roman"/>
                <w:sz w:val="22"/>
              </w:rPr>
              <w:t xml:space="preserve">(A. Moquillaza, comunicación personal, 11 de setiembre de 2026; véase el Anexo A del informe parcial)</w:t>
            </w:r>
            <w:commentRangeEnd w:id="8"/>
            <w:r>
              <w:rPr>
                <w:rStyle w:val="CommentReference"/>
              </w:rPr>
              <w:commentReference w:id="8"/>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Capacidades</w:t>
            </w:r>
          </w:p>
        </w:tc>
        <w:tc>
          <w:tcPr>
            <w:tcW w:type="dxa" w:w="5839"/>
          </w:tcPr>
          <w:p>
            <w:pPr>
              <w:spacing w:lineRule="auto" w:line="276" w:after="80"/>
              <w:jc w:val="left"/>
            </w:pPr>
            <w:r>
              <w:rPr>
                <w:sz w:val="22"/>
              </w:rPr>
            </w:r>
            <w:r>
              <w:rPr>
                <w:rFonts w:ascii="Times New Roman" w:hAnsi="Times New Roman"/>
                <w:sz w:val="22"/>
              </w:rPr>
              <w:t xml:space="preserve">Verificación biométrica de autenticación de identidad (</w:t>
            </w:r>
            <w:commentRangeStart w:id="94"/>
            <w:r>
              <w:rPr>
                <w:rFonts w:ascii="Times New Roman" w:hAnsi="Times New Roman"/>
                <w:sz w:val="22"/>
              </w:rPr>
              <w:t xml:space="preserve">uso no prohibido conforme al art. 23.1, literal e, del Reglamento de la Ley </w:t>
            </w:r>
            <w:commentRangeEnd w:id="94"/>
            <w:r>
              <w:rPr>
                <w:rStyle w:val="CommentReference"/>
              </w:rPr>
              <w:commentReference w:id="94"/>
            </w:r>
            <w:commentRangeStart w:id="160"/>
            <w:r>
              <w:rPr>
                <w:rFonts w:ascii="Times New Roman" w:hAnsi="Times New Roman"/>
                <w:sz w:val="22"/>
              </w:rPr>
              <w:t xml:space="preserve">N.º</w:t>
            </w:r>
            <w:commentRangeEnd w:id="160"/>
            <w:r>
              <w:rPr>
                <w:rStyle w:val="CommentReference"/>
              </w:rPr>
              <w:commentReference w:id="160"/>
            </w:r>
            <w:r>
              <w:rPr>
                <w:rFonts w:ascii="Times New Roman" w:hAnsi="Times New Roman"/>
                <w:sz w:val="22"/>
              </w:rPr>
              <w:t xml:space="preserve"> 31814; Decreto Supremo </w:t>
            </w:r>
            <w:commentRangeStart w:id="161"/>
            <w:r>
              <w:rPr>
                <w:rFonts w:ascii="Times New Roman" w:hAnsi="Times New Roman"/>
                <w:sz w:val="22"/>
              </w:rPr>
              <w:t xml:space="preserve">N.º</w:t>
            </w:r>
            <w:commentRangeEnd w:id="161"/>
            <w:r>
              <w:rPr>
                <w:rStyle w:val="CommentReference"/>
              </w:rPr>
              <w:commentReference w:id="161"/>
            </w:r>
            <w:r>
              <w:rPr>
                <w:rFonts w:ascii="Times New Roman" w:hAnsi="Times New Roman"/>
                <w:sz w:val="22"/>
              </w:rPr>
              <w:t xml:space="preserve"> 115-2025-PCM, 2025)</w:t>
            </w:r>
            <w:r>
              <w:rPr>
                <w:rFonts w:ascii="Times New Roman" w:hAnsi="Times New Roman"/>
                <w:sz w:val="22"/>
              </w:rPr>
              <w:t xml:space="preserve">; apertura de cuenta básica con los límites regulatorios vigentes mientras se completa la verificación; gestión asíncrona de la autorización del tutor para el caso de un menor; trazabilidad del estado de verificación visible para el solicitante durante todo el proceso.</w:t>
            </w:r>
          </w:p>
        </w:tc>
      </w:tr>
      <w:tr>
        <w:tc>
          <w:tcPr>
            <w:tcW w:type="dxa" w:w="2381"/>
          </w:tcPr>
          <w:p>
            <w:pPr>
              <w:spacing w:lineRule="auto" w:line="276" w:after="80"/>
              <w:jc w:val="left"/>
            </w:pPr>
            <w:r>
              <w:rPr>
                <w:b/>
                <w:sz w:val="22"/>
              </w:rPr>
            </w:r>
            <w:r>
              <w:rPr>
                <w:rFonts w:ascii="Times New Roman" w:hAnsi="Times New Roman"/>
                <w:b/>
                <w:sz w:val="22"/>
              </w:rPr>
              <w:t>Datos que usa</w:t>
            </w:r>
          </w:p>
        </w:tc>
        <w:tc>
          <w:tcPr>
            <w:tcW w:type="dxa" w:w="5839"/>
          </w:tcPr>
          <w:p>
            <w:pPr>
              <w:spacing w:lineRule="auto" w:line="276" w:after="80"/>
              <w:jc w:val="left"/>
            </w:pPr>
            <w:r>
              <w:rPr>
                <w:sz w:val="22"/>
              </w:rPr>
            </w:r>
            <w:r>
              <w:rPr>
                <w:rFonts w:ascii="Times New Roman" w:hAnsi="Times New Roman"/>
                <w:sz w:val="22"/>
              </w:rPr>
              <w:t xml:space="preserve">Documento de identidad (DNI, carné de extranjería o pasaporte); datos biométricos de autenticación; estado de la verificación ante RENIEC, Migraciones o el Ministerio de Relaciones Exteriores </w:t>
            </w:r>
            <w:commentRangeStart w:id="86"/>
            <w:r>
              <w:rPr>
                <w:rFonts w:ascii="Times New Roman" w:hAnsi="Times New Roman"/>
                <w:sz w:val="22"/>
              </w:rPr>
              <w:t xml:space="preserve">(SBS, 2025b)</w:t>
            </w:r>
            <w:commentRangeEnd w:id="86"/>
            <w:r>
              <w:rPr>
                <w:rStyle w:val="CommentReference"/>
              </w:rPr>
              <w:commentReference w:id="86"/>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Sistemas con los que interactúa</w:t>
            </w:r>
          </w:p>
        </w:tc>
        <w:tc>
          <w:tcPr>
            <w:tcW w:type="dxa" w:w="5839"/>
          </w:tcPr>
          <w:p>
            <w:pPr>
              <w:spacing w:lineRule="auto" w:line="276" w:after="80"/>
              <w:jc w:val="left"/>
            </w:pPr>
            <w:r>
              <w:rPr>
                <w:sz w:val="22"/>
              </w:rPr>
            </w:r>
            <w:r>
              <w:rPr>
                <w:rFonts w:ascii="Times New Roman" w:hAnsi="Times New Roman"/>
                <w:sz w:val="22"/>
              </w:rPr>
              <w:t xml:space="preserve">App BBVA / flujo 100 % digital, interfaz con RENIEC, Migraciones y el Ministerio de Relaciones Exteriores, core bancario (estado de cuenta básica) y motor de verificación biométrica (Tabla 17, </w:t>
            </w:r>
            <w:commentRangeStart w:id="40"/>
            <w:r>
              <w:rPr>
                <w:rFonts w:ascii="Times New Roman" w:hAnsi="Times New Roman"/>
                <w:sz w:val="22"/>
              </w:rPr>
              <w:t xml:space="preserve">Tabla 32</w:t>
            </w:r>
            <w:commentRangeEnd w:id="40"/>
            <w:r>
              <w:rPr>
                <w:rStyle w:val="CommentReference"/>
              </w:rPr>
              <w:commentReference w:id="40"/>
            </w:r>
            <w:r>
              <w:rPr>
                <w:rFonts w:ascii="Times New Roman" w:hAnsi="Times New Roman"/>
                <w:sz w:val="22"/>
              </w:rPr>
              <w:t xml:space="preserve">, </w:t>
            </w:r>
            <w:commentRangeStart w:id="39"/>
            <w:r>
              <w:rPr>
                <w:rFonts w:ascii="Times New Roman" w:hAnsi="Times New Roman"/>
                <w:sz w:val="22"/>
              </w:rPr>
              <w:t xml:space="preserve">Tabla 35</w:t>
            </w:r>
            <w:commentRangeEnd w:id="39"/>
            <w:r>
              <w:rPr>
                <w:rStyle w:val="CommentReference"/>
              </w:rPr>
              <w:commentReference w:id="39"/>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Límites</w:t>
            </w:r>
          </w:p>
        </w:tc>
        <w:tc>
          <w:tcPr>
            <w:tcW w:type="dxa" w:w="5839"/>
          </w:tcPr>
          <w:p>
            <w:pPr>
              <w:spacing w:lineRule="auto" w:line="276" w:after="80"/>
              <w:jc w:val="left"/>
            </w:pPr>
            <w:r>
              <w:rPr>
                <w:sz w:val="22"/>
              </w:rPr>
            </w:r>
            <w:r>
              <w:rPr>
                <w:rFonts w:ascii="Times New Roman" w:hAnsi="Times New Roman"/>
                <w:sz w:val="22"/>
              </w:rPr>
              <w:t xml:space="preserve">Mientras la verificación esté pendiente, la cuenta opera con los límites de la Resolución SBS </w:t>
            </w:r>
            <w:commentRangeStart w:id="162"/>
            <w:r>
              <w:rPr>
                <w:rFonts w:ascii="Times New Roman" w:hAnsi="Times New Roman"/>
                <w:sz w:val="22"/>
              </w:rPr>
              <w:t xml:space="preserve">N.º</w:t>
            </w:r>
            <w:commentRangeEnd w:id="162"/>
            <w:r>
              <w:rPr>
                <w:rStyle w:val="CommentReference"/>
              </w:rPr>
              <w:commentReference w:id="162"/>
            </w:r>
            <w:r>
              <w:rPr>
                <w:rFonts w:ascii="Times New Roman" w:hAnsi="Times New Roman"/>
                <w:sz w:val="22"/>
              </w:rPr>
              <w:t xml:space="preserve"> 00704-2026 (0.6 UIT por transacción, 1.9 UIT de saldo, </w:t>
            </w:r>
            <w:commentRangeStart w:id="90"/>
            <w:r>
              <w:rPr>
                <w:rFonts w:ascii="Times New Roman" w:hAnsi="Times New Roman"/>
                <w:sz w:val="22"/>
              </w:rPr>
              <w:t xml:space="preserve">2.8 UIT de transacciones mensuales; SBS, 2026). Por ahora</w:t>
            </w:r>
            <w:commentRangeEnd w:id="90"/>
            <w:r>
              <w:rPr>
                <w:rStyle w:val="CommentReference"/>
              </w:rPr>
              <w:commentReference w:id="90"/>
            </w:r>
            <w:r>
              <w:rPr>
                <w:rFonts w:ascii="Times New Roman" w:hAnsi="Times New Roman"/>
                <w:sz w:val="22"/>
              </w:rPr>
              <w:t xml:space="preserve"> solo aplica a la apertura de la Cuenta Digital BBVA en soles </w:t>
            </w:r>
            <w:commentRangeStart w:id="77"/>
            <w:r>
              <w:rPr>
                <w:rFonts w:ascii="Times New Roman" w:hAnsi="Times New Roman"/>
                <w:sz w:val="22"/>
              </w:rPr>
              <w:t xml:space="preserve">(Banco BBVA Perú, s. f.-a)</w:t>
            </w:r>
            <w:commentRangeEnd w:id="77"/>
            <w:r>
              <w:rPr>
                <w:rStyle w:val="CommentReference"/>
              </w:rPr>
              <w:commentReference w:id="77"/>
            </w:r>
            <w:r>
              <w:rPr>
                <w:rFonts w:ascii="Times New Roman" w:hAnsi="Times New Roman"/>
                <w:sz w:val="22"/>
              </w:rPr>
              <w:t xml:space="preserve">. El caso de un menor de edad requiere validar previamente el alcance legal de la autorización asíncrona del tutor con las áreas legal y de cumplimiento del banco, punto señalado como pendiente en la </w:t>
            </w:r>
            <w:commentRangeStart w:id="41"/>
            <w:r>
              <w:rPr>
                <w:rFonts w:ascii="Times New Roman" w:hAnsi="Times New Roman"/>
                <w:sz w:val="22"/>
              </w:rPr>
              <w:t xml:space="preserve">Tabla 35</w:t>
            </w:r>
            <w:commentRangeEnd w:id="41"/>
            <w:r>
              <w:rPr>
                <w:rStyle w:val="CommentReference"/>
              </w:rPr>
              <w:commentReference w:id="41"/>
            </w:r>
            <w:r>
              <w:rPr>
                <w:rFonts w:ascii="Times New Roman" w:hAnsi="Times New Roman"/>
                <w:sz w:val="22"/>
              </w:rPr>
              <w:t xml:space="preserve">.</w:t>
            </w:r>
          </w:p>
        </w:tc>
      </w:tr>
    </w:tbl>
    <w:p>
      <w:pPr>
        <w:spacing w:after="0" w:before="200"/>
      </w:pPr>
      <w:commentRangeStart w:id="42"/>
      <w:r>
        <w:rPr>
          <w:rFonts w:ascii="Times New Roman" w:hAnsi="Times New Roman"/>
          <w:b/>
          <w:sz w:val="24"/>
        </w:rPr>
        <w:t xml:space="preserve">Tabla 38</w:t>
      </w:r>
      <w:commentRangeEnd w:id="42"/>
      <w:r>
        <w:rPr>
          <w:rStyle w:val="CommentReference"/>
        </w:rPr>
        <w:commentReference w:id="42"/>
      </w:r>
    </w:p>
    <w:p>
      <w:pPr>
        <w:spacing w:after="80"/>
      </w:pPr>
      <w:r>
        <w:rPr>
          <w:rFonts w:ascii="Times New Roman" w:hAnsi="Times New Roman"/>
          <w:i/>
          <w:sz w:val="24"/>
        </w:rPr>
        <w:t>Descripción de la solución para DC3: agente de verificación progresiva en la contratación digital</w:t>
      </w:r>
    </w:p>
    <w:p>
      <w:pPr>
        <w:spacing w:before="40" w:after="280"/>
      </w:pPr>
      <w:r>
        <w:rPr>
          <w:rFonts w:ascii="Times New Roman" w:hAnsi="Times New Roman"/>
          <w:i/>
          <w:sz w:val="21"/>
        </w:rPr>
        <w:t>Nota.</w:t>
      </w:r>
      <w:r>
        <w:rPr>
          <w:rFonts w:ascii="Times New Roman" w:hAnsi="Times New Roman"/>
          <w:sz w:val="21"/>
        </w:rPr>
        <w:t xml:space="preserve"> Elaboración propia con base en la hipótesis de la sección 5.4 y el diseño TO BE de la </w:t>
      </w:r>
      <w:commentRangeStart w:id="43"/>
      <w:r>
        <w:rPr>
          <w:rFonts w:ascii="Times New Roman" w:hAnsi="Times New Roman"/>
          <w:sz w:val="21"/>
        </w:rPr>
        <w:t xml:space="preserve">Tabla 35</w:t>
      </w:r>
      <w:commentRangeEnd w:id="43"/>
      <w:r>
        <w:rPr>
          <w:rStyle w:val="CommentReference"/>
        </w:rPr>
        <w:commentReference w:id="43"/>
      </w:r>
      <w:r>
        <w:rPr>
          <w:rFonts w:ascii="Times New Roman" w:hAnsi="Times New Roman"/>
          <w:sz w:val="21"/>
        </w:rPr>
        <w:t xml:space="preserve">.</w:t>
      </w:r>
    </w:p>
    <w:p>
      <w:pPr>
        <w:keepNext/>
        <w:spacing w:before="360" w:after="200"/>
      </w:pPr>
      <w:r>
        <w:rPr>
          <w:rFonts w:ascii="Times New Roman" w:hAnsi="Times New Roman"/>
          <w:b/>
          <w:color w:val="1F3864"/>
          <w:sz w:val="30"/>
        </w:rPr>
        <w:t>10. Business case</w:t>
      </w:r>
    </w:p>
    <w:p>
      <w:pPr>
        <w:spacing w:lineRule="auto" w:line="360" w:after="160"/>
        <w:jc w:val="both"/>
      </w:pPr>
      <w:r>
        <w:rPr>
          <w:rFonts w:ascii="Times New Roman" w:hAnsi="Times New Roman"/>
          <w:sz w:val="24"/>
        </w:rPr>
        <w:t>Esta sección justifica la inversión de cada una de las tres iniciativas: el problema que atiende, la solución propuesta, los beneficios esperados, los costos estimados, los ahorros o ingresos generados, el retorno de inversión (ROI) y el periodo de recuperación (Payback), y los riesgos y supuestos que sustentan el cálculo. Siguiendo el criterio de la sección 5.1 y la advertencia sobre las estimaciones financieras señalada al inicio de este documento, las tres iniciativas se desarrollan con el mismo nivel de rigor metodológico.</w:t>
      </w:r>
    </w:p>
    <w:p>
      <w:pPr>
        <w:keepNext/>
        <w:spacing w:before="240" w:after="160"/>
      </w:pPr>
      <w:r>
        <w:rPr>
          <w:rFonts w:ascii="Times New Roman" w:hAnsi="Times New Roman"/>
          <w:b/>
          <w:color w:val="1F3864"/>
          <w:sz w:val="26"/>
        </w:rPr>
        <w:t>10.1. Metodología común de estimación</w:t>
      </w:r>
    </w:p>
    <w:p>
      <w:pPr>
        <w:spacing w:lineRule="auto" w:line="360" w:after="160"/>
        <w:jc w:val="both"/>
      </w:pPr>
      <w:r>
        <w:rPr>
          <w:rFonts w:ascii="Times New Roman" w:hAnsi="Times New Roman"/>
          <w:sz w:val="24"/>
        </w:rPr>
        <w:t xml:space="preserve">El equipo fijó un horizonte de </w:t>
      </w:r>
      <w:commentRangeStart w:id="98"/>
      <w:r>
        <w:rPr>
          <w:rFonts w:ascii="Times New Roman" w:hAnsi="Times New Roman"/>
          <w:sz w:val="24"/>
        </w:rPr>
        <w:t xml:space="preserve">18 meses</w:t>
      </w:r>
      <w:commentRangeEnd w:id="98"/>
      <w:r>
        <w:rPr>
          <w:rStyle w:val="CommentReference"/>
        </w:rPr>
        <w:commentReference w:id="98"/>
      </w:r>
      <w:r>
        <w:rPr>
          <w:rFonts w:ascii="Times New Roman" w:hAnsi="Times New Roman"/>
          <w:sz w:val="24"/>
        </w:rPr>
        <w:t xml:space="preserve"> para el cálculo de ROI y Payback, el mismo horizonte ya empleado para las metas de los indicadores de éxito de las tres hipótesis (</w:t>
      </w:r>
      <w:commentRangeStart w:id="44"/>
      <w:r>
        <w:rPr>
          <w:rFonts w:ascii="Times New Roman" w:hAnsi="Times New Roman"/>
          <w:sz w:val="24"/>
        </w:rPr>
        <w:t xml:space="preserve">Tablas 23, 24 y 25</w:t>
      </w:r>
      <w:commentRangeEnd w:id="44"/>
      <w:r>
        <w:rPr>
          <w:rStyle w:val="CommentReference"/>
        </w:rPr>
        <w:commentReference w:id="44"/>
      </w:r>
      <w:commentRangeStart w:id="72"/>
      <w:r>
        <w:rPr>
          <w:rFonts w:ascii="Times New Roman" w:hAnsi="Times New Roman"/>
          <w:sz w:val="24"/>
        </w:rPr>
        <w:t xml:space="preserve"> del informe parcial</w:t>
      </w:r>
      <w:commentRangeEnd w:id="72"/>
      <w:r>
        <w:rPr>
          <w:rStyle w:val="CommentReference"/>
        </w:rPr>
        <w:commentReference w:id="72"/>
      </w:r>
      <w:r>
        <w:rPr>
          <w:rFonts w:ascii="Times New Roman" w:hAnsi="Times New Roman"/>
          <w:sz w:val="24"/>
        </w:rPr>
        <w:t xml:space="preserve">). Se asume, para las tres iniciativas, una </w:t>
      </w:r>
      <w:commentRangeStart w:id="102"/>
      <w:r>
        <w:rPr>
          <w:rFonts w:ascii="Times New Roman" w:hAnsi="Times New Roman"/>
          <w:sz w:val="24"/>
        </w:rPr>
        <w:t xml:space="preserve">fase de implementación de 6 meses</w:t>
      </w:r>
      <w:commentRangeEnd w:id="102"/>
      <w:r>
        <w:rPr>
          <w:rStyle w:val="CommentReference"/>
        </w:rPr>
        <w:commentReference w:id="102"/>
      </w:r>
      <w:r>
        <w:rPr>
          <w:rFonts w:ascii="Times New Roman" w:hAnsi="Times New Roman"/>
          <w:sz w:val="24"/>
        </w:rPr>
        <w:t xml:space="preserve"> —dentro del </w:t>
      </w:r>
      <w:commentRangeStart w:id="103"/>
      <w:r>
        <w:rPr>
          <w:rFonts w:ascii="Times New Roman" w:hAnsi="Times New Roman"/>
          <w:sz w:val="24"/>
        </w:rPr>
        <w:t xml:space="preserve">rango de 5 a 8 meses</w:t>
      </w:r>
      <w:commentRangeEnd w:id="103"/>
      <w:r>
        <w:rPr>
          <w:rStyle w:val="CommentReference"/>
        </w:rPr>
        <w:commentReference w:id="103"/>
      </w:r>
      <w:r>
        <w:rPr>
          <w:rFonts w:ascii="Times New Roman" w:hAnsi="Times New Roman"/>
          <w:sz w:val="24"/>
        </w:rPr>
        <w:t xml:space="preserve"> que reporta Abbasi (2026) para el despliegue de un agente conversacional de nivel bancario— seguida de </w:t>
      </w:r>
      <w:commentRangeStart w:id="101"/>
      <w:r>
        <w:rPr>
          <w:rFonts w:ascii="Times New Roman" w:hAnsi="Times New Roman"/>
          <w:sz w:val="24"/>
        </w:rPr>
        <w:t xml:space="preserve">12 meses de operación</w:t>
      </w:r>
      <w:commentRangeEnd w:id="101"/>
      <w:r>
        <w:rPr>
          <w:rStyle w:val="CommentReference"/>
        </w:rPr>
        <w:commentReference w:id="101"/>
      </w:r>
      <w:r>
        <w:rPr>
          <w:rFonts w:ascii="Times New Roman" w:hAnsi="Times New Roman"/>
          <w:sz w:val="24"/>
        </w:rPr>
        <w:t xml:space="preserve">, de modo que el costo a </w:t>
      </w:r>
      <w:commentRangeStart w:id="99"/>
      <w:r>
        <w:rPr>
          <w:rFonts w:ascii="Times New Roman" w:hAnsi="Times New Roman"/>
          <w:sz w:val="24"/>
        </w:rPr>
        <w:t xml:space="preserve">18 meses</w:t>
      </w:r>
      <w:commentRangeEnd w:id="99"/>
      <w:r>
        <w:rPr>
          <w:rStyle w:val="CommentReference"/>
        </w:rPr>
        <w:commentReference w:id="99"/>
      </w:r>
      <w:r>
        <w:rPr>
          <w:rFonts w:ascii="Times New Roman" w:hAnsi="Times New Roman"/>
          <w:sz w:val="24"/>
        </w:rPr>
        <w:t xml:space="preserve"> equivale al costo de implementación más un año de mantenimiento. Los costos de implementación y de mantenimiento anual de cada iniciativa son estimaciones propias del equipo </w:t>
      </w:r>
      <w:r>
        <w:rPr>
          <w:rFonts w:ascii="Times New Roman" w:hAnsi="Times New Roman"/>
          <w:b/>
          <w:sz w:val="24"/>
        </w:rPr>
        <w:t>[C]</w:t>
      </w:r>
      <w:r>
        <w:rPr>
          <w:rFonts w:ascii="Times New Roman" w:hAnsi="Times New Roman"/>
          <w:sz w:val="24"/>
        </w:rPr>
        <w:t xml:space="preserve">, </w:t>
      </w:r>
      <w:commentRangeStart w:id="1"/>
      <w:r>
        <w:rPr>
          <w:rFonts w:ascii="Times New Roman" w:hAnsi="Times New Roman"/>
          <w:sz w:val="24"/>
        </w:rPr>
        <w:t xml:space="preserve">ancladas en la banda que reporta Abbasi (2026) para chatbots de IA bancarios en general (</w:t>
      </w:r>
      <w:commentRangeStart w:id="104"/>
      <w:r>
        <w:rPr>
          <w:rFonts w:ascii="Times New Roman" w:hAnsi="Times New Roman"/>
          <w:sz w:val="24"/>
        </w:rPr>
        <w:t xml:space="preserve">entre USD 300,000 y USD 900,000 de inversión total durante el primer año, que incluye un mantenimiento anual de USD 60,000 a USD 200,000</w:t>
      </w:r>
      <w:commentRangeEnd w:id="104"/>
      <w:r>
        <w:rPr>
          <w:rStyle w:val="CommentReference"/>
        </w:rPr>
        <w:commentReference w:id="104"/>
      </w:r>
      <w:r>
        <w:rPr>
          <w:rFonts w:ascii="Times New Roman" w:hAnsi="Times New Roman"/>
          <w:sz w:val="24"/>
        </w:rPr>
        <w:t xml:space="preserve">), sin una cotización específica para BBVA Perú ni para agentes con los requisitos regulatorios de riesgo alto del Reglamento de la Ley </w:t>
      </w:r>
      <w:commentRangeStart w:id="163"/>
      <w:r>
        <w:rPr>
          <w:rFonts w:ascii="Times New Roman" w:hAnsi="Times New Roman"/>
          <w:sz w:val="24"/>
        </w:rPr>
        <w:t xml:space="preserve">N.º</w:t>
      </w:r>
      <w:commentRangeEnd w:id="163"/>
      <w:r>
        <w:rPr>
          <w:rStyle w:val="CommentReference"/>
        </w:rPr>
        <w:commentReference w:id="163"/>
      </w:r>
      <w:r>
        <w:rPr>
          <w:rFonts w:ascii="Times New Roman" w:hAnsi="Times New Roman"/>
          <w:sz w:val="24"/>
        </w:rPr>
        <w:t xml:space="preserve"> 31814</w:t>
      </w:r>
      <w:commentRangeEnd w:id="1"/>
      <w:r>
        <w:rPr>
          <w:rStyle w:val="CommentReference"/>
        </w:rPr>
        <w:commentReference w:id="1"/>
      </w:r>
      <w:r>
        <w:rPr>
          <w:rFonts w:ascii="Times New Roman" w:hAnsi="Times New Roman"/>
          <w:sz w:val="24"/>
        </w:rPr>
        <w:t xml:space="preserve">, y ajustadas hacia arriba o hacia abajo según la complejidad relativa de integración de cada solución descrita en la sección 9. Los beneficios se modelan con una </w:t>
      </w:r>
      <w:commentRangeStart w:id="128"/>
      <w:r>
        <w:rPr>
          <w:rFonts w:ascii="Times New Roman" w:hAnsi="Times New Roman"/>
          <w:sz w:val="24"/>
        </w:rPr>
        <w:t xml:space="preserve">rampa de adopción lineal desde cero en el mes 6</w:t>
      </w:r>
      <w:commentRangeEnd w:id="128"/>
      <w:r>
        <w:rPr>
          <w:rStyle w:val="CommentReference"/>
        </w:rPr>
        <w:commentReference w:id="128"/>
      </w:r>
      <w:r>
        <w:rPr>
          <w:rFonts w:ascii="Times New Roman" w:hAnsi="Times New Roman"/>
          <w:sz w:val="24"/>
        </w:rPr>
        <w:t xml:space="preserve"> (fin de la implementación) hasta el valor pleno en el mes 18, criterio también propio del equipo </w:t>
      </w:r>
      <w:r>
        <w:rPr>
          <w:rFonts w:ascii="Times New Roman" w:hAnsi="Times New Roman"/>
          <w:b/>
          <w:sz w:val="24"/>
        </w:rPr>
        <w:t>[C]</w:t>
      </w:r>
      <w:r>
        <w:rPr>
          <w:rFonts w:ascii="Times New Roman" w:hAnsi="Times New Roman"/>
          <w:sz w:val="24"/>
        </w:rPr>
        <w:t xml:space="preserve">. Toda cifra de volumen de operaciones que no provenga de una fuente citada es un supuesto explícito del equipo, declarado en el campo "Supuestos" de cada iniciativa y pendiente de validación con las áreas correspondientes del banco. Las conversiones entre soles y dólares usan el tipo de cambio de referencia </w:t>
      </w:r>
      <w:commentRangeStart w:id="105"/>
      <w:r>
        <w:rPr>
          <w:rFonts w:ascii="Times New Roman" w:hAnsi="Times New Roman"/>
          <w:sz w:val="24"/>
        </w:rPr>
        <w:t xml:space="preserve">de S/ 3.44 por dólar (3.435 redondeado), reportado</w:t>
      </w:r>
      <w:commentRangeEnd w:id="105"/>
      <w:r>
        <w:rPr>
          <w:rStyle w:val="CommentReference"/>
        </w:rPr>
        <w:commentReference w:id="105"/>
      </w:r>
      <w:r>
        <w:rPr>
          <w:rFonts w:ascii="Times New Roman" w:hAnsi="Times New Roman"/>
          <w:sz w:val="24"/>
        </w:rPr>
        <w:t xml:space="preserve"> por el Banco Central de Reserva del Perú </w:t>
      </w:r>
      <w:commentRangeStart w:id="106"/>
      <w:r>
        <w:rPr>
          <w:rFonts w:ascii="Times New Roman" w:hAnsi="Times New Roman"/>
          <w:sz w:val="24"/>
        </w:rPr>
        <w:t xml:space="preserve">al cierre del 6 de octubre de 2026 (Gestión, 2026)</w:t>
      </w:r>
      <w:commentRangeEnd w:id="106"/>
      <w:r>
        <w:rPr>
          <w:rStyle w:val="CommentReference"/>
        </w:rPr>
        <w:commentReference w:id="106"/>
      </w:r>
      <w:r>
        <w:rPr>
          <w:rFonts w:ascii="Times New Roman" w:hAnsi="Times New Roman"/>
          <w:sz w:val="24"/>
        </w:rPr>
        <w:t xml:space="preserve">.</w:t>
      </w:r>
    </w:p>
    <w:p>
      <w:pPr>
        <w:keepNext/>
        <w:spacing w:before="240" w:after="160"/>
      </w:pPr>
      <w:r>
        <w:rPr>
          <w:rFonts w:ascii="Times New Roman" w:hAnsi="Times New Roman"/>
          <w:b/>
          <w:color w:val="1F3864"/>
          <w:sz w:val="26"/>
        </w:rPr>
        <w:t>10.2. Business case DC1: agente de precalificación crediticia Pyme</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Componente</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Business case — DC1</w:t>
            </w:r>
          </w:p>
        </w:tc>
      </w:tr>
      <w:tr>
        <w:tc>
          <w:tcPr>
            <w:tcW w:type="dxa" w:w="2381"/>
          </w:tcPr>
          <w:p>
            <w:pPr>
              <w:spacing w:lineRule="auto" w:line="276" w:after="80"/>
              <w:jc w:val="left"/>
            </w:pPr>
            <w:r>
              <w:rPr>
                <w:b/>
                <w:sz w:val="22"/>
              </w:rPr>
            </w:r>
            <w:r>
              <w:rPr>
                <w:rFonts w:ascii="Times New Roman" w:hAnsi="Times New Roman"/>
                <w:b/>
                <w:sz w:val="22"/>
              </w:rPr>
              <w:t>Problema</w:t>
            </w:r>
          </w:p>
        </w:tc>
        <w:tc>
          <w:tcPr>
            <w:tcW w:type="dxa" w:w="5839"/>
          </w:tcPr>
          <w:p>
            <w:pPr>
              <w:spacing w:lineRule="auto" w:line="276" w:after="80"/>
              <w:jc w:val="left"/>
            </w:pPr>
            <w:r>
              <w:rPr>
                <w:sz w:val="22"/>
              </w:rPr>
            </w:r>
            <w:r>
              <w:rPr>
                <w:rFonts w:ascii="Times New Roman" w:hAnsi="Times New Roman"/>
                <w:sz w:val="22"/>
              </w:rPr>
              <w:t>La ruta digital de crédito Pyme resuelve la solicitud en 3 minutos en promedio, pero depende de una oferta preaprobada que el banco presenta a un subconjunto de clientes; dos tercios de las colocaciones aún se originan por ruta asistida (Reusche, 2026) y solo 1 de cada 4 mypes del mercado accede a crédito por falta de información financiera estructurada (Melo, 2026).</w:t>
            </w:r>
          </w:p>
        </w:tc>
      </w:tr>
      <w:tr>
        <w:tc>
          <w:tcPr>
            <w:tcW w:type="dxa" w:w="2381"/>
          </w:tcPr>
          <w:p>
            <w:pPr>
              <w:spacing w:lineRule="auto" w:line="276" w:after="80"/>
              <w:jc w:val="left"/>
            </w:pPr>
            <w:r>
              <w:rPr>
                <w:b/>
                <w:sz w:val="22"/>
              </w:rPr>
            </w:r>
            <w:r>
              <w:rPr>
                <w:rFonts w:ascii="Times New Roman" w:hAnsi="Times New Roman"/>
                <w:b/>
                <w:sz w:val="22"/>
              </w:rPr>
              <w:t>Solución propuesta</w:t>
            </w:r>
          </w:p>
        </w:tc>
        <w:tc>
          <w:tcPr>
            <w:tcW w:type="dxa" w:w="5839"/>
          </w:tcPr>
          <w:p>
            <w:pPr>
              <w:spacing w:lineRule="auto" w:line="276" w:after="80"/>
              <w:jc w:val="left"/>
            </w:pPr>
            <w:r>
              <w:rPr>
                <w:sz w:val="22"/>
              </w:rPr>
            </w:r>
            <w:r>
              <w:rPr>
                <w:rFonts w:ascii="Times New Roman" w:hAnsi="Times New Roman"/>
                <w:sz w:val="22"/>
              </w:rPr>
              <w:t xml:space="preserve">Agente de precalificación y acompañamiento conversacional descrito en la </w:t>
            </w:r>
            <w:commentRangeStart w:id="45"/>
            <w:r>
              <w:rPr>
                <w:rFonts w:ascii="Times New Roman" w:hAnsi="Times New Roman"/>
                <w:sz w:val="22"/>
              </w:rPr>
              <w:t xml:space="preserve">Tabla 36</w:t>
            </w:r>
            <w:commentRangeEnd w:id="45"/>
            <w:r>
              <w:rPr>
                <w:rStyle w:val="CommentReference"/>
              </w:rPr>
              <w:commentReference w:id="45"/>
            </w:r>
            <w:r>
              <w:rPr>
                <w:rFonts w:ascii="Times New Roman" w:hAnsi="Times New Roman"/>
                <w:sz w:val="22"/>
              </w:rPr>
              <w:t xml:space="preserve">, que permite al empresario solicitar una evaluación preliminar antes del trámite formal, construida sobre su transaccionalidad ya registrada en el ecosistema BBVA.</w:t>
            </w:r>
          </w:p>
        </w:tc>
      </w:tr>
      <w:tr>
        <w:tc>
          <w:tcPr>
            <w:tcW w:type="dxa" w:w="2381"/>
          </w:tcPr>
          <w:p>
            <w:pPr>
              <w:spacing w:lineRule="auto" w:line="276" w:after="80"/>
              <w:jc w:val="left"/>
            </w:pPr>
            <w:r>
              <w:rPr>
                <w:b/>
                <w:sz w:val="22"/>
              </w:rPr>
            </w:r>
            <w:r>
              <w:rPr>
                <w:rFonts w:ascii="Times New Roman" w:hAnsi="Times New Roman"/>
                <w:b/>
                <w:sz w:val="22"/>
              </w:rPr>
              <w:t>Beneficios esperados</w:t>
            </w:r>
          </w:p>
        </w:tc>
        <w:tc>
          <w:tcPr>
            <w:tcW w:type="dxa" w:w="5839"/>
          </w:tcPr>
          <w:p>
            <w:pPr>
              <w:spacing w:lineRule="auto" w:line="276" w:after="80"/>
              <w:jc w:val="left"/>
            </w:pPr>
            <w:r>
              <w:rPr>
                <w:sz w:val="22"/>
              </w:rPr>
            </w:r>
            <w:r>
              <w:rPr>
                <w:rFonts w:ascii="Times New Roman" w:hAnsi="Times New Roman"/>
                <w:sz w:val="22"/>
              </w:rPr>
              <w:t xml:space="preserve">Cuantificado: reducción del costo de originación por solicitud que migra de ruta asistida a ruta digital. No cuantificado en este business case, por ausencia de fuente que permita valorizarlo sin inventar una cifra: mejora del NPS Pyme (33.6 frente a 52.57 en retail; </w:t>
            </w:r>
            <w:commentRangeStart w:id="46"/>
            <w:r>
              <w:rPr>
                <w:rFonts w:ascii="Times New Roman" w:hAnsi="Times New Roman"/>
                <w:sz w:val="22"/>
              </w:rPr>
              <w:t xml:space="preserve">Tabla 30</w:t>
            </w:r>
            <w:commentRangeEnd w:id="46"/>
            <w:r>
              <w:rPr>
                <w:rStyle w:val="CommentReference"/>
              </w:rPr>
              <w:commentReference w:id="46"/>
            </w:r>
            <w:r>
              <w:rPr>
                <w:rFonts w:ascii="Times New Roman" w:hAnsi="Times New Roman"/>
                <w:sz w:val="22"/>
              </w:rPr>
              <w:t xml:space="preserve">) y contribución indirecta al OE2 mediante mayor acceso a crédito de microempresas, conforme a lo señalado en la sección 5.5</w:t>
            </w:r>
            <w:commentRangeStart w:id="73"/>
            <w:r>
              <w:rPr>
                <w:rFonts w:ascii="Times New Roman" w:hAnsi="Times New Roman"/>
                <w:sz w:val="22"/>
              </w:rPr>
              <w:t xml:space="preserve"> del informe parcial</w:t>
            </w:r>
            <w:commentRangeEnd w:id="73"/>
            <w:r>
              <w:rPr>
                <w:rStyle w:val="CommentReference"/>
              </w:rPr>
              <w:commentReference w:id="73"/>
            </w:r>
            <w:r>
              <w:rPr>
                <w:rFonts w:ascii="Times New Roman" w:hAnsi="Times New Roman"/>
                <w:sz w:val="22"/>
              </w:rPr>
              <w:t xml:space="preserve">.</w:t>
            </w:r>
          </w:p>
        </w:tc>
      </w:tr>
      <w:tr>
        <w:tc>
          <w:tcPr>
            <w:tcW w:type="dxa" w:w="2381"/>
          </w:tcPr>
          <w:p>
            <w:pPr>
              <w:spacing w:lineRule="auto" w:line="276" w:after="80"/>
              <w:jc w:val="left"/>
            </w:pPr>
            <w:r>
              <w:rPr>
                <w:b/>
                <w:sz w:val="22"/>
              </w:rPr>
            </w:r>
            <w:r>
              <w:rPr>
                <w:rFonts w:ascii="Times New Roman" w:hAnsi="Times New Roman"/>
                <w:b/>
                <w:sz w:val="22"/>
              </w:rPr>
              <w:t xml:space="preserve">Costos estimados </w:t>
            </w:r>
            <w:r>
              <w:rPr>
                <w:rFonts w:ascii="Times New Roman" w:hAnsi="Times New Roman"/>
                <w:b/>
                <w:sz w:val="22"/>
              </w:rPr>
              <w:t>[C]</w:t>
            </w:r>
          </w:p>
        </w:tc>
        <w:tc>
          <w:tcPr>
            <w:tcW w:type="dxa" w:w="5839"/>
          </w:tcPr>
          <w:p>
            <w:pPr>
              <w:spacing w:lineRule="auto" w:line="276" w:after="80"/>
              <w:jc w:val="left"/>
            </w:pPr>
            <w:r>
              <w:rPr>
                <w:sz w:val="22"/>
              </w:rPr>
            </w:r>
            <w:commentRangeStart w:id="125"/>
            <w:r>
              <w:rPr>
                <w:rFonts w:ascii="Times New Roman" w:hAnsi="Times New Roman"/>
                <w:sz w:val="22"/>
              </w:rPr>
              <w:t xml:space="preserve">Implementación: USD 380,000</w:t>
            </w:r>
            <w:commentRangeEnd w:id="125"/>
            <w:r>
              <w:rPr>
                <w:rStyle w:val="CommentReference"/>
              </w:rPr>
              <w:commentReference w:id="125"/>
            </w:r>
            <w:r>
              <w:rPr>
                <w:rFonts w:ascii="Times New Roman" w:hAnsi="Times New Roman"/>
                <w:sz w:val="22"/>
              </w:rPr>
              <w:t xml:space="preserve"> (integración con el motor de decisión, centrales de riesgo y fuentes transaccionales ya existentes; complejidad media dentro de la banda de Abbasi, 2026, al reutilizar infraestructura de Perfil Mi Negocio). Mantenimiento anual: USD 90,000. Costo total a 18 meses: </w:t>
            </w:r>
            <w:r>
              <w:rPr>
                <w:rFonts w:ascii="Times New Roman" w:hAnsi="Times New Roman"/>
                <w:b/>
                <w:sz w:val="22"/>
              </w:rPr>
              <w:t>USD 470,000</w:t>
            </w:r>
            <w:r>
              <w:rPr>
                <w:rFonts w:ascii="Times New Roman" w:hAnsi="Times New Roman"/>
                <w:sz w:val="22"/>
              </w:rPr>
              <w:t>.</w:t>
            </w:r>
          </w:p>
        </w:tc>
      </w:tr>
      <w:tr>
        <w:tc>
          <w:tcPr>
            <w:tcW w:type="dxa" w:w="2381"/>
          </w:tcPr>
          <w:p>
            <w:pPr>
              <w:spacing w:lineRule="auto" w:line="276" w:after="80"/>
              <w:jc w:val="left"/>
            </w:pPr>
            <w:r>
              <w:rPr>
                <w:b/>
                <w:sz w:val="22"/>
              </w:rPr>
            </w:r>
            <w:r>
              <w:rPr>
                <w:rFonts w:ascii="Times New Roman" w:hAnsi="Times New Roman"/>
                <w:b/>
                <w:sz w:val="22"/>
              </w:rPr>
              <w:t xml:space="preserve">Ahorros/ingresos generados </w:t>
            </w:r>
            <w:r>
              <w:rPr>
                <w:rFonts w:ascii="Times New Roman" w:hAnsi="Times New Roman"/>
                <w:b/>
                <w:sz w:val="22"/>
              </w:rPr>
              <w:t>[C]</w:t>
            </w:r>
          </w:p>
        </w:tc>
        <w:tc>
          <w:tcPr>
            <w:tcW w:type="dxa" w:w="5839"/>
          </w:tcPr>
          <w:p>
            <w:pPr>
              <w:spacing w:lineRule="auto" w:line="276" w:after="80"/>
              <w:jc w:val="left"/>
            </w:pPr>
            <w:r>
              <w:rPr>
                <w:sz w:val="22"/>
              </w:rPr>
            </w:r>
            <w:commentRangeStart w:id="2"/>
            <w:r>
              <w:rPr>
                <w:rFonts w:ascii="Times New Roman" w:hAnsi="Times New Roman"/>
                <w:sz w:val="22"/>
              </w:rPr>
              <w:t>Supuesto de volumen: 600 solicitudes Pyme precalificables al mes (sin fuente pública, pendiente de validación con Banca Negocios)</w:t>
            </w:r>
            <w:commentRangeEnd w:id="2"/>
            <w:r>
              <w:rPr>
                <w:rStyle w:val="CommentReference"/>
              </w:rPr>
              <w:commentReference w:id="2"/>
            </w:r>
            <w:r>
              <w:rPr>
                <w:rFonts w:ascii="Times New Roman" w:hAnsi="Times New Roman"/>
                <w:sz w:val="22"/>
              </w:rPr>
              <w:t xml:space="preserve">. Cerrar la brecha de 27 puntos porcentuales entre la línea base y la meta de la </w:t>
            </w:r>
            <w:commentRangeStart w:id="47"/>
            <w:r>
              <w:rPr>
                <w:rFonts w:ascii="Times New Roman" w:hAnsi="Times New Roman"/>
                <w:sz w:val="22"/>
              </w:rPr>
              <w:t xml:space="preserve">Tabla 23</w:t>
            </w:r>
            <w:commentRangeEnd w:id="47"/>
            <w:r>
              <w:rPr>
                <w:rStyle w:val="CommentReference"/>
              </w:rPr>
              <w:commentReference w:id="47"/>
            </w:r>
            <w:r>
              <w:rPr>
                <w:rFonts w:ascii="Times New Roman" w:hAnsi="Times New Roman"/>
                <w:sz w:val="22"/>
              </w:rPr>
              <w:t xml:space="preserve"> (33 % → 60 % en 18 meses) equivale a </w:t>
            </w:r>
            <w:commentRangeStart w:id="136"/>
            <w:r>
              <w:rPr>
                <w:rFonts w:ascii="Times New Roman" w:hAnsi="Times New Roman"/>
                <w:sz w:val="22"/>
              </w:rPr>
              <w:t xml:space="preserve">que 162 solicitudes mensuales adicionales</w:t>
            </w:r>
            <w:commentRangeEnd w:id="136"/>
            <w:r>
              <w:rPr>
                <w:rStyle w:val="CommentReference"/>
              </w:rPr>
              <w:commentReference w:id="136"/>
            </w:r>
            <w:r>
              <w:rPr>
                <w:rFonts w:ascii="Times New Roman" w:hAnsi="Times New Roman"/>
                <w:sz w:val="22"/>
              </w:rPr>
              <w:t xml:space="preserve"> (27 % de 600) migren a ruta digital hacia el mes 18. </w:t>
            </w:r>
            <w:commentRangeStart w:id="130"/>
            <w:r>
              <w:rPr>
                <w:rFonts w:ascii="Times New Roman" w:hAnsi="Times New Roman"/>
                <w:sz w:val="22"/>
              </w:rPr>
              <w:t xml:space="preserve">Aplicando el ahorro referencial de USD 1,500 por préstamo automatizado</w:t>
            </w:r>
            <w:commentRangeEnd w:id="130"/>
            <w:r>
              <w:rPr>
                <w:rStyle w:val="CommentReference"/>
              </w:rPr>
              <w:commentReference w:id="130"/>
            </w:r>
            <w:r>
              <w:rPr>
                <w:rFonts w:ascii="Times New Roman" w:hAnsi="Times New Roman"/>
                <w:sz w:val="22"/>
              </w:rPr>
              <w:t xml:space="preserve"> (Freddie Mac, 2025, citado en Stealth Agents, 2026) sobre una rampa lineal de 12 meses, el ahorro acumulado a 18 meses es de aproximadamente </w:t>
            </w:r>
            <w:r>
              <w:rPr>
                <w:rFonts w:ascii="Times New Roman" w:hAnsi="Times New Roman"/>
                <w:b/>
                <w:sz w:val="22"/>
              </w:rPr>
              <w:t>USD 1,580,000</w:t>
            </w:r>
            <w:r>
              <w:rPr>
                <w:rFonts w:ascii="Times New Roman" w:hAnsi="Times New Roman"/>
                <w:sz w:val="22"/>
              </w:rPr>
              <w:t>.</w:t>
            </w:r>
          </w:p>
        </w:tc>
      </w:tr>
      <w:tr>
        <w:tc>
          <w:tcPr>
            <w:tcW w:type="dxa" w:w="2381"/>
          </w:tcPr>
          <w:p>
            <w:pPr>
              <w:spacing w:lineRule="auto" w:line="276" w:after="80"/>
              <w:jc w:val="left"/>
            </w:pPr>
            <w:r>
              <w:rPr>
                <w:b/>
                <w:sz w:val="22"/>
              </w:rPr>
            </w:r>
            <w:r>
              <w:rPr>
                <w:rFonts w:ascii="Times New Roman" w:hAnsi="Times New Roman"/>
                <w:b/>
                <w:sz w:val="22"/>
              </w:rPr>
              <w:t xml:space="preserve">ROI a 18 meses </w:t>
            </w:r>
            <w:r>
              <w:rPr>
                <w:rFonts w:ascii="Times New Roman" w:hAnsi="Times New Roman"/>
                <w:b/>
                <w:sz w:val="22"/>
              </w:rPr>
              <w:t>[C]</w:t>
            </w:r>
          </w:p>
        </w:tc>
        <w:tc>
          <w:tcPr>
            <w:tcW w:type="dxa" w:w="5839"/>
          </w:tcPr>
          <w:p>
            <w:pPr>
              <w:spacing w:lineRule="auto" w:line="276" w:after="80"/>
              <w:jc w:val="left"/>
            </w:pPr>
            <w:r>
              <w:rPr>
                <w:sz w:val="22"/>
              </w:rPr>
            </w:r>
            <w:commentRangeStart w:id="131"/>
            <w:r>
              <w:rPr>
                <w:rFonts w:ascii="Times New Roman" w:hAnsi="Times New Roman"/>
                <w:sz w:val="22"/>
              </w:rPr>
              <w:t xml:space="preserve">≈ </w:t>
            </w:r>
            <w:commentRangeEnd w:id="131"/>
            <w:r>
              <w:rPr>
                <w:rStyle w:val="CommentReference"/>
              </w:rPr>
              <w:commentReference w:id="131"/>
            </w:r>
            <w:r>
              <w:rPr>
                <w:rFonts w:ascii="Times New Roman" w:hAnsi="Times New Roman"/>
                <w:b/>
                <w:sz w:val="22"/>
              </w:rPr>
              <w:t>+236 %</w:t>
            </w:r>
            <w:r>
              <w:rPr>
                <w:rFonts w:ascii="Times New Roman" w:hAnsi="Times New Roman"/>
                <w:sz w:val="22"/>
              </w:rPr>
              <w:t xml:space="preserve"> [(1,580,000 − 470,000) / 470,000], bajo los supuestos de volumen y de aplicabilidad plena del benchmark internacional al segmento Pyme peruano.</w:t>
            </w:r>
          </w:p>
        </w:tc>
      </w:tr>
      <w:tr>
        <w:tc>
          <w:tcPr>
            <w:tcW w:type="dxa" w:w="2381"/>
          </w:tcPr>
          <w:p>
            <w:pPr>
              <w:spacing w:lineRule="auto" w:line="276" w:after="80"/>
              <w:jc w:val="left"/>
            </w:pPr>
            <w:r>
              <w:rPr>
                <w:b/>
                <w:sz w:val="22"/>
              </w:rPr>
            </w:r>
            <w:r>
              <w:rPr>
                <w:rFonts w:ascii="Times New Roman" w:hAnsi="Times New Roman"/>
                <w:b/>
                <w:sz w:val="22"/>
              </w:rPr>
              <w:t xml:space="preserve">Payback </w:t>
            </w:r>
            <w:r>
              <w:rPr>
                <w:rFonts w:ascii="Times New Roman" w:hAnsi="Times New Roman"/>
                <w:b/>
                <w:sz w:val="22"/>
              </w:rPr>
              <w:t>[C]</w:t>
            </w:r>
          </w:p>
        </w:tc>
        <w:tc>
          <w:tcPr>
            <w:tcW w:type="dxa" w:w="5839"/>
          </w:tcPr>
          <w:p>
            <w:pPr>
              <w:spacing w:lineRule="auto" w:line="276" w:after="80"/>
              <w:jc w:val="left"/>
            </w:pPr>
            <w:r>
              <w:rPr>
                <w:sz w:val="22"/>
              </w:rPr>
            </w:r>
            <w:commentRangeStart w:id="134"/>
            <w:r>
              <w:rPr>
                <w:rFonts w:ascii="Times New Roman" w:hAnsi="Times New Roman"/>
                <w:sz w:val="22"/>
              </w:rPr>
              <w:t xml:space="preserve">≈ </w:t>
            </w:r>
            <w:commentRangeEnd w:id="134"/>
            <w:r>
              <w:rPr>
                <w:rStyle w:val="CommentReference"/>
              </w:rPr>
              <w:commentReference w:id="134"/>
            </w:r>
            <w:r>
              <w:rPr>
                <w:rFonts w:ascii="Times New Roman" w:hAnsi="Times New Roman"/>
                <w:b/>
                <w:sz w:val="22"/>
              </w:rPr>
              <w:t>12 meses</w:t>
            </w:r>
            <w:r>
              <w:rPr>
                <w:rFonts w:ascii="Times New Roman" w:hAnsi="Times New Roman"/>
                <w:sz w:val="22"/>
              </w:rPr>
              <w:t xml:space="preserve"> desde el inicio del proyecto</w:t>
            </w:r>
            <w:r>
              <w:rPr>
                <w:rFonts w:ascii="Times New Roman" w:hAnsi="Times New Roman"/>
                <w:sz w:val="22"/>
              </w:rPr>
              <w:t xml:space="preserve">, es decir, aproximadamente 6 meses después de la puesta en producción.</w:t>
            </w:r>
          </w:p>
        </w:tc>
      </w:tr>
      <w:tr>
        <w:tc>
          <w:tcPr>
            <w:tcW w:type="dxa" w:w="2381"/>
          </w:tcPr>
          <w:p>
            <w:pPr>
              <w:spacing w:lineRule="auto" w:line="276" w:after="80"/>
              <w:jc w:val="left"/>
            </w:pPr>
            <w:r>
              <w:rPr>
                <w:b/>
                <w:sz w:val="22"/>
              </w:rPr>
            </w:r>
            <w:r>
              <w:rPr>
                <w:rFonts w:ascii="Times New Roman" w:hAnsi="Times New Roman"/>
                <w:b/>
                <w:sz w:val="22"/>
              </w:rPr>
              <w:t>Riesgos</w:t>
            </w:r>
          </w:p>
        </w:tc>
        <w:tc>
          <w:tcPr>
            <w:tcW w:type="dxa" w:w="5839"/>
          </w:tcPr>
          <w:p>
            <w:pPr>
              <w:spacing w:lineRule="auto" w:line="276" w:after="80"/>
              <w:jc w:val="left"/>
            </w:pPr>
            <w:r>
              <w:rPr>
                <w:sz w:val="22"/>
              </w:rPr>
            </w:r>
            <w:r>
              <w:rPr>
                <w:rFonts w:ascii="Times New Roman" w:hAnsi="Times New Roman"/>
                <w:sz w:val="22"/>
              </w:rPr>
              <w:t xml:space="preserve">El benchmark de USD 1,500 por préstamo proviene de Estados Unidos (Freddie Mac, 2025) y no es directamente extrapolable al segmento Pyme peruano, como ya advertía la sección 5.2. El resultado depende críticamente del supuesto de 600 solicitudes mensuales, no validado. La clasificación de riesgo alto bajo el Reglamento de la Ley </w:t>
            </w:r>
            <w:commentRangeStart w:id="164"/>
            <w:r>
              <w:rPr>
                <w:rFonts w:ascii="Times New Roman" w:hAnsi="Times New Roman"/>
                <w:sz w:val="22"/>
              </w:rPr>
              <w:t xml:space="preserve">N.º</w:t>
            </w:r>
            <w:commentRangeEnd w:id="164"/>
            <w:r>
              <w:rPr>
                <w:rStyle w:val="CommentReference"/>
              </w:rPr>
              <w:commentReference w:id="164"/>
            </w:r>
            <w:r>
              <w:rPr>
                <w:rFonts w:ascii="Times New Roman" w:hAnsi="Times New Roman"/>
                <w:sz w:val="22"/>
              </w:rPr>
              <w:t xml:space="preserve"> 31814 </w:t>
            </w:r>
            <w:commentRangeStart w:id="135"/>
            <w:r>
              <w:rPr>
                <w:rFonts w:ascii="Times New Roman" w:hAnsi="Times New Roman"/>
                <w:sz w:val="22"/>
              </w:rPr>
              <w:t xml:space="preserve">añade costos de cumplimiento (explicabilidad, supervisión humana)</w:t>
            </w:r>
            <w:commentRangeEnd w:id="135"/>
            <w:r>
              <w:rPr>
                <w:rStyle w:val="CommentReference"/>
              </w:rPr>
              <w:commentReference w:id="135"/>
            </w:r>
            <w:r>
              <w:rPr>
                <w:rFonts w:ascii="Times New Roman" w:hAnsi="Times New Roman"/>
                <w:sz w:val="22"/>
              </w:rPr>
              <w:t xml:space="preserve"> que la banda de Abbasi (2026) no está pensada para un chatbot genérico y podría subestimar.</w:t>
            </w:r>
          </w:p>
        </w:tc>
      </w:tr>
      <w:tr>
        <w:tc>
          <w:tcPr>
            <w:tcW w:type="dxa" w:w="2381"/>
          </w:tcPr>
          <w:p>
            <w:pPr>
              <w:spacing w:lineRule="auto" w:line="276" w:after="80"/>
              <w:jc w:val="left"/>
            </w:pPr>
            <w:r>
              <w:rPr>
                <w:b/>
                <w:sz w:val="22"/>
              </w:rPr>
            </w:r>
            <w:r>
              <w:rPr>
                <w:rFonts w:ascii="Times New Roman" w:hAnsi="Times New Roman"/>
                <w:b/>
                <w:sz w:val="22"/>
              </w:rPr>
              <w:t>Supuestos</w:t>
            </w:r>
          </w:p>
        </w:tc>
        <w:tc>
          <w:tcPr>
            <w:tcW w:type="dxa" w:w="5839"/>
          </w:tcPr>
          <w:p>
            <w:pPr>
              <w:spacing w:lineRule="auto" w:line="276" w:after="80"/>
              <w:jc w:val="left"/>
            </w:pPr>
            <w:r>
              <w:rPr>
                <w:sz w:val="22"/>
              </w:rPr>
            </w:r>
            <w:r>
              <w:rPr>
                <w:rFonts w:ascii="Times New Roman" w:hAnsi="Times New Roman"/>
                <w:sz w:val="22"/>
              </w:rPr>
              <w:t>Volumen mensual de 600 solicitudes Pyme precalificables; aplicabilidad del ahorro por préstamo de Freddie Mac (2025) como proxy del ahorro operativo por expediente que deja de requerir revisión manual; rampa de adopción lineal de 12 meses; costo total de implementación incurrido de forma concentrada en la fase de despliegue.</w:t>
            </w:r>
          </w:p>
        </w:tc>
      </w:tr>
    </w:tbl>
    <w:p>
      <w:pPr>
        <w:spacing w:after="0" w:before="200"/>
      </w:pPr>
      <w:commentRangeStart w:id="48"/>
      <w:r>
        <w:rPr>
          <w:rFonts w:ascii="Times New Roman" w:hAnsi="Times New Roman"/>
          <w:b/>
          <w:sz w:val="24"/>
        </w:rPr>
        <w:t xml:space="preserve">Tabla 39</w:t>
      </w:r>
      <w:commentRangeEnd w:id="48"/>
      <w:r>
        <w:rPr>
          <w:rStyle w:val="CommentReference"/>
        </w:rPr>
        <w:commentReference w:id="48"/>
      </w:r>
    </w:p>
    <w:p>
      <w:pPr>
        <w:spacing w:after="80"/>
      </w:pPr>
      <w:r>
        <w:rPr>
          <w:rFonts w:ascii="Times New Roman" w:hAnsi="Times New Roman"/>
          <w:i/>
          <w:sz w:val="24"/>
        </w:rPr>
        <w:t>Business case de la iniciativa DC1: agente de precalificación crediticia Pyme</w:t>
      </w:r>
    </w:p>
    <w:p>
      <w:pPr>
        <w:spacing w:before="40" w:after="280"/>
      </w:pPr>
      <w:r>
        <w:rPr>
          <w:rFonts w:ascii="Times New Roman" w:hAnsi="Times New Roman"/>
          <w:i/>
          <w:sz w:val="21"/>
        </w:rPr>
        <w:t>Nota.</w:t>
      </w:r>
      <w:r>
        <w:rPr>
          <w:rFonts w:ascii="Times New Roman" w:hAnsi="Times New Roman"/>
          <w:sz w:val="21"/>
        </w:rPr>
        <w:t xml:space="preserve"> Elaboración propia. Cifras marcadas </w:t>
      </w:r>
      <w:r>
        <w:rPr>
          <w:rFonts w:ascii="Times New Roman" w:hAnsi="Times New Roman"/>
          <w:b/>
          <w:sz w:val="21"/>
        </w:rPr>
        <w:t>[C]</w:t>
      </w:r>
      <w:r>
        <w:rPr>
          <w:rFonts w:ascii="Times New Roman" w:hAnsi="Times New Roman"/>
          <w:sz w:val="21"/>
        </w:rPr>
        <w:t xml:space="preserve"> son estimaciones propias ancladas en las fuentes citadas, pendientes de validación con la entidad; ver metodología común en la sección 10.1.</w:t>
      </w:r>
    </w:p>
    <w:p>
      <w:pPr>
        <w:keepNext/>
        <w:spacing w:before="240" w:after="160"/>
      </w:pPr>
      <w:r>
        <w:rPr>
          <w:rFonts w:ascii="Times New Roman" w:hAnsi="Times New Roman"/>
          <w:b/>
          <w:color w:val="1F3864"/>
          <w:sz w:val="26"/>
        </w:rPr>
        <w:t>10.3. Business case DC2: agente de investigación asistida de reclamos</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Componente</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Business case — DC2</w:t>
            </w:r>
          </w:p>
        </w:tc>
      </w:tr>
      <w:tr>
        <w:tc>
          <w:tcPr>
            <w:tcW w:type="dxa" w:w="2381"/>
          </w:tcPr>
          <w:p>
            <w:pPr>
              <w:spacing w:lineRule="auto" w:line="276" w:after="80"/>
              <w:jc w:val="left"/>
            </w:pPr>
            <w:r>
              <w:rPr>
                <w:b/>
                <w:sz w:val="22"/>
              </w:rPr>
            </w:r>
            <w:r>
              <w:rPr>
                <w:rFonts w:ascii="Times New Roman" w:hAnsi="Times New Roman"/>
                <w:b/>
                <w:sz w:val="22"/>
              </w:rPr>
              <w:t>Problema</w:t>
            </w:r>
          </w:p>
        </w:tc>
        <w:tc>
          <w:tcPr>
            <w:tcW w:type="dxa" w:w="5839"/>
          </w:tcPr>
          <w:p>
            <w:pPr>
              <w:spacing w:lineRule="auto" w:line="276" w:after="80"/>
              <w:jc w:val="left"/>
            </w:pPr>
            <w:r>
              <w:rPr>
                <w:sz w:val="22"/>
              </w:rPr>
            </w:r>
            <w:r>
              <w:rPr>
                <w:rFonts w:ascii="Times New Roman" w:hAnsi="Times New Roman"/>
                <w:sz w:val="22"/>
              </w:rPr>
              <w:t xml:space="preserve">El tiempo promedio de absolución de reclamos por operaciones no reconocidas (11.29 días en el 2T2026) supera al promedio general de la entidad (8.02 días) en 1.41 veces, en un proceso que depende de la revisión manual y secuencial de trazas entre sistemas de fraude, operaciones y atención (Tabla 16, </w:t>
            </w:r>
            <w:commentRangeStart w:id="49"/>
            <w:r>
              <w:rPr>
                <w:rFonts w:ascii="Times New Roman" w:hAnsi="Times New Roman"/>
                <w:sz w:val="22"/>
              </w:rPr>
              <w:t xml:space="preserve">Tabla 31</w:t>
            </w:r>
            <w:commentRangeEnd w:id="49"/>
            <w:r>
              <w:rPr>
                <w:rStyle w:val="CommentReference"/>
              </w:rPr>
              <w:commentReference w:id="49"/>
            </w:r>
            <w:r>
              <w:rPr>
                <w:rFonts w:ascii="Times New Roman" w:hAnsi="Times New Roman"/>
                <w:sz w:val="22"/>
              </w:rPr>
              <w:t xml:space="preserve">), dentro de una materia que concentra el 90 % de las sanciones de Indecopi al sistema financiero entre 2021 y marzo de 2025 (Andina, 2025).</w:t>
            </w:r>
          </w:p>
        </w:tc>
      </w:tr>
      <w:tr>
        <w:tc>
          <w:tcPr>
            <w:tcW w:type="dxa" w:w="2381"/>
          </w:tcPr>
          <w:p>
            <w:pPr>
              <w:spacing w:lineRule="auto" w:line="276" w:after="80"/>
              <w:jc w:val="left"/>
            </w:pPr>
            <w:r>
              <w:rPr>
                <w:b/>
                <w:sz w:val="22"/>
              </w:rPr>
            </w:r>
            <w:r>
              <w:rPr>
                <w:rFonts w:ascii="Times New Roman" w:hAnsi="Times New Roman"/>
                <w:b/>
                <w:sz w:val="22"/>
              </w:rPr>
              <w:t>Solución propuesta</w:t>
            </w:r>
          </w:p>
        </w:tc>
        <w:tc>
          <w:tcPr>
            <w:tcW w:type="dxa" w:w="5839"/>
          </w:tcPr>
          <w:p>
            <w:pPr>
              <w:spacing w:lineRule="auto" w:line="276" w:after="80"/>
              <w:jc w:val="left"/>
            </w:pPr>
            <w:r>
              <w:rPr>
                <w:sz w:val="22"/>
              </w:rPr>
            </w:r>
            <w:r>
              <w:rPr>
                <w:rFonts w:ascii="Times New Roman" w:hAnsi="Times New Roman"/>
                <w:sz w:val="22"/>
              </w:rPr>
              <w:t xml:space="preserve">Agente de investigación asistida descrito en la </w:t>
            </w:r>
            <w:commentRangeStart w:id="50"/>
            <w:r>
              <w:rPr>
                <w:rFonts w:ascii="Times New Roman" w:hAnsi="Times New Roman"/>
                <w:sz w:val="22"/>
              </w:rPr>
              <w:t xml:space="preserve">Tabla 37</w:t>
            </w:r>
            <w:commentRangeEnd w:id="50"/>
            <w:r>
              <w:rPr>
                <w:rStyle w:val="CommentReference"/>
              </w:rPr>
              <w:commentReference w:id="50"/>
            </w:r>
            <w:r>
              <w:rPr>
                <w:rFonts w:ascii="Times New Roman" w:hAnsi="Times New Roman"/>
                <w:sz w:val="22"/>
              </w:rPr>
              <w:t xml:space="preserve">, que cruza automáticamente las trazas y genera un expediente con recomendación preliminar explicable para que el analista valide en lugar de investigar desde cero.</w:t>
            </w:r>
          </w:p>
        </w:tc>
      </w:tr>
      <w:tr>
        <w:tc>
          <w:tcPr>
            <w:tcW w:type="dxa" w:w="2381"/>
          </w:tcPr>
          <w:p>
            <w:pPr>
              <w:spacing w:lineRule="auto" w:line="276" w:after="80"/>
              <w:jc w:val="left"/>
            </w:pPr>
            <w:r>
              <w:rPr>
                <w:b/>
                <w:sz w:val="22"/>
              </w:rPr>
            </w:r>
            <w:r>
              <w:rPr>
                <w:rFonts w:ascii="Times New Roman" w:hAnsi="Times New Roman"/>
                <w:b/>
                <w:sz w:val="22"/>
              </w:rPr>
              <w:t>Beneficios esperados</w:t>
            </w:r>
          </w:p>
        </w:tc>
        <w:tc>
          <w:tcPr>
            <w:tcW w:type="dxa" w:w="5839"/>
          </w:tcPr>
          <w:p>
            <w:pPr>
              <w:spacing w:lineRule="auto" w:line="276" w:after="80"/>
              <w:jc w:val="left"/>
            </w:pPr>
            <w:r>
              <w:rPr>
                <w:sz w:val="22"/>
              </w:rPr>
            </w:r>
            <w:r>
              <w:rPr>
                <w:rFonts w:ascii="Times New Roman" w:hAnsi="Times New Roman"/>
                <w:sz w:val="22"/>
              </w:rPr>
              <w:t>Cuantificado: ahorro de tiempo de analista en la etapa de revisión de trazas. No cuantificado en este business case, por ausencia de fuente que permita valorizarlo sin inventar una cifra: reducción de la exposición sancionatoria regulatoria y reputacional asociada a la lentitud de este proceso, y mejora de la trazabilidad para el cliente reclamante, ambos señalados como el atributo de océano azul de esta hipótesis en la sección 5.3.</w:t>
            </w:r>
          </w:p>
        </w:tc>
      </w:tr>
      <w:tr>
        <w:tc>
          <w:tcPr>
            <w:tcW w:type="dxa" w:w="2381"/>
          </w:tcPr>
          <w:p>
            <w:pPr>
              <w:spacing w:lineRule="auto" w:line="276" w:after="80"/>
              <w:jc w:val="left"/>
            </w:pPr>
            <w:r>
              <w:rPr>
                <w:b/>
                <w:sz w:val="22"/>
              </w:rPr>
            </w:r>
            <w:r>
              <w:rPr>
                <w:rFonts w:ascii="Times New Roman" w:hAnsi="Times New Roman"/>
                <w:b/>
                <w:sz w:val="22"/>
              </w:rPr>
              <w:t xml:space="preserve">Costos estimados </w:t>
            </w:r>
            <w:r>
              <w:rPr>
                <w:rFonts w:ascii="Times New Roman" w:hAnsi="Times New Roman"/>
                <w:b/>
                <w:sz w:val="22"/>
              </w:rPr>
              <w:t>[C]</w:t>
            </w:r>
          </w:p>
        </w:tc>
        <w:tc>
          <w:tcPr>
            <w:tcW w:type="dxa" w:w="5839"/>
          </w:tcPr>
          <w:p>
            <w:pPr>
              <w:spacing w:lineRule="auto" w:line="276" w:after="80"/>
              <w:jc w:val="left"/>
            </w:pPr>
            <w:r>
              <w:rPr>
                <w:sz w:val="22"/>
              </w:rPr>
            </w:r>
            <w:commentRangeStart w:id="126"/>
            <w:r>
              <w:rPr>
                <w:rFonts w:ascii="Times New Roman" w:hAnsi="Times New Roman"/>
                <w:sz w:val="22"/>
              </w:rPr>
              <w:t xml:space="preserve">Implementación: USD 520,000</w:t>
            </w:r>
            <w:commentRangeEnd w:id="126"/>
            <w:r>
              <w:rPr>
                <w:rStyle w:val="CommentReference"/>
              </w:rPr>
              <w:commentReference w:id="126"/>
            </w:r>
            <w:r>
              <w:rPr>
                <w:rFonts w:ascii="Times New Roman" w:hAnsi="Times New Roman"/>
                <w:sz w:val="22"/>
              </w:rPr>
              <w:t xml:space="preserve"> (mayor complejidad que DC1 por la orquestación entre tres sistemas —fraude, operaciones y atención— frente a la integración más acotada de DC1). Mantenimiento anual: USD 120,000. Costo total a 18 meses: </w:t>
            </w:r>
            <w:r>
              <w:rPr>
                <w:rFonts w:ascii="Times New Roman" w:hAnsi="Times New Roman"/>
                <w:b/>
                <w:sz w:val="22"/>
              </w:rPr>
              <w:t>USD 640,000</w:t>
            </w:r>
            <w:r>
              <w:rPr>
                <w:rFonts w:ascii="Times New Roman" w:hAnsi="Times New Roman"/>
                <w:sz w:val="22"/>
              </w:rPr>
              <w:t>.</w:t>
            </w:r>
          </w:p>
        </w:tc>
      </w:tr>
      <w:tr>
        <w:tc>
          <w:tcPr>
            <w:tcW w:type="dxa" w:w="2381"/>
          </w:tcPr>
          <w:p>
            <w:pPr>
              <w:spacing w:lineRule="auto" w:line="276" w:after="80"/>
              <w:jc w:val="left"/>
            </w:pPr>
            <w:r>
              <w:rPr>
                <w:b/>
                <w:sz w:val="22"/>
              </w:rPr>
            </w:r>
            <w:r>
              <w:rPr>
                <w:rFonts w:ascii="Times New Roman" w:hAnsi="Times New Roman"/>
                <w:b/>
                <w:sz w:val="22"/>
              </w:rPr>
              <w:t xml:space="preserve">Ahorros/ingresos generados </w:t>
            </w:r>
            <w:r>
              <w:rPr>
                <w:rFonts w:ascii="Times New Roman" w:hAnsi="Times New Roman"/>
                <w:b/>
                <w:sz w:val="22"/>
              </w:rPr>
              <w:t>[C]</w:t>
            </w:r>
          </w:p>
        </w:tc>
        <w:tc>
          <w:tcPr>
            <w:tcW w:type="dxa" w:w="5839"/>
          </w:tcPr>
          <w:p>
            <w:pPr>
              <w:spacing w:lineRule="auto" w:line="276" w:after="80"/>
              <w:jc w:val="left"/>
            </w:pPr>
            <w:r>
              <w:rPr>
                <w:sz w:val="22"/>
              </w:rPr>
            </w:r>
            <w:r>
              <w:rPr>
                <w:rFonts w:ascii="Times New Roman" w:hAnsi="Times New Roman"/>
                <w:sz w:val="22"/>
              </w:rPr>
              <w:t xml:space="preserve">Con base en el volumen real de 13,959 reclamos absueltos en el 2T2026 (</w:t>
            </w:r>
            <w:commentRangeStart w:id="51"/>
            <w:r>
              <w:rPr>
                <w:rFonts w:ascii="Times New Roman" w:hAnsi="Times New Roman"/>
                <w:sz w:val="22"/>
              </w:rPr>
              <w:t xml:space="preserve">Tabla 31</w:t>
            </w:r>
            <w:commentRangeEnd w:id="51"/>
            <w:r>
              <w:rPr>
                <w:rStyle w:val="CommentReference"/>
              </w:rPr>
              <w:commentReference w:id="51"/>
            </w:r>
            <w:r>
              <w:rPr>
                <w:rFonts w:ascii="Times New Roman" w:hAnsi="Times New Roman"/>
                <w:sz w:val="22"/>
              </w:rPr>
              <w:t xml:space="preserve">), el promedio mensual calculado es de 4,653 casos. </w:t>
            </w:r>
            <w:commentRangeStart w:id="84"/>
            <w:r>
              <w:rPr>
                <w:rFonts w:ascii="Times New Roman" w:hAnsi="Times New Roman"/>
                <w:sz w:val="22"/>
              </w:rPr>
              <w:t xml:space="preserve">Backbase (2026)</w:t>
            </w:r>
            <w:commentRangeEnd w:id="84"/>
            <w:r>
              <w:rPr>
                <w:rStyle w:val="CommentReference"/>
              </w:rPr>
              <w:commentReference w:id="84"/>
            </w:r>
            <w:r>
              <w:rPr>
                <w:rFonts w:ascii="Times New Roman" w:hAnsi="Times New Roman"/>
                <w:sz w:val="22"/>
              </w:rPr>
              <w:t xml:space="preserve"> reporta que la automatización con IA reduce la recopilación de evidencia de 20–30 minutos a menos de 2 minutos; </w:t>
            </w:r>
            <w:commentRangeStart w:id="129"/>
            <w:r>
              <w:rPr>
                <w:rFonts w:ascii="Times New Roman" w:hAnsi="Times New Roman"/>
                <w:sz w:val="22"/>
              </w:rPr>
              <w:t xml:space="preserve">el equipo asume un ahorro de 23 minutos por caso</w:t>
            </w:r>
            <w:commentRangeEnd w:id="129"/>
            <w:r>
              <w:rPr>
                <w:rStyle w:val="CommentReference"/>
              </w:rPr>
              <w:commentReference w:id="129"/>
            </w:r>
            <w:r>
              <w:rPr>
                <w:rFonts w:ascii="Times New Roman" w:hAnsi="Times New Roman"/>
                <w:sz w:val="22"/>
              </w:rPr>
              <w:t xml:space="preserve"> (punto medio del rango) a </w:t>
            </w:r>
            <w:commentRangeStart w:id="3"/>
            <w:r>
              <w:rPr>
                <w:rFonts w:ascii="Times New Roman" w:hAnsi="Times New Roman"/>
                <w:sz w:val="22"/>
              </w:rPr>
              <w:t>un costo de analista asumido de S/ 45 por hora (supuesto propio, sin fuente pública)</w:t>
            </w:r>
            <w:commentRangeEnd w:id="3"/>
            <w:r>
              <w:rPr>
                <w:rStyle w:val="CommentReference"/>
              </w:rPr>
              <w:commentReference w:id="3"/>
            </w:r>
            <w:r>
              <w:rPr>
                <w:rFonts w:ascii="Times New Roman" w:hAnsi="Times New Roman"/>
                <w:sz w:val="22"/>
              </w:rPr>
              <w:t xml:space="preserve">, </w:t>
            </w:r>
            <w:commentRangeStart w:id="107"/>
            <w:r>
              <w:rPr>
                <w:rFonts w:ascii="Times New Roman" w:hAnsi="Times New Roman"/>
                <w:sz w:val="22"/>
              </w:rPr>
              <w:t xml:space="preserve">equivalente a S/ 17.25 (≈ USD 5.01) por caso</w:t>
            </w:r>
            <w:commentRangeEnd w:id="107"/>
            <w:r>
              <w:rPr>
                <w:rStyle w:val="CommentReference"/>
              </w:rPr>
              <w:commentReference w:id="107"/>
            </w:r>
            <w:r>
              <w:rPr>
                <w:rFonts w:ascii="Times New Roman" w:hAnsi="Times New Roman"/>
                <w:sz w:val="22"/>
              </w:rPr>
              <w:t xml:space="preserve">. Sobre una rampa lineal de 12 meses hasta alcanzar el volumen pleno, el ahorro acumulado a 18 meses </w:t>
            </w:r>
            <w:commentRangeStart w:id="108"/>
            <w:r>
              <w:rPr>
                <w:rFonts w:ascii="Times New Roman" w:hAnsi="Times New Roman"/>
                <w:sz w:val="22"/>
              </w:rPr>
              <w:t xml:space="preserve">es de aproximadamente USD 151,500.</w:t>
            </w:r>
            <w:commentRangeEnd w:id="108"/>
            <w:r>
              <w:rPr>
                <w:rStyle w:val="CommentReference"/>
              </w:rPr>
              <w:commentReference w:id="108"/>
            </w:r>
          </w:p>
        </w:tc>
      </w:tr>
      <w:tr>
        <w:tc>
          <w:tcPr>
            <w:tcW w:type="dxa" w:w="2381"/>
          </w:tcPr>
          <w:p>
            <w:pPr>
              <w:spacing w:lineRule="auto" w:line="276" w:after="80"/>
              <w:jc w:val="left"/>
            </w:pPr>
            <w:r>
              <w:rPr>
                <w:b/>
                <w:sz w:val="22"/>
              </w:rPr>
            </w:r>
            <w:r>
              <w:rPr>
                <w:rFonts w:ascii="Times New Roman" w:hAnsi="Times New Roman"/>
                <w:b/>
                <w:sz w:val="22"/>
              </w:rPr>
              <w:t xml:space="preserve">ROI a 18 meses </w:t>
            </w:r>
            <w:r>
              <w:rPr>
                <w:rFonts w:ascii="Times New Roman" w:hAnsi="Times New Roman"/>
                <w:b/>
                <w:sz w:val="22"/>
              </w:rPr>
              <w:t>[C]</w:t>
            </w:r>
          </w:p>
        </w:tc>
        <w:tc>
          <w:tcPr>
            <w:tcW w:type="dxa" w:w="5839"/>
          </w:tcPr>
          <w:p>
            <w:pPr>
              <w:spacing w:lineRule="auto" w:line="276" w:after="80"/>
              <w:jc w:val="left"/>
            </w:pPr>
            <w:r>
              <w:rPr>
                <w:sz w:val="22"/>
              </w:rPr>
            </w:r>
            <w:commentRangeStart w:id="132"/>
            <w:r>
              <w:rPr>
                <w:rFonts w:ascii="Times New Roman" w:hAnsi="Times New Roman"/>
                <w:sz w:val="22"/>
              </w:rPr>
              <w:t xml:space="preserve">≈ </w:t>
            </w:r>
            <w:commentRangeEnd w:id="132"/>
            <w:r>
              <w:rPr>
                <w:rStyle w:val="CommentReference"/>
              </w:rPr>
              <w:commentReference w:id="132"/>
            </w:r>
            <w:r>
              <w:rPr>
                <w:rFonts w:ascii="Times New Roman" w:hAnsi="Times New Roman"/>
                <w:b/>
                <w:sz w:val="22"/>
              </w:rPr>
              <w:t>−76 %</w:t>
            </w:r>
            <w:r>
              <w:rPr>
                <w:rFonts w:ascii="Times New Roman" w:hAnsi="Times New Roman"/>
                <w:sz w:val="22"/>
              </w:rPr>
              <w:t xml:space="preserve"> [</w:t>
            </w:r>
            <w:commentRangeStart w:id="109"/>
            <w:r>
              <w:rPr>
                <w:rFonts w:ascii="Times New Roman" w:hAnsi="Times New Roman"/>
                <w:sz w:val="22"/>
              </w:rPr>
              <w:t xml:space="preserve">(151,500 − 640,000) / 640,000</w:t>
            </w:r>
            <w:commentRangeEnd w:id="109"/>
            <w:r>
              <w:rPr>
                <w:rStyle w:val="CommentReference"/>
              </w:rPr>
              <w:commentReference w:id="109"/>
            </w:r>
            <w:r>
              <w:rPr>
                <w:rFonts w:ascii="Times New Roman" w:hAnsi="Times New Roman"/>
                <w:sz w:val="22"/>
              </w:rPr>
              <w:t xml:space="preserve">], considerando únicamente el ahorro de tiempo de analista cuantificado; no incorpora el valor de la reducción de exposición sancionatoria, que el equipo no pudo valorizar con fuentes públicas desagregadas por entidad.</w:t>
            </w:r>
          </w:p>
        </w:tc>
      </w:tr>
      <w:tr>
        <w:tc>
          <w:tcPr>
            <w:tcW w:type="dxa" w:w="2381"/>
          </w:tcPr>
          <w:p>
            <w:pPr>
              <w:spacing w:lineRule="auto" w:line="276" w:after="80"/>
              <w:jc w:val="left"/>
            </w:pPr>
            <w:r>
              <w:rPr>
                <w:b/>
                <w:sz w:val="22"/>
              </w:rPr>
            </w:r>
            <w:r>
              <w:rPr>
                <w:rFonts w:ascii="Times New Roman" w:hAnsi="Times New Roman"/>
                <w:b/>
                <w:sz w:val="22"/>
              </w:rPr>
              <w:t xml:space="preserve">Payback </w:t>
            </w:r>
            <w:r>
              <w:rPr>
                <w:rFonts w:ascii="Times New Roman" w:hAnsi="Times New Roman"/>
                <w:b/>
                <w:sz w:val="22"/>
              </w:rPr>
              <w:t>[C]</w:t>
            </w:r>
          </w:p>
        </w:tc>
        <w:tc>
          <w:tcPr>
            <w:tcW w:type="dxa" w:w="5839"/>
          </w:tcPr>
          <w:p>
            <w:pPr>
              <w:spacing w:lineRule="auto" w:line="276" w:after="80"/>
              <w:jc w:val="left"/>
            </w:pPr>
            <w:r>
              <w:rPr>
                <w:sz w:val="22"/>
              </w:rPr>
            </w:r>
            <w:commentRangeStart w:id="110"/>
            <w:r>
              <w:rPr>
                <w:rFonts w:ascii="Times New Roman" w:hAnsi="Times New Roman"/>
                <w:sz w:val="22"/>
              </w:rPr>
              <w:t xml:space="preserve">No se recupera la inversión dentro del horizonte de 18 meses bajo el beneficio cuantificado. A partir del mes 18 el ahorro mensual pleno es de aproximadamente USD 23,300 (4,653 casos × USD 5.01), frente a un mantenimiento de USD 10,000 mensuales (USD 120,000 anuales); con esos supuestos, la proyección propia del equipo sitúa el punto de equilibrio alrededor del mes 55, muy fuera del horizonte fijado para esta evaluación.</w:t>
            </w:r>
            <w:commentRangeEnd w:id="110"/>
            <w:r>
              <w:rPr>
                <w:rStyle w:val="CommentReference"/>
              </w:rPr>
              <w:commentReference w:id="110"/>
            </w:r>
          </w:p>
        </w:tc>
      </w:tr>
      <w:tr>
        <w:tc>
          <w:tcPr>
            <w:tcW w:type="dxa" w:w="2381"/>
          </w:tcPr>
          <w:p>
            <w:pPr>
              <w:spacing w:lineRule="auto" w:line="276" w:after="80"/>
              <w:jc w:val="left"/>
            </w:pPr>
            <w:r>
              <w:rPr>
                <w:b/>
                <w:sz w:val="22"/>
              </w:rPr>
            </w:r>
            <w:r>
              <w:rPr>
                <w:rFonts w:ascii="Times New Roman" w:hAnsi="Times New Roman"/>
                <w:b/>
                <w:sz w:val="22"/>
              </w:rPr>
              <w:t>Riesgos</w:t>
            </w:r>
          </w:p>
        </w:tc>
        <w:tc>
          <w:tcPr>
            <w:tcW w:type="dxa" w:w="5839"/>
          </w:tcPr>
          <w:p>
            <w:pPr>
              <w:spacing w:lineRule="auto" w:line="276" w:after="80"/>
              <w:jc w:val="left"/>
            </w:pPr>
            <w:r>
              <w:rPr>
                <w:sz w:val="22"/>
              </w:rPr>
            </w:r>
            <w:r>
              <w:rPr>
                <w:rFonts w:ascii="Times New Roman" w:hAnsi="Times New Roman"/>
                <w:sz w:val="22"/>
              </w:rPr>
              <w:t xml:space="preserve">El ahorro de tiempo por caso depende de un costo de analista asumido sin fuente pública. Las cifras de reducción de tiempo de </w:t>
            </w:r>
            <w:commentRangeStart w:id="85"/>
            <w:r>
              <w:rPr>
                <w:rFonts w:ascii="Times New Roman" w:hAnsi="Times New Roman"/>
                <w:sz w:val="22"/>
              </w:rPr>
              <w:t xml:space="preserve">Backbase (2026)</w:t>
            </w:r>
            <w:commentRangeEnd w:id="85"/>
            <w:r>
              <w:rPr>
                <w:rStyle w:val="CommentReference"/>
              </w:rPr>
              <w:commentReference w:id="85"/>
            </w:r>
            <w:r>
              <w:rPr>
                <w:rFonts w:ascii="Times New Roman" w:hAnsi="Times New Roman"/>
                <w:sz w:val="22"/>
              </w:rPr>
              <w:t xml:space="preserve"> y Kore.ai (2026) provienen de mercados con volúmenes de disputas muy superiores al de BBVA Perú, como ya advertía la sección 5.3, y podrían sobrestimar el ahorro real. DC2 es, de las tres iniciativas, la única con línea base pública completa de tiempos e indicadores (sección 6.3</w:t>
            </w:r>
            <w:commentRangeStart w:id="74"/>
            <w:r>
              <w:rPr>
                <w:rFonts w:ascii="Times New Roman" w:hAnsi="Times New Roman"/>
                <w:sz w:val="22"/>
              </w:rPr>
              <w:t xml:space="preserve"> del informe parcial</w:t>
            </w:r>
            <w:commentRangeEnd w:id="74"/>
            <w:r>
              <w:rPr>
                <w:rStyle w:val="CommentReference"/>
              </w:rPr>
              <w:commentReference w:id="74"/>
            </w:r>
            <w:r>
              <w:rPr>
                <w:rFonts w:ascii="Times New Roman" w:hAnsi="Times New Roman"/>
                <w:sz w:val="22"/>
              </w:rPr>
              <w:t xml:space="preserve">), lo que reduce el riesgo de medición aunque no mejora el ROI financiero estrecho.</w:t>
            </w:r>
          </w:p>
        </w:tc>
      </w:tr>
      <w:tr>
        <w:tc>
          <w:tcPr>
            <w:tcW w:type="dxa" w:w="2381"/>
          </w:tcPr>
          <w:p>
            <w:pPr>
              <w:spacing w:lineRule="auto" w:line="276" w:after="80"/>
              <w:jc w:val="left"/>
            </w:pPr>
            <w:r>
              <w:rPr>
                <w:b/>
                <w:sz w:val="22"/>
              </w:rPr>
            </w:r>
            <w:r>
              <w:rPr>
                <w:rFonts w:ascii="Times New Roman" w:hAnsi="Times New Roman"/>
                <w:b/>
                <w:sz w:val="22"/>
              </w:rPr>
              <w:t>Supuestos</w:t>
            </w:r>
          </w:p>
        </w:tc>
        <w:tc>
          <w:tcPr>
            <w:tcW w:type="dxa" w:w="5839"/>
          </w:tcPr>
          <w:p>
            <w:pPr>
              <w:spacing w:lineRule="auto" w:line="276" w:after="80"/>
              <w:jc w:val="left"/>
            </w:pPr>
            <w:r>
              <w:rPr>
                <w:sz w:val="22"/>
              </w:rPr>
            </w:r>
            <w:r>
              <w:rPr>
                <w:rFonts w:ascii="Times New Roman" w:hAnsi="Times New Roman"/>
                <w:sz w:val="22"/>
              </w:rPr>
              <w:t>Costo de analista de S/ 45 por hora; ahorro de 23 minutos por caso; volumen mensual de 4,653 casos, calculado a partir de un dato público trimestral y no de una fuente que reporte directamente el promedio mensual; rampa de adopción lineal de 12 meses; el beneficio no monetizado de reducción de exposición sancionatoria no se incluye en el ROI para evitar sobrestimar la inversión.</w:t>
            </w:r>
          </w:p>
        </w:tc>
      </w:tr>
    </w:tbl>
    <w:p>
      <w:pPr>
        <w:spacing w:after="0" w:before="200"/>
      </w:pPr>
      <w:commentRangeStart w:id="52"/>
      <w:r>
        <w:rPr>
          <w:rFonts w:ascii="Times New Roman" w:hAnsi="Times New Roman"/>
          <w:b/>
          <w:sz w:val="24"/>
        </w:rPr>
        <w:t xml:space="preserve">Tabla 40</w:t>
      </w:r>
      <w:commentRangeEnd w:id="52"/>
      <w:r>
        <w:rPr>
          <w:rStyle w:val="CommentReference"/>
        </w:rPr>
        <w:commentReference w:id="52"/>
      </w:r>
    </w:p>
    <w:p>
      <w:pPr>
        <w:spacing w:after="80"/>
      </w:pPr>
      <w:r>
        <w:rPr>
          <w:rFonts w:ascii="Times New Roman" w:hAnsi="Times New Roman"/>
          <w:i/>
          <w:sz w:val="24"/>
        </w:rPr>
        <w:t>Business case de la iniciativa DC2: agente de investigación asistida de reclamos</w:t>
      </w:r>
    </w:p>
    <w:p>
      <w:pPr>
        <w:spacing w:before="40" w:after="280"/>
      </w:pPr>
      <w:r>
        <w:rPr>
          <w:rFonts w:ascii="Times New Roman" w:hAnsi="Times New Roman"/>
          <w:i/>
          <w:sz w:val="21"/>
        </w:rPr>
        <w:t>Nota.</w:t>
      </w:r>
      <w:r>
        <w:rPr>
          <w:rFonts w:ascii="Times New Roman" w:hAnsi="Times New Roman"/>
          <w:sz w:val="21"/>
        </w:rPr>
        <w:t xml:space="preserve"> Elaboración propia. Cifras marcadas </w:t>
      </w:r>
      <w:r>
        <w:rPr>
          <w:rFonts w:ascii="Times New Roman" w:hAnsi="Times New Roman"/>
          <w:b/>
          <w:sz w:val="21"/>
        </w:rPr>
        <w:t>[C]</w:t>
      </w:r>
      <w:r>
        <w:rPr>
          <w:rFonts w:ascii="Times New Roman" w:hAnsi="Times New Roman"/>
          <w:sz w:val="21"/>
        </w:rPr>
        <w:t xml:space="preserve"> son estimaciones propias ancladas en las fuentes citadas, pendientes de validación con la entidad; ver metodología común en la sección 10.1.</w:t>
      </w:r>
    </w:p>
    <w:p>
      <w:pPr>
        <w:keepNext/>
        <w:spacing w:before="240" w:after="160"/>
      </w:pPr>
      <w:r>
        <w:rPr>
          <w:rFonts w:ascii="Times New Roman" w:hAnsi="Times New Roman"/>
          <w:b/>
          <w:color w:val="1F3864"/>
          <w:sz w:val="26"/>
        </w:rPr>
        <w:t>10.4. Business case DC3: agente de verificación progresiva en la contratación digital</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Componente</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Business case — DC3</w:t>
            </w:r>
          </w:p>
        </w:tc>
      </w:tr>
      <w:tr>
        <w:tc>
          <w:tcPr>
            <w:tcW w:type="dxa" w:w="2381"/>
          </w:tcPr>
          <w:p>
            <w:pPr>
              <w:spacing w:lineRule="auto" w:line="276" w:after="80"/>
              <w:jc w:val="left"/>
            </w:pPr>
            <w:r>
              <w:rPr>
                <w:b/>
                <w:sz w:val="22"/>
              </w:rPr>
            </w:r>
            <w:r>
              <w:rPr>
                <w:rFonts w:ascii="Times New Roman" w:hAnsi="Times New Roman"/>
                <w:b/>
                <w:sz w:val="22"/>
              </w:rPr>
              <w:t>Problema</w:t>
            </w:r>
          </w:p>
        </w:tc>
        <w:tc>
          <w:tcPr>
            <w:tcW w:type="dxa" w:w="5839"/>
          </w:tcPr>
          <w:p>
            <w:pPr>
              <w:spacing w:lineRule="auto" w:line="276" w:after="80"/>
              <w:jc w:val="left"/>
            </w:pPr>
            <w:r>
              <w:rPr>
                <w:sz w:val="22"/>
              </w:rPr>
            </w:r>
            <w:r>
              <w:rPr>
                <w:rFonts w:ascii="Times New Roman" w:hAnsi="Times New Roman"/>
                <w:sz w:val="22"/>
              </w:rPr>
              <w:t xml:space="preserve">La penetración digital en cuentas es de 33 % al 2T2026, </w:t>
            </w:r>
            <w:commentRangeStart w:id="53"/>
            <w:commentRangeStart w:id="122"/>
            <w:r>
              <w:rPr>
                <w:rFonts w:ascii="Times New Roman" w:hAnsi="Times New Roman"/>
                <w:sz w:val="22"/>
              </w:rPr>
              <w:t xml:space="preserve">con retroceso frente al cierre de 2025 (Tablas 25 y 32)</w:t>
            </w:r>
            <w:commentRangeEnd w:id="122"/>
            <w:r>
              <w:rPr>
                <w:rStyle w:val="CommentReference"/>
              </w:rPr>
              <w:commentReference w:id="122"/>
            </w:r>
            <w:commentRangeEnd w:id="53"/>
            <w:r>
              <w:rPr>
                <w:rStyle w:val="CommentReference"/>
              </w:rPr>
              <w:commentReference w:id="53"/>
            </w:r>
            <w:r>
              <w:rPr>
                <w:rFonts w:ascii="Times New Roman" w:hAnsi="Times New Roman"/>
                <w:sz w:val="22"/>
              </w:rPr>
              <w:t xml:space="preserve">, y el 67 % de las aperturas de cuenta aún requiere algún tipo de asistencia porque el flujo 100 % digital se interrumpe ante perfiles no contemplados </w:t>
            </w:r>
            <w:commentRangeStart w:id="120"/>
            <w:r>
              <w:rPr>
                <w:rFonts w:ascii="Times New Roman" w:hAnsi="Times New Roman"/>
                <w:sz w:val="22"/>
              </w:rPr>
              <w:t xml:space="preserve">—menores de edad y titulares de carné de extranjería—, que hoy se derivan</w:t>
            </w:r>
            <w:commentRangeEnd w:id="120"/>
            <w:r>
              <w:rPr>
                <w:rStyle w:val="CommentReference"/>
              </w:rPr>
              <w:commentReference w:id="120"/>
            </w:r>
            <w:r>
              <w:rPr>
                <w:rFonts w:ascii="Times New Roman" w:hAnsi="Times New Roman"/>
                <w:sz w:val="22"/>
              </w:rPr>
              <w:t xml:space="preserve"> a oficina física (A. Moquillaza, comunicación personal, 11 de setiembre de 2026).</w:t>
            </w:r>
          </w:p>
        </w:tc>
      </w:tr>
      <w:tr>
        <w:tc>
          <w:tcPr>
            <w:tcW w:type="dxa" w:w="2381"/>
          </w:tcPr>
          <w:p>
            <w:pPr>
              <w:spacing w:lineRule="auto" w:line="276" w:after="80"/>
              <w:jc w:val="left"/>
            </w:pPr>
            <w:r>
              <w:rPr>
                <w:b/>
                <w:sz w:val="22"/>
              </w:rPr>
            </w:r>
            <w:r>
              <w:rPr>
                <w:rFonts w:ascii="Times New Roman" w:hAnsi="Times New Roman"/>
                <w:b/>
                <w:sz w:val="22"/>
              </w:rPr>
              <w:t>Solución propuesta</w:t>
            </w:r>
          </w:p>
        </w:tc>
        <w:tc>
          <w:tcPr>
            <w:tcW w:type="dxa" w:w="5839"/>
          </w:tcPr>
          <w:p>
            <w:pPr>
              <w:spacing w:lineRule="auto" w:line="276" w:after="80"/>
              <w:jc w:val="left"/>
            </w:pPr>
            <w:r>
              <w:rPr>
                <w:sz w:val="22"/>
              </w:rPr>
            </w:r>
            <w:r>
              <w:rPr>
                <w:rFonts w:ascii="Times New Roman" w:hAnsi="Times New Roman"/>
                <w:sz w:val="22"/>
              </w:rPr>
              <w:t xml:space="preserve">Agente conversacional de verificación progresiva y asíncrona descrito en la </w:t>
            </w:r>
            <w:commentRangeStart w:id="54"/>
            <w:r>
              <w:rPr>
                <w:rFonts w:ascii="Times New Roman" w:hAnsi="Times New Roman"/>
                <w:sz w:val="22"/>
              </w:rPr>
              <w:t xml:space="preserve">Tabla 38</w:t>
            </w:r>
            <w:commentRangeEnd w:id="54"/>
            <w:r>
              <w:rPr>
                <w:rStyle w:val="CommentReference"/>
              </w:rPr>
              <w:commentReference w:id="54"/>
            </w:r>
            <w:r>
              <w:rPr>
                <w:rFonts w:ascii="Times New Roman" w:hAnsi="Times New Roman"/>
                <w:sz w:val="22"/>
              </w:rPr>
              <w:t xml:space="preserve">, que evita la derivación a oficina y completa la verificación adicional en segundo plano dentro del mismo canal.</w:t>
            </w:r>
          </w:p>
        </w:tc>
      </w:tr>
      <w:tr>
        <w:tc>
          <w:tcPr>
            <w:tcW w:type="dxa" w:w="2381"/>
          </w:tcPr>
          <w:p>
            <w:pPr>
              <w:spacing w:lineRule="auto" w:line="276" w:after="80"/>
              <w:jc w:val="left"/>
            </w:pPr>
            <w:r>
              <w:rPr>
                <w:b/>
                <w:sz w:val="22"/>
              </w:rPr>
            </w:r>
            <w:r>
              <w:rPr>
                <w:rFonts w:ascii="Times New Roman" w:hAnsi="Times New Roman"/>
                <w:b/>
                <w:sz w:val="22"/>
              </w:rPr>
              <w:t>Beneficios esperados</w:t>
            </w:r>
          </w:p>
        </w:tc>
        <w:tc>
          <w:tcPr>
            <w:tcW w:type="dxa" w:w="5839"/>
          </w:tcPr>
          <w:p>
            <w:pPr>
              <w:spacing w:lineRule="auto" w:line="276" w:after="80"/>
              <w:jc w:val="left"/>
            </w:pPr>
            <w:r>
              <w:rPr>
                <w:sz w:val="22"/>
              </w:rPr>
            </w:r>
            <w:r>
              <w:rPr>
                <w:rFonts w:ascii="Times New Roman" w:hAnsi="Times New Roman"/>
                <w:sz w:val="22"/>
              </w:rPr>
              <w:t xml:space="preserve">Cuantificado: ahorro por reducción del costo de atención asistida en las aperturas que migran a flujo digital. No cuantificado en este business case, por ausencia de fuente pública sobre el valor promedio de un cliente nuevo para BBVA Perú: captación de clientes que hoy abandonan el trámite ante la derivación a oficina, beneficio que Kore.ai (2026) documenta de forma agregada (</w:t>
            </w:r>
            <w:commentRangeStart w:id="138"/>
            <w:r>
              <w:rPr>
                <w:rFonts w:ascii="Times New Roman" w:hAnsi="Times New Roman"/>
                <w:sz w:val="22"/>
              </w:rPr>
              <w:t xml:space="preserve">reducción del abandono de hasta 18 % en onboarding conversacional</w:t>
            </w:r>
            <w:commentRangeEnd w:id="138"/>
            <w:r>
              <w:rPr>
                <w:rStyle w:val="CommentReference"/>
              </w:rPr>
              <w:commentReference w:id="138"/>
            </w:r>
            <w:r>
              <w:rPr>
                <w:rFonts w:ascii="Times New Roman" w:hAnsi="Times New Roman"/>
                <w:sz w:val="22"/>
              </w:rPr>
              <w:t xml:space="preserve">) pero que el equipo no puede valorizar en soles sin inventar una cifra —</w:t>
            </w:r>
            <w:r>
              <w:rPr>
                <w:rFonts w:ascii="Times New Roman" w:hAnsi="Times New Roman"/>
                <w:b/>
                <w:sz w:val="22"/>
              </w:rPr>
              <w:t>NO HAY FUENTES EN INTERNET DISPONIBLES</w:t>
            </w:r>
            <w:r>
              <w:rPr>
                <w:rFonts w:ascii="Times New Roman" w:hAnsi="Times New Roman"/>
                <w:sz w:val="22"/>
              </w:rPr>
              <w:t xml:space="preserve"> </w:t>
            </w:r>
            <w:commentRangeStart w:id="121"/>
            <w:r>
              <w:rPr>
                <w:rFonts w:ascii="Times New Roman" w:hAnsi="Times New Roman"/>
                <w:sz w:val="22"/>
              </w:rPr>
              <w:t xml:space="preserve">sobre el valor de un cliente nuevo para la entidad. Tampoco se cuantifica la contribución indirecta al OE2, en su dimensión social, al permitir la contratación digital a perfiles que hoy quedan fuera del flujo (Banco BBVA Perú, 2026f, p. 10), que el informe parcial prevé reportar como beneficio complementario (sección 5.5).</w:t>
            </w:r>
            <w:commentRangeEnd w:id="121"/>
            <w:r>
              <w:rPr>
                <w:rStyle w:val="CommentReference"/>
              </w:rPr>
              <w:commentReference w:id="121"/>
            </w:r>
          </w:p>
        </w:tc>
      </w:tr>
      <w:tr>
        <w:tc>
          <w:tcPr>
            <w:tcW w:type="dxa" w:w="2381"/>
          </w:tcPr>
          <w:p>
            <w:pPr>
              <w:spacing w:lineRule="auto" w:line="276" w:after="80"/>
              <w:jc w:val="left"/>
            </w:pPr>
            <w:r>
              <w:rPr>
                <w:b/>
                <w:sz w:val="22"/>
              </w:rPr>
            </w:r>
            <w:r>
              <w:rPr>
                <w:rFonts w:ascii="Times New Roman" w:hAnsi="Times New Roman"/>
                <w:b/>
                <w:sz w:val="22"/>
              </w:rPr>
              <w:t xml:space="preserve">Costos estimados </w:t>
            </w:r>
            <w:r>
              <w:rPr>
                <w:rFonts w:ascii="Times New Roman" w:hAnsi="Times New Roman"/>
                <w:b/>
                <w:sz w:val="22"/>
              </w:rPr>
              <w:t>[C]</w:t>
            </w:r>
          </w:p>
        </w:tc>
        <w:tc>
          <w:tcPr>
            <w:tcW w:type="dxa" w:w="5839"/>
          </w:tcPr>
          <w:p>
            <w:pPr>
              <w:spacing w:lineRule="auto" w:line="276" w:after="80"/>
              <w:jc w:val="left"/>
            </w:pPr>
            <w:r>
              <w:rPr>
                <w:sz w:val="22"/>
              </w:rPr>
            </w:r>
            <w:commentRangeStart w:id="127"/>
            <w:r>
              <w:rPr>
                <w:rFonts w:ascii="Times New Roman" w:hAnsi="Times New Roman"/>
                <w:sz w:val="22"/>
              </w:rPr>
              <w:t xml:space="preserve">Implementación: USD 650,000</w:t>
            </w:r>
            <w:commentRangeEnd w:id="127"/>
            <w:r>
              <w:rPr>
                <w:rStyle w:val="CommentReference"/>
              </w:rPr>
              <w:commentReference w:id="127"/>
            </w:r>
            <w:r>
              <w:rPr>
                <w:rFonts w:ascii="Times New Roman" w:hAnsi="Times New Roman"/>
                <w:sz w:val="22"/>
              </w:rPr>
              <w:t xml:space="preserve"> (mayor complejidad que DC1 y DC2 por la integración con RENIEC, Migraciones y el motor de verificación biométrica, y por los requisitos de cumplimiento diferenciados para menores de edad). Mantenimiento anual: USD 150,000. Costo total a 18 meses: </w:t>
            </w:r>
            <w:r>
              <w:rPr>
                <w:rFonts w:ascii="Times New Roman" w:hAnsi="Times New Roman"/>
                <w:b/>
                <w:sz w:val="22"/>
              </w:rPr>
              <w:t>USD 800,000</w:t>
            </w:r>
            <w:r>
              <w:rPr>
                <w:rFonts w:ascii="Times New Roman" w:hAnsi="Times New Roman"/>
                <w:sz w:val="22"/>
              </w:rPr>
              <w:t>.</w:t>
            </w:r>
          </w:p>
        </w:tc>
      </w:tr>
      <w:tr>
        <w:tc>
          <w:tcPr>
            <w:tcW w:type="dxa" w:w="2381"/>
          </w:tcPr>
          <w:p>
            <w:pPr>
              <w:spacing w:lineRule="auto" w:line="276" w:after="80"/>
              <w:jc w:val="left"/>
            </w:pPr>
            <w:r>
              <w:rPr>
                <w:b/>
                <w:sz w:val="22"/>
              </w:rPr>
            </w:r>
            <w:r>
              <w:rPr>
                <w:rFonts w:ascii="Times New Roman" w:hAnsi="Times New Roman"/>
                <w:b/>
                <w:sz w:val="22"/>
              </w:rPr>
              <w:t xml:space="preserve">Ahorros/ingresos generados </w:t>
            </w:r>
            <w:r>
              <w:rPr>
                <w:rFonts w:ascii="Times New Roman" w:hAnsi="Times New Roman"/>
                <w:b/>
                <w:sz w:val="22"/>
              </w:rPr>
              <w:t>[C]</w:t>
            </w:r>
          </w:p>
        </w:tc>
        <w:tc>
          <w:tcPr>
            <w:tcW w:type="dxa" w:w="5839"/>
          </w:tcPr>
          <w:p>
            <w:pPr>
              <w:spacing w:lineRule="auto" w:line="276" w:after="80"/>
              <w:jc w:val="left"/>
            </w:pPr>
            <w:r>
              <w:rPr>
                <w:sz w:val="22"/>
              </w:rPr>
            </w:r>
            <w:commentRangeStart w:id="4"/>
            <w:r>
              <w:rPr>
                <w:rFonts w:ascii="Times New Roman" w:hAnsi="Times New Roman"/>
                <w:sz w:val="22"/>
              </w:rPr>
              <w:t>Supuesto de volumen: 5,000 aperturas de cuenta mensuales por todos los canales (sin fuente pública, pendiente de validación con el área de Operaciones)</w:t>
            </w:r>
            <w:commentRangeEnd w:id="4"/>
            <w:r>
              <w:rPr>
                <w:rStyle w:val="CommentReference"/>
              </w:rPr>
              <w:commentReference w:id="4"/>
            </w:r>
            <w:r>
              <w:rPr>
                <w:rFonts w:ascii="Times New Roman" w:hAnsi="Times New Roman"/>
                <w:sz w:val="22"/>
              </w:rPr>
              <w:t xml:space="preserve">. Cerrar la brecha de 22 puntos porcentuales entre la línea base y la meta de la </w:t>
            </w:r>
            <w:commentRangeStart w:id="55"/>
            <w:r>
              <w:rPr>
                <w:rFonts w:ascii="Times New Roman" w:hAnsi="Times New Roman"/>
                <w:sz w:val="22"/>
              </w:rPr>
              <w:t xml:space="preserve">Tabla 25</w:t>
            </w:r>
            <w:commentRangeEnd w:id="55"/>
            <w:r>
              <w:rPr>
                <w:rStyle w:val="CommentReference"/>
              </w:rPr>
              <w:commentReference w:id="55"/>
            </w:r>
            <w:r>
              <w:rPr>
                <w:rFonts w:ascii="Times New Roman" w:hAnsi="Times New Roman"/>
                <w:sz w:val="22"/>
              </w:rPr>
              <w:t xml:space="preserve"> (33 % → 55 % en 18 meses) equivale a que 1,100 aperturas mensuales adicionales (22 % de 5,000) migren de canal asistido a flujo digital hacia el mes 18. Asumiendo un costo de atención asistida de S/ 25 por caso frente a un costo marginal digital de S/ 2 (ambos supuestos propios, sin fuente pública), </w:t>
            </w:r>
            <w:commentRangeStart w:id="111"/>
            <w:r>
              <w:rPr>
                <w:rFonts w:ascii="Times New Roman" w:hAnsi="Times New Roman"/>
                <w:sz w:val="22"/>
              </w:rPr>
              <w:t xml:space="preserve">el ahorro neto es de S/ 23 (≈ USD 6.69) por caso</w:t>
            </w:r>
            <w:commentRangeEnd w:id="111"/>
            <w:r>
              <w:rPr>
                <w:rStyle w:val="CommentReference"/>
              </w:rPr>
              <w:commentReference w:id="111"/>
            </w:r>
            <w:r>
              <w:rPr>
                <w:rFonts w:ascii="Times New Roman" w:hAnsi="Times New Roman"/>
                <w:sz w:val="22"/>
              </w:rPr>
              <w:t xml:space="preserve">. Sobre una rampa lineal de 12 meses, el ahorro acumulado a 18 meses </w:t>
            </w:r>
            <w:commentRangeStart w:id="112"/>
            <w:r>
              <w:rPr>
                <w:rFonts w:ascii="Times New Roman" w:hAnsi="Times New Roman"/>
                <w:sz w:val="22"/>
              </w:rPr>
              <w:t xml:space="preserve">es de aproximadamente USD 47,800.</w:t>
            </w:r>
            <w:commentRangeEnd w:id="112"/>
            <w:r>
              <w:rPr>
                <w:rStyle w:val="CommentReference"/>
              </w:rPr>
              <w:commentReference w:id="112"/>
            </w:r>
          </w:p>
        </w:tc>
      </w:tr>
      <w:tr>
        <w:tc>
          <w:tcPr>
            <w:tcW w:type="dxa" w:w="2381"/>
          </w:tcPr>
          <w:p>
            <w:pPr>
              <w:spacing w:lineRule="auto" w:line="276" w:after="80"/>
              <w:jc w:val="left"/>
            </w:pPr>
            <w:r>
              <w:rPr>
                <w:b/>
                <w:sz w:val="22"/>
              </w:rPr>
            </w:r>
            <w:r>
              <w:rPr>
                <w:rFonts w:ascii="Times New Roman" w:hAnsi="Times New Roman"/>
                <w:b/>
                <w:sz w:val="22"/>
              </w:rPr>
              <w:t xml:space="preserve">ROI a 18 meses </w:t>
            </w:r>
            <w:r>
              <w:rPr>
                <w:rFonts w:ascii="Times New Roman" w:hAnsi="Times New Roman"/>
                <w:b/>
                <w:sz w:val="22"/>
              </w:rPr>
              <w:t>[C]</w:t>
            </w:r>
          </w:p>
        </w:tc>
        <w:tc>
          <w:tcPr>
            <w:tcW w:type="dxa" w:w="5839"/>
          </w:tcPr>
          <w:p>
            <w:pPr>
              <w:spacing w:lineRule="auto" w:line="276" w:after="80"/>
              <w:jc w:val="left"/>
            </w:pPr>
            <w:r>
              <w:rPr>
                <w:sz w:val="22"/>
              </w:rPr>
            </w:r>
            <w:commentRangeStart w:id="133"/>
            <w:r>
              <w:rPr>
                <w:rFonts w:ascii="Times New Roman" w:hAnsi="Times New Roman"/>
                <w:sz w:val="22"/>
              </w:rPr>
              <w:t xml:space="preserve">≈ </w:t>
            </w:r>
            <w:commentRangeEnd w:id="133"/>
            <w:r>
              <w:rPr>
                <w:rStyle w:val="CommentReference"/>
              </w:rPr>
              <w:commentReference w:id="133"/>
            </w:r>
            <w:r>
              <w:rPr>
                <w:rFonts w:ascii="Times New Roman" w:hAnsi="Times New Roman"/>
                <w:b/>
                <w:sz w:val="22"/>
              </w:rPr>
              <w:t>−94 %</w:t>
            </w:r>
            <w:r>
              <w:rPr>
                <w:rFonts w:ascii="Times New Roman" w:hAnsi="Times New Roman"/>
                <w:sz w:val="22"/>
              </w:rPr>
              <w:t xml:space="preserve"> [</w:t>
            </w:r>
            <w:commentRangeStart w:id="113"/>
            <w:r>
              <w:rPr>
                <w:rFonts w:ascii="Times New Roman" w:hAnsi="Times New Roman"/>
                <w:sz w:val="22"/>
              </w:rPr>
              <w:t xml:space="preserve">(47,800 − 800,000) / 800,000</w:t>
            </w:r>
            <w:commentRangeEnd w:id="113"/>
            <w:r>
              <w:rPr>
                <w:rStyle w:val="CommentReference"/>
              </w:rPr>
              <w:commentReference w:id="113"/>
            </w:r>
            <w:r>
              <w:rPr>
                <w:rFonts w:ascii="Times New Roman" w:hAnsi="Times New Roman"/>
                <w:sz w:val="22"/>
              </w:rPr>
              <w:t xml:space="preserve">], considerando únicamente el ahorro por sustitución de canal cuantificado; no incorpora la captación de clientes nuevos ni la reducción del abandono, que quedan como beneficio cualitativo no monetizado.</w:t>
            </w:r>
          </w:p>
        </w:tc>
      </w:tr>
      <w:tr>
        <w:tc>
          <w:tcPr>
            <w:tcW w:type="dxa" w:w="2381"/>
          </w:tcPr>
          <w:p>
            <w:pPr>
              <w:spacing w:lineRule="auto" w:line="276" w:after="80"/>
              <w:jc w:val="left"/>
            </w:pPr>
            <w:r>
              <w:rPr>
                <w:b/>
                <w:sz w:val="22"/>
              </w:rPr>
            </w:r>
            <w:r>
              <w:rPr>
                <w:rFonts w:ascii="Times New Roman" w:hAnsi="Times New Roman"/>
                <w:b/>
                <w:sz w:val="22"/>
              </w:rPr>
              <w:t xml:space="preserve">Payback </w:t>
            </w:r>
            <w:r>
              <w:rPr>
                <w:rFonts w:ascii="Times New Roman" w:hAnsi="Times New Roman"/>
                <w:b/>
                <w:sz w:val="22"/>
              </w:rPr>
              <w:t>[C]</w:t>
            </w:r>
          </w:p>
        </w:tc>
        <w:tc>
          <w:tcPr>
            <w:tcW w:type="dxa" w:w="5839"/>
          </w:tcPr>
          <w:p>
            <w:pPr>
              <w:spacing w:lineRule="auto" w:line="276" w:after="80"/>
              <w:jc w:val="left"/>
            </w:pPr>
            <w:r>
              <w:rPr>
                <w:sz w:val="22"/>
              </w:rPr>
            </w:r>
            <w:commentRangeStart w:id="114"/>
            <w:r>
              <w:rPr>
                <w:rFonts w:ascii="Times New Roman" w:hAnsi="Times New Roman"/>
                <w:sz w:val="22"/>
              </w:rPr>
              <w:t xml:space="preserve">No se recupera la inversión dentro del horizonte de 18 meses bajo el beneficio cuantificado. El ahorro mensual pleno es de aproximadamente USD 7,400 (1,100 aperturas × USD 6.69) y resulta menor que el mantenimiento mensual de USD 12,500 (USD 150,000 anuales), de modo que con el beneficio cuantificado la inversión no se recupera en ningún plazo; solo podría recuperarse si se monetizara la captación de clientes nuevos, que el equipo no pudo valorizar.</w:t>
            </w:r>
            <w:commentRangeEnd w:id="114"/>
            <w:r>
              <w:rPr>
                <w:rStyle w:val="CommentReference"/>
              </w:rPr>
              <w:commentReference w:id="114"/>
            </w:r>
          </w:p>
        </w:tc>
      </w:tr>
      <w:tr>
        <w:tc>
          <w:tcPr>
            <w:tcW w:type="dxa" w:w="2381"/>
          </w:tcPr>
          <w:p>
            <w:pPr>
              <w:spacing w:lineRule="auto" w:line="276" w:after="80"/>
              <w:jc w:val="left"/>
            </w:pPr>
            <w:r>
              <w:rPr>
                <w:b/>
                <w:sz w:val="22"/>
              </w:rPr>
            </w:r>
            <w:r>
              <w:rPr>
                <w:rFonts w:ascii="Times New Roman" w:hAnsi="Times New Roman"/>
                <w:b/>
                <w:sz w:val="22"/>
              </w:rPr>
              <w:t>Riesgos</w:t>
            </w:r>
          </w:p>
        </w:tc>
        <w:tc>
          <w:tcPr>
            <w:tcW w:type="dxa" w:w="5839"/>
          </w:tcPr>
          <w:p>
            <w:pPr>
              <w:spacing w:lineRule="auto" w:line="276" w:after="80"/>
              <w:jc w:val="left"/>
            </w:pPr>
            <w:r>
              <w:rPr>
                <w:sz w:val="22"/>
              </w:rPr>
            </w:r>
            <w:r>
              <w:rPr>
                <w:rFonts w:ascii="Times New Roman" w:hAnsi="Times New Roman"/>
                <w:sz w:val="22"/>
              </w:rPr>
              <w:t xml:space="preserve">El resultado depende de un supuesto de volumen de aperturas no validado y de dos costos unitarios (atención asistida y costo marginal digital) sin fuente pública. La priorización de esta iniciativa </w:t>
            </w:r>
            <w:commentRangeStart w:id="64"/>
            <w:r>
              <w:rPr>
                <w:rFonts w:ascii="Times New Roman" w:hAnsi="Times New Roman"/>
                <w:sz w:val="22"/>
              </w:rPr>
              <w:t xml:space="preserve">a partir del informe parcial</w:t>
            </w:r>
            <w:commentRangeEnd w:id="64"/>
            <w:r>
              <w:rPr>
                <w:rStyle w:val="CommentReference"/>
              </w:rPr>
              <w:commentReference w:id="64"/>
            </w:r>
            <w:r>
              <w:rPr>
                <w:rFonts w:ascii="Times New Roman" w:hAnsi="Times New Roman"/>
                <w:sz w:val="22"/>
              </w:rPr>
              <w:t xml:space="preserve"> responde a la disponibilidad de información para el equipo y al rol de DC3 como proceso ancla del proyecto (sección 5.1), no a que ofrezca el mejor ROI financiero estrecho entre las tres; </w:t>
            </w:r>
            <w:commentRangeStart w:id="139"/>
            <w:r>
              <w:rPr>
                <w:rFonts w:ascii="Times New Roman" w:hAnsi="Times New Roman"/>
                <w:sz w:val="22"/>
              </w:rPr>
              <w:t xml:space="preserve">ese ROI mejoraría de forma significativa</w:t>
            </w:r>
            <w:commentRangeEnd w:id="139"/>
            <w:r>
              <w:rPr>
                <w:rStyle w:val="CommentReference"/>
              </w:rPr>
              <w:commentReference w:id="139"/>
            </w:r>
            <w:r>
              <w:rPr>
                <w:rFonts w:ascii="Times New Roman" w:hAnsi="Times New Roman"/>
                <w:sz w:val="22"/>
              </w:rPr>
              <w:t xml:space="preserve"> si se pudiera monetizar la captación de clientes nuevos hoy perdidos por abandono.</w:t>
            </w:r>
          </w:p>
        </w:tc>
      </w:tr>
      <w:tr>
        <w:tc>
          <w:tcPr>
            <w:tcW w:type="dxa" w:w="2381"/>
          </w:tcPr>
          <w:p>
            <w:pPr>
              <w:spacing w:lineRule="auto" w:line="276" w:after="80"/>
              <w:jc w:val="left"/>
            </w:pPr>
            <w:r>
              <w:rPr>
                <w:b/>
                <w:sz w:val="22"/>
              </w:rPr>
            </w:r>
            <w:r>
              <w:rPr>
                <w:rFonts w:ascii="Times New Roman" w:hAnsi="Times New Roman"/>
                <w:b/>
                <w:sz w:val="22"/>
              </w:rPr>
              <w:t>Supuestos</w:t>
            </w:r>
          </w:p>
        </w:tc>
        <w:tc>
          <w:tcPr>
            <w:tcW w:type="dxa" w:w="5839"/>
          </w:tcPr>
          <w:p>
            <w:pPr>
              <w:spacing w:lineRule="auto" w:line="276" w:after="80"/>
              <w:jc w:val="left"/>
            </w:pPr>
            <w:r>
              <w:rPr>
                <w:sz w:val="22"/>
              </w:rPr>
            </w:r>
            <w:r>
              <w:rPr>
                <w:rFonts w:ascii="Times New Roman" w:hAnsi="Times New Roman"/>
                <w:sz w:val="22"/>
              </w:rPr>
              <w:t>Volumen mensual de 5,000 aperturas de cuenta; costo de atención asistida de S/ 25 por caso y costo marginal digital de S/ 2 por caso; rampa de adopción lineal de 12 meses; el beneficio de reducción de abandono de Kore.ai (2026) se reconoce cualitativamente pero no se monetiza.</w:t>
            </w:r>
          </w:p>
        </w:tc>
      </w:tr>
    </w:tbl>
    <w:p>
      <w:pPr>
        <w:spacing w:after="0" w:before="200"/>
      </w:pPr>
      <w:commentRangeStart w:id="56"/>
      <w:r>
        <w:rPr>
          <w:rFonts w:ascii="Times New Roman" w:hAnsi="Times New Roman"/>
          <w:b/>
          <w:sz w:val="24"/>
        </w:rPr>
        <w:t xml:space="preserve">Tabla 41</w:t>
      </w:r>
      <w:commentRangeEnd w:id="56"/>
      <w:r>
        <w:rPr>
          <w:rStyle w:val="CommentReference"/>
        </w:rPr>
        <w:commentReference w:id="56"/>
      </w:r>
    </w:p>
    <w:p>
      <w:pPr>
        <w:spacing w:after="80"/>
      </w:pPr>
      <w:r>
        <w:rPr>
          <w:rFonts w:ascii="Times New Roman" w:hAnsi="Times New Roman"/>
          <w:i/>
          <w:sz w:val="24"/>
        </w:rPr>
        <w:t>Business case de la iniciativa DC3: agente de verificación progresiva en la contratación digital</w:t>
      </w:r>
    </w:p>
    <w:p>
      <w:pPr>
        <w:spacing w:before="40" w:after="280"/>
      </w:pPr>
      <w:r>
        <w:rPr>
          <w:rFonts w:ascii="Times New Roman" w:hAnsi="Times New Roman"/>
          <w:i/>
          <w:sz w:val="21"/>
        </w:rPr>
        <w:t>Nota.</w:t>
      </w:r>
      <w:r>
        <w:rPr>
          <w:rFonts w:ascii="Times New Roman" w:hAnsi="Times New Roman"/>
          <w:sz w:val="21"/>
        </w:rPr>
        <w:t xml:space="preserve"> Elaboración propia. Cifras marcadas </w:t>
      </w:r>
      <w:r>
        <w:rPr>
          <w:rFonts w:ascii="Times New Roman" w:hAnsi="Times New Roman"/>
          <w:b/>
          <w:sz w:val="21"/>
        </w:rPr>
        <w:t>[C]</w:t>
      </w:r>
      <w:r>
        <w:rPr>
          <w:rFonts w:ascii="Times New Roman" w:hAnsi="Times New Roman"/>
          <w:sz w:val="21"/>
        </w:rPr>
        <w:t xml:space="preserve"> son estimaciones propias ancladas en las fuentes citadas, pendientes de validación con la entidad; ver metodología común en la sección 10.1.</w:t>
      </w:r>
    </w:p>
    <w:p>
      <w:pPr>
        <w:keepNext/>
        <w:spacing w:before="240" w:after="160"/>
      </w:pPr>
      <w:r>
        <w:rPr>
          <w:rFonts w:ascii="Times New Roman" w:hAnsi="Times New Roman"/>
          <w:b/>
          <w:color w:val="1F3864"/>
          <w:sz w:val="26"/>
        </w:rPr>
        <w:t>10.5. Síntesis comparativa del business case</w:t>
      </w:r>
    </w:p>
    <w:tbl>
      <w:tblPr>
        <w:tblW w:type="auto" w:w="0"/>
        <w:jc w:val="center"/>
        <w:tblLayout w:type="fixed"/>
        <w:tblLook w:firstColumn="1" w:firstRow="1" w:lastColumn="0" w:lastRow="0" w:noHBand="0" w:noVBand="1" w:val="04A0"/>
      </w:tblPr>
      <w:tblGrid>
        <w:gridCol w:w="4561"/>
        <w:gridCol w:w="4561"/>
      </w:tblGrid>
      <w:tr>
        <w:tc>
          <w:tcPr>
            <w:tcW w:type="dxa" w:w="2381"/>
            <w:shd w:val="clear" w:color="auto" w:fill="1F3864"/>
          </w:tcPr>
          <w:p>
            <w:pPr>
              <w:spacing w:lineRule="auto" w:line="276" w:after="80"/>
              <w:jc w:val="center"/>
            </w:pPr>
            <w:r>
              <w:rPr>
                <w:b/>
                <w:color w:val="FFFFFF"/>
                <w:sz w:val="22"/>
              </w:rPr>
            </w:r>
            <w:r>
              <w:rPr>
                <w:rFonts w:ascii="Times New Roman" w:hAnsi="Times New Roman"/>
                <w:b/>
                <w:color w:val="FFFFFF"/>
                <w:sz w:val="22"/>
              </w:rPr>
              <w:t>Iniciativa</w:t>
            </w:r>
          </w:p>
        </w:tc>
        <w:tc>
          <w:tcPr>
            <w:tcW w:type="dxa" w:w="5839"/>
            <w:shd w:val="clear" w:color="auto" w:fill="1F3864"/>
          </w:tcPr>
          <w:p>
            <w:pPr>
              <w:spacing w:lineRule="auto" w:line="276" w:after="80"/>
              <w:jc w:val="center"/>
            </w:pPr>
            <w:r>
              <w:rPr>
                <w:b/>
                <w:color w:val="FFFFFF"/>
                <w:sz w:val="22"/>
              </w:rPr>
            </w:r>
            <w:r>
              <w:rPr>
                <w:rFonts w:ascii="Times New Roman" w:hAnsi="Times New Roman"/>
                <w:b/>
                <w:color w:val="FFFFFF"/>
                <w:sz w:val="22"/>
              </w:rPr>
              <w:t>Síntesis del business case</w:t>
            </w:r>
          </w:p>
        </w:tc>
      </w:tr>
      <w:tr>
        <w:tc>
          <w:tcPr>
            <w:tcW w:type="dxa" w:w="2381"/>
          </w:tcPr>
          <w:p>
            <w:pPr>
              <w:spacing w:lineRule="auto" w:line="276" w:after="80"/>
              <w:jc w:val="left"/>
            </w:pPr>
            <w:r>
              <w:rPr>
                <w:b/>
                <w:sz w:val="22"/>
              </w:rPr>
            </w:r>
            <w:r>
              <w:rPr>
                <w:rFonts w:ascii="Times New Roman" w:hAnsi="Times New Roman"/>
                <w:b/>
                <w:sz w:val="22"/>
              </w:rPr>
              <w:t>DC1 — Precalificación crediticia Pyme</w:t>
            </w:r>
          </w:p>
        </w:tc>
        <w:tc>
          <w:tcPr>
            <w:tcW w:type="dxa" w:w="5839"/>
          </w:tcPr>
          <w:p>
            <w:pPr>
              <w:spacing w:lineRule="auto" w:line="276" w:after="80"/>
              <w:jc w:val="left"/>
            </w:pPr>
            <w:r>
              <w:rPr>
                <w:sz w:val="22"/>
              </w:rPr>
            </w:r>
            <w:r>
              <w:rPr>
                <w:rFonts w:ascii="Times New Roman" w:hAnsi="Times New Roman"/>
                <w:sz w:val="22"/>
              </w:rPr>
              <w:t>Costo a 18 meses: USD 470,000. Ahorro estimado: USD 1,580,000. ROI: ≈ +236 %. Payback: ≈ 12 meses. Es la única de las tres iniciativas con ROI cuantificado positivo dentro del horizonte, sujeto a la validación del volumen mensual de solicitudes.</w:t>
            </w:r>
          </w:p>
        </w:tc>
      </w:tr>
      <w:tr>
        <w:tc>
          <w:tcPr>
            <w:tcW w:type="dxa" w:w="2381"/>
          </w:tcPr>
          <w:p>
            <w:pPr>
              <w:spacing w:lineRule="auto" w:line="276" w:after="80"/>
              <w:jc w:val="left"/>
            </w:pPr>
            <w:r>
              <w:rPr>
                <w:b/>
                <w:sz w:val="22"/>
              </w:rPr>
            </w:r>
            <w:r>
              <w:rPr>
                <w:rFonts w:ascii="Times New Roman" w:hAnsi="Times New Roman"/>
                <w:b/>
                <w:sz w:val="22"/>
              </w:rPr>
              <w:t>DC2 — Investigación asistida de reclamos</w:t>
            </w:r>
          </w:p>
        </w:tc>
        <w:tc>
          <w:tcPr>
            <w:tcW w:type="dxa" w:w="5839"/>
          </w:tcPr>
          <w:p>
            <w:pPr>
              <w:spacing w:lineRule="auto" w:line="276" w:after="80"/>
              <w:jc w:val="left"/>
            </w:pPr>
            <w:r>
              <w:rPr>
                <w:sz w:val="22"/>
              </w:rPr>
            </w:r>
            <w:r>
              <w:rPr>
                <w:rFonts w:ascii="Times New Roman" w:hAnsi="Times New Roman"/>
                <w:sz w:val="22"/>
              </w:rPr>
              <w:t xml:space="preserve">Costo a 18 meses: USD 640,000. </w:t>
            </w:r>
            <w:commentRangeStart w:id="115"/>
            <w:r>
              <w:rPr>
                <w:rFonts w:ascii="Times New Roman" w:hAnsi="Times New Roman"/>
                <w:sz w:val="22"/>
              </w:rPr>
              <w:t xml:space="preserve">Ahorro estimado: USD 151,500. ROI: ≈ −76 %. Payback: fuera del horizonte (≈ mes 55).</w:t>
            </w:r>
            <w:commentRangeEnd w:id="115"/>
            <w:r>
              <w:rPr>
                <w:rStyle w:val="CommentReference"/>
              </w:rPr>
              <w:commentReference w:id="115"/>
            </w:r>
            <w:r>
              <w:rPr>
                <w:rFonts w:ascii="Times New Roman" w:hAnsi="Times New Roman"/>
                <w:sz w:val="22"/>
              </w:rPr>
              <w:t xml:space="preserve"> Se justifica principalmente por mitigación de riesgo regulatorio y reputacional, no cuantificado, y por contar con la línea base pública más completa de las tres iniciativas.</w:t>
            </w:r>
          </w:p>
        </w:tc>
      </w:tr>
      <w:tr>
        <w:tc>
          <w:tcPr>
            <w:tcW w:type="dxa" w:w="2381"/>
          </w:tcPr>
          <w:p>
            <w:pPr>
              <w:spacing w:lineRule="auto" w:line="276" w:after="80"/>
              <w:jc w:val="left"/>
            </w:pPr>
            <w:r>
              <w:rPr>
                <w:b/>
                <w:sz w:val="22"/>
              </w:rPr>
            </w:r>
            <w:r>
              <w:rPr>
                <w:rFonts w:ascii="Times New Roman" w:hAnsi="Times New Roman"/>
                <w:b/>
                <w:sz w:val="22"/>
              </w:rPr>
              <w:t>DC3 — Verificación progresiva en contratación digital</w:t>
            </w:r>
          </w:p>
        </w:tc>
        <w:tc>
          <w:tcPr>
            <w:tcW w:type="dxa" w:w="5839"/>
          </w:tcPr>
          <w:p>
            <w:pPr>
              <w:spacing w:lineRule="auto" w:line="276" w:after="80"/>
              <w:jc w:val="left"/>
            </w:pPr>
            <w:r>
              <w:rPr>
                <w:sz w:val="22"/>
              </w:rPr>
            </w:r>
            <w:r>
              <w:rPr>
                <w:rFonts w:ascii="Times New Roman" w:hAnsi="Times New Roman"/>
                <w:sz w:val="22"/>
              </w:rPr>
              <w:t xml:space="preserve">Costo a 18 meses: USD 800,000. </w:t>
            </w:r>
            <w:commentRangeStart w:id="116"/>
            <w:r>
              <w:rPr>
                <w:rFonts w:ascii="Times New Roman" w:hAnsi="Times New Roman"/>
                <w:sz w:val="22"/>
              </w:rPr>
              <w:t xml:space="preserve">Ahorro estimado: USD 47,800. ROI: ≈ −94 %. Payback: no se recupera con el beneficio cuantificado.</w:t>
            </w:r>
            <w:commentRangeEnd w:id="116"/>
            <w:r>
              <w:rPr>
                <w:rStyle w:val="CommentReference"/>
              </w:rPr>
              <w:commentReference w:id="116"/>
            </w:r>
            <w:r>
              <w:rPr>
                <w:rFonts w:ascii="Times New Roman" w:hAnsi="Times New Roman"/>
                <w:sz w:val="22"/>
              </w:rPr>
              <w:t xml:space="preserve"> Se justifica por su rol como proceso ancla del proyecto y por un potencial de captación de clientes nuevos no monetizado, más que por su ROI financiero estrecho.</w:t>
            </w:r>
          </w:p>
        </w:tc>
      </w:tr>
    </w:tbl>
    <w:p>
      <w:pPr>
        <w:spacing w:after="0" w:before="200"/>
      </w:pPr>
      <w:commentRangeStart w:id="57"/>
      <w:r>
        <w:rPr>
          <w:rFonts w:ascii="Times New Roman" w:hAnsi="Times New Roman"/>
          <w:b/>
          <w:sz w:val="24"/>
        </w:rPr>
        <w:t xml:space="preserve">Tabla 42</w:t>
      </w:r>
      <w:commentRangeEnd w:id="57"/>
      <w:r>
        <w:rPr>
          <w:rStyle w:val="CommentReference"/>
        </w:rPr>
        <w:commentReference w:id="57"/>
      </w:r>
    </w:p>
    <w:p>
      <w:pPr>
        <w:spacing w:after="80"/>
      </w:pPr>
      <w:r>
        <w:rPr>
          <w:rFonts w:ascii="Times New Roman" w:hAnsi="Times New Roman"/>
          <w:i/>
          <w:sz w:val="24"/>
        </w:rPr>
        <w:t>Síntesis comparativa del business case de las tres iniciativas</w:t>
      </w:r>
    </w:p>
    <w:p>
      <w:pPr>
        <w:spacing w:before="40" w:after="280"/>
      </w:pPr>
      <w:r>
        <w:rPr>
          <w:rFonts w:ascii="Times New Roman" w:hAnsi="Times New Roman"/>
          <w:i/>
          <w:sz w:val="21"/>
        </w:rPr>
        <w:t>Nota.</w:t>
      </w:r>
      <w:r>
        <w:rPr>
          <w:rFonts w:ascii="Times New Roman" w:hAnsi="Times New Roman"/>
          <w:sz w:val="21"/>
        </w:rPr>
        <w:t xml:space="preserve"> Elaboración propia con base en las </w:t>
      </w:r>
      <w:commentRangeStart w:id="58"/>
      <w:r>
        <w:rPr>
          <w:rFonts w:ascii="Times New Roman" w:hAnsi="Times New Roman"/>
          <w:sz w:val="21"/>
        </w:rPr>
        <w:t xml:space="preserve">Tablas 39 a 41</w:t>
      </w:r>
      <w:commentRangeEnd w:id="58"/>
      <w:r>
        <w:rPr>
          <w:rStyle w:val="CommentReference"/>
        </w:rPr>
        <w:commentReference w:id="58"/>
      </w:r>
      <w:r>
        <w:rPr>
          <w:rFonts w:ascii="Times New Roman" w:hAnsi="Times New Roman"/>
          <w:sz w:val="21"/>
        </w:rPr>
        <w:t xml:space="preserve">.</w:t>
      </w:r>
    </w:p>
    <w:p>
      <w:pPr>
        <w:spacing w:before="200"/>
        <w:jc w:val="center"/>
      </w:pPr>
      <w:r>
        <w:drawing>
          <wp:inline xmlns:a="http://schemas.openxmlformats.org/drawingml/2006/main" xmlns:pic="http://schemas.openxmlformats.org/drawingml/2006/picture">
            <wp:extent cx="5580000" cy="3005411"/>
            <wp:docPr id="2" name="Picture 2"/>
            <wp:cNvGraphicFramePr>
              <a:graphicFrameLocks noChangeAspect="1"/>
            </wp:cNvGraphicFramePr>
            <a:graphic>
              <a:graphicData uri="http://schemas.openxmlformats.org/drawingml/2006/picture">
                <pic:pic>
                  <pic:nvPicPr>
                    <pic:cNvPr id="0" name="out_fig_business_case.png"/>
                    <pic:cNvPicPr/>
                  </pic:nvPicPr>
                  <pic:blipFill>
                    <a:blip r:embed="rId10"/>
                    <a:stretch>
                      <a:fillRect/>
                    </a:stretch>
                  </pic:blipFill>
                  <pic:spPr>
                    <a:xfrm>
                      <a:off x="0" y="0"/>
                      <a:ext cx="5580000" cy="3005411"/>
                    </a:xfrm>
                    <a:prstGeom prst="rect"/>
                  </pic:spPr>
                </pic:pic>
              </a:graphicData>
            </a:graphic>
          </wp:inline>
        </w:drawing>
      </w:r>
    </w:p>
    <w:p>
      <w:pPr>
        <w:spacing w:after="0"/>
        <w:jc w:val="center"/>
      </w:pPr>
      <w:commentRangeStart w:id="59"/>
      <w:r>
        <w:rPr>
          <w:rFonts w:ascii="Times New Roman" w:hAnsi="Times New Roman"/>
          <w:b/>
          <w:sz w:val="24"/>
        </w:rPr>
        <w:t xml:space="preserve">Figura 6</w:t>
      </w:r>
      <w:commentRangeEnd w:id="59"/>
      <w:r>
        <w:rPr>
          <w:rStyle w:val="CommentReference"/>
        </w:rPr>
        <w:commentReference w:id="59"/>
      </w:r>
    </w:p>
    <w:p>
      <w:pPr>
        <w:spacing w:after="200"/>
        <w:jc w:val="center"/>
      </w:pPr>
      <w:commentRangeStart w:id="188"/>
      <w:r>
        <w:rPr>
          <w:rFonts w:ascii="Times New Roman" w:hAnsi="Times New Roman"/>
          <w:i/>
          <w:sz w:val="24"/>
        </w:rPr>
        <w:t xml:space="preserve">Comparación de costo, ahorro estimado y ROI a 18 meses por iniciativa (elaboración propia con base en la </w:t>
      </w:r>
      <w:commentRangeEnd w:id="188"/>
      <w:r>
        <w:rPr>
          <w:rStyle w:val="CommentReference"/>
        </w:rPr>
        <w:commentReference w:id="188"/>
      </w:r>
      <w:commentRangeStart w:id="60"/>
      <w:r>
        <w:rPr>
          <w:rFonts w:ascii="Times New Roman" w:hAnsi="Times New Roman"/>
          <w:i/>
          <w:sz w:val="24"/>
        </w:rPr>
        <w:t xml:space="preserve">Tabla 42</w:t>
      </w:r>
      <w:commentRangeEnd w:id="60"/>
      <w:r>
        <w:rPr>
          <w:rStyle w:val="CommentReference"/>
        </w:rPr>
        <w:commentReference w:id="60"/>
      </w:r>
      <w:r>
        <w:rPr>
          <w:rFonts w:ascii="Times New Roman" w:hAnsi="Times New Roman"/>
          <w:i/>
          <w:sz w:val="24"/>
        </w:rPr>
        <w:t xml:space="preserve">)</w:t>
      </w:r>
    </w:p>
    <w:p>
      <w:pPr>
        <w:spacing w:lineRule="auto" w:line="360" w:after="160"/>
        <w:jc w:val="both"/>
      </w:pPr>
      <w:r>
        <w:rPr>
          <w:rFonts w:ascii="Times New Roman" w:hAnsi="Times New Roman"/>
          <w:sz w:val="24"/>
        </w:rPr>
        <w:t xml:space="preserve">La comparación de la </w:t>
      </w:r>
      <w:commentRangeStart w:id="62"/>
      <w:r>
        <w:rPr>
          <w:rFonts w:ascii="Times New Roman" w:hAnsi="Times New Roman"/>
          <w:sz w:val="24"/>
        </w:rPr>
        <w:t xml:space="preserve">Tabla 42</w:t>
      </w:r>
      <w:commentRangeEnd w:id="62"/>
      <w:r>
        <w:rPr>
          <w:rStyle w:val="CommentReference"/>
        </w:rPr>
        <w:commentReference w:id="62"/>
      </w:r>
      <w:r>
        <w:rPr>
          <w:rFonts w:ascii="Times New Roman" w:hAnsi="Times New Roman"/>
          <w:sz w:val="24"/>
        </w:rPr>
        <w:t xml:space="preserve"> y de la </w:t>
      </w:r>
      <w:commentRangeStart w:id="61"/>
      <w:r>
        <w:rPr>
          <w:rFonts w:ascii="Times New Roman" w:hAnsi="Times New Roman"/>
          <w:sz w:val="24"/>
        </w:rPr>
        <w:t xml:space="preserve">Figura 6</w:t>
      </w:r>
      <w:commentRangeEnd w:id="61"/>
      <w:r>
        <w:rPr>
          <w:rStyle w:val="CommentReference"/>
        </w:rPr>
        <w:commentReference w:id="61"/>
      </w:r>
      <w:r>
        <w:rPr>
          <w:rFonts w:ascii="Times New Roman" w:hAnsi="Times New Roman"/>
          <w:sz w:val="24"/>
        </w:rPr>
        <w:t xml:space="preserve"> muestra que, bajo una metodología de estimación deliberadamente conservadora que excluye todo beneficio no verificable, solo DC1 recupera la inversión dentro del horizonte de </w:t>
      </w:r>
      <w:commentRangeStart w:id="100"/>
      <w:r>
        <w:rPr>
          <w:rFonts w:ascii="Times New Roman" w:hAnsi="Times New Roman"/>
          <w:sz w:val="24"/>
        </w:rPr>
        <w:t xml:space="preserve">18 meses</w:t>
      </w:r>
      <w:commentRangeEnd w:id="100"/>
      <w:r>
        <w:rPr>
          <w:rStyle w:val="CommentReference"/>
        </w:rPr>
        <w:commentReference w:id="100"/>
      </w:r>
      <w:r>
        <w:rPr>
          <w:rFonts w:ascii="Times New Roman" w:hAnsi="Times New Roman"/>
          <w:sz w:val="24"/>
        </w:rPr>
        <w:t xml:space="preserve">. Esto no invalida la decisión ya tomada en la sección 5.1</w:t>
      </w:r>
      <w:commentRangeStart w:id="75"/>
      <w:r>
        <w:rPr>
          <w:rFonts w:ascii="Times New Roman" w:hAnsi="Times New Roman"/>
          <w:sz w:val="24"/>
        </w:rPr>
        <w:t xml:space="preserve"> del informe parcial</w:t>
      </w:r>
      <w:commentRangeEnd w:id="75"/>
      <w:r>
        <w:rPr>
          <w:rStyle w:val="CommentReference"/>
        </w:rPr>
        <w:commentReference w:id="75"/>
      </w:r>
      <w:r>
        <w:rPr>
          <w:rFonts w:ascii="Times New Roman" w:hAnsi="Times New Roman"/>
          <w:sz w:val="24"/>
        </w:rPr>
        <w:t xml:space="preserve"> de priorizar el desarrollo de DC3: esa decisión se sustentó en la disponibilidad de información y en el rol de DC3 como proceso ancla del proyecto, no en una proyección de retorno financiero de corto plazo. El resultado de DC2 y DC3 debe leerse como una advertencia metodológica más que como una recomendación de no invertir: ambas iniciativas concentran beneficios de tipo regulatorio, reputacional o de captación de clientes que el equipo no pudo cuantificar sin inventar cifras, y que representan la oportunidad de mejora más clara </w:t>
      </w:r>
      <w:commentRangeStart w:id="9"/>
      <w:r>
        <w:rPr>
          <w:rFonts w:ascii="Times New Roman" w:hAnsi="Times New Roman"/>
          <w:sz w:val="24"/>
        </w:rPr>
        <w:t xml:space="preserve">para los siguientes avances, que deberán cerrar el vacío de línea base mediante el levantamiento interno previsto en los primeros 90 días (secciones 4.3 y 4.4 del informe parcial) o la instrumentación directa del propio agente conversacional propuesto (secciones 5.2 y 5.4 del informe parcial)</w:t>
      </w:r>
      <w:commentRangeEnd w:id="9"/>
      <w:r>
        <w:rPr>
          <w:rStyle w:val="CommentReference"/>
        </w:rPr>
        <w:commentReference w:id="9"/>
      </w:r>
      <w:r>
        <w:rPr>
          <w:rFonts w:ascii="Times New Roman" w:hAnsi="Times New Roman"/>
          <w:sz w:val="24"/>
        </w:rPr>
        <w:t xml:space="preserve">.</w:t>
      </w:r>
    </w:p>
    <w:p>
      <w:pPr>
        <w:keepNext/>
        <w:spacing w:before="360" w:after="200"/>
      </w:pPr>
      <w:commentRangeStart w:id="187"/>
      <w:r>
        <w:rPr>
          <w:rFonts w:ascii="Times New Roman" w:hAnsi="Times New Roman"/>
          <w:b/>
          <w:color w:val="1F3864"/>
          <w:sz w:val="30"/>
        </w:rPr>
        <w:t>11. Referencias bibliográficas</w:t>
      </w:r>
      <w:commentRangeEnd w:id="187"/>
      <w:r>
        <w:rPr>
          <w:rStyle w:val="CommentReference"/>
        </w:rPr>
        <w:commentReference w:id="187"/>
      </w:r>
    </w:p>
    <w:p>
      <w:pPr>
        <w:spacing w:lineRule="auto" w:line="360" w:after="160"/>
        <w:ind w:left="709" w:hanging="709"/>
      </w:pPr>
      <w:r>
        <w:rPr>
          <w:rFonts w:ascii="Times New Roman" w:hAnsi="Times New Roman"/>
          <w:sz w:val="24"/>
        </w:rPr>
        <w:t xml:space="preserve">Abbasi, S. (2026, 11 de marzo). AI chatbots in banking: Cost breakdown and implementation timeline. </w:t>
      </w:r>
      <w:r>
        <w:rPr>
          <w:rFonts w:ascii="Times New Roman" w:hAnsi="Times New Roman"/>
          <w:i/>
          <w:sz w:val="24"/>
        </w:rPr>
        <w:t>TMCnet</w:t>
      </w:r>
      <w:r>
        <w:rPr>
          <w:rFonts w:ascii="Times New Roman" w:hAnsi="Times New Roman"/>
          <w:sz w:val="24"/>
        </w:rPr>
        <w:t xml:space="preserve">. </w:t>
      </w:r>
      <w:hyperlink r:id="rId11">
        <w:r>
          <w:rPr>
            <w:rFonts w:ascii="Times New Roman" w:hAnsi="Times New Roman"/>
            <w:sz w:val="24"/>
            <w:color w:val="0563C1"/>
            <w:u w:val="single"/>
          </w:rPr>
          <w:t>https://www.tmcnet.com/topics/articles/2026/03/11/463342-ai-chatbots-banking-cost-breakdown-implementation-timeline.htm</w:t>
        </w:r>
      </w:hyperlink>
    </w:p>
    <w:p>
      <w:pPr>
        <w:spacing w:lineRule="auto" w:line="360" w:after="160"/>
        <w:ind w:left="709" w:hanging="709"/>
      </w:pPr>
      <w:r>
        <w:rPr>
          <w:rFonts w:ascii="Times New Roman" w:hAnsi="Times New Roman"/>
          <w:sz w:val="24"/>
        </w:rPr>
        <w:t xml:space="preserve">Andina. (2025, 16 de abril). Indecopi: sistema financiero concentra 90 % de sanciones por operaciones no reconocidas. </w:t>
      </w:r>
      <w:r>
        <w:rPr>
          <w:rFonts w:ascii="Times New Roman" w:hAnsi="Times New Roman"/>
          <w:i/>
          <w:sz w:val="24"/>
        </w:rPr>
        <w:t>Agencia Peruana de Noticias Andina</w:t>
      </w:r>
      <w:r>
        <w:rPr>
          <w:rFonts w:ascii="Times New Roman" w:hAnsi="Times New Roman"/>
          <w:sz w:val="24"/>
        </w:rPr>
        <w:t xml:space="preserve">. </w:t>
      </w:r>
      <w:hyperlink r:id="rId13">
        <w:r>
          <w:rPr>
            <w:rFonts w:ascii="Times New Roman" w:hAnsi="Times New Roman"/>
            <w:sz w:val="24"/>
            <w:color w:val="0563C1"/>
            <w:u w:val="single"/>
          </w:rPr>
          <w:t>https://andina.pe/agencia/noticia-indecopi-sistema-financiero-concentra-90-sanciones-operaciones-no-reconocidas-1026373.aspx</w:t>
        </w:r>
      </w:hyperlink>
    </w:p>
    <w:p>
      <w:pPr>
        <w:spacing w:lineRule="auto" w:line="360" w:after="160"/>
        <w:ind w:left="709" w:hanging="709"/>
      </w:pPr>
      <w:r>
        <w:rPr>
          <w:rFonts w:ascii="Times New Roman" w:hAnsi="Times New Roman"/>
          <w:sz w:val="24"/>
        </w:rPr>
        <w:t xml:space="preserve">Backbase. </w:t>
      </w:r>
      <w:commentRangeStart w:id="171"/>
      <w:r>
        <w:rPr>
          <w:rFonts w:ascii="Times New Roman" w:hAnsi="Times New Roman"/>
          <w:sz w:val="24"/>
        </w:rPr>
        <w:t xml:space="preserve">(2026, 26 de mayo)</w:t>
      </w:r>
      <w:commentRangeEnd w:id="171"/>
      <w:r>
        <w:rPr>
          <w:rStyle w:val="CommentReference"/>
        </w:rPr>
        <w:commentReference w:id="171"/>
      </w:r>
      <w:r>
        <w:rPr>
          <w:rFonts w:ascii="Times New Roman" w:hAnsi="Times New Roman"/>
          <w:sz w:val="24"/>
        </w:rPr>
        <w:t xml:space="preserve">. AI banking dispute resolution automation. </w:t>
      </w:r>
      <w:hyperlink r:id="rId14">
        <w:r>
          <w:rPr>
            <w:rFonts w:ascii="Times New Roman" w:hAnsi="Times New Roman"/>
            <w:sz w:val="24"/>
            <w:color w:val="0563C1"/>
            <w:u w:val="single"/>
          </w:rPr>
          <w:t>https://www.backbase.com/blog/ai-banking-dispute-resolution-automation</w:t>
        </w:r>
      </w:hyperlink>
    </w:p>
    <w:p>
      <w:pPr>
        <w:spacing w:lineRule="auto" w:line="360" w:after="160"/>
        <w:ind w:left="709" w:hanging="709"/>
      </w:pPr>
      <w:r>
        <w:rPr>
          <w:rFonts w:ascii="Times New Roman" w:hAnsi="Times New Roman"/>
          <w:sz w:val="24"/>
        </w:rPr>
        <w:t xml:space="preserve">Banco BBVA Perú. </w:t>
      </w:r>
      <w:commentRangeStart w:id="172"/>
      <w:r>
        <w:rPr>
          <w:rFonts w:ascii="Times New Roman" w:hAnsi="Times New Roman"/>
          <w:sz w:val="24"/>
        </w:rPr>
        <w:t xml:space="preserve">(s. f.-a)</w:t>
      </w:r>
      <w:commentRangeEnd w:id="172"/>
      <w:r>
        <w:rPr>
          <w:rStyle w:val="CommentReference"/>
        </w:rPr>
        <w:commentReference w:id="172"/>
      </w:r>
      <w:r>
        <w:rPr>
          <w:rFonts w:ascii="Times New Roman" w:hAnsi="Times New Roman"/>
          <w:sz w:val="24"/>
        </w:rPr>
        <w:t xml:space="preserve">. Abrir Cuenta digital desde App. Recuperado el 26 de setiembre de 2026, de </w:t>
      </w:r>
      <w:hyperlink r:id="rId23">
        <w:r>
          <w:rPr>
            <w:rFonts w:ascii="Times New Roman" w:hAnsi="Times New Roman"/>
            <w:sz w:val="24"/>
            <w:color w:val="0563C1"/>
            <w:u w:val="single"/>
          </w:rPr>
          <w:t>https://www.bbva.pe/personas/productos/cuentas/ahorro/cuenta-digital/abrir-cuenta-app.html</w:t>
        </w:r>
      </w:hyperlink>
    </w:p>
    <w:p>
      <w:pPr>
        <w:spacing w:lineRule="auto" w:line="360" w:after="160"/>
        <w:ind w:left="709" w:hanging="709"/>
      </w:pPr>
      <w:r>
        <w:rPr>
          <w:rFonts w:ascii="Times New Roman" w:hAnsi="Times New Roman"/>
          <w:sz w:val="24"/>
        </w:rPr>
        <w:t xml:space="preserve">Banco BBVA Perú. </w:t>
      </w:r>
      <w:commentRangeStart w:id="173"/>
      <w:r>
        <w:rPr>
          <w:rFonts w:ascii="Times New Roman" w:hAnsi="Times New Roman"/>
          <w:sz w:val="24"/>
        </w:rPr>
        <w:t xml:space="preserve">(s. f.-f)</w:t>
      </w:r>
      <w:commentRangeEnd w:id="173"/>
      <w:r>
        <w:rPr>
          <w:rStyle w:val="CommentReference"/>
        </w:rPr>
        <w:commentReference w:id="173"/>
      </w:r>
      <w:r>
        <w:rPr>
          <w:rFonts w:ascii="Times New Roman" w:hAnsi="Times New Roman"/>
          <w:sz w:val="24"/>
        </w:rPr>
        <w:t xml:space="preserve">. Estado de tu caso. Recuperado el 26 de setiembre de 2026, de </w:t>
      </w:r>
      <w:hyperlink r:id="rId22">
        <w:r>
          <w:rPr>
            <w:rFonts w:ascii="Times New Roman" w:hAnsi="Times New Roman"/>
            <w:sz w:val="24"/>
            <w:color w:val="0563C1"/>
            <w:u w:val="single"/>
          </w:rPr>
          <w:t>https://www.bbva.pe/personas/sos-cliente/consulta-de-reclamos.html</w:t>
        </w:r>
      </w:hyperlink>
    </w:p>
    <w:p>
      <w:pPr>
        <w:spacing w:lineRule="auto" w:line="360" w:after="160"/>
        <w:ind w:left="709" w:hanging="709"/>
      </w:pPr>
      <w:r>
        <w:rPr>
          <w:rFonts w:ascii="Times New Roman" w:hAnsi="Times New Roman"/>
          <w:sz w:val="24"/>
        </w:rPr>
        <w:t xml:space="preserve">Banco BBVA Perú. </w:t>
      </w:r>
      <w:commentRangeStart w:id="174"/>
      <w:r>
        <w:rPr>
          <w:rFonts w:ascii="Times New Roman" w:hAnsi="Times New Roman"/>
          <w:sz w:val="24"/>
        </w:rPr>
        <w:t xml:space="preserve">(s. f.-i)</w:t>
      </w:r>
      <w:commentRangeEnd w:id="174"/>
      <w:r>
        <w:rPr>
          <w:rStyle w:val="CommentReference"/>
        </w:rPr>
        <w:commentReference w:id="174"/>
      </w:r>
      <w:r>
        <w:rPr>
          <w:rFonts w:ascii="Times New Roman" w:hAnsi="Times New Roman"/>
          <w:sz w:val="24"/>
        </w:rPr>
        <w:t xml:space="preserve">. Línea de Préstamo Digital. Recuperado el 26 de setiembre de 2026, de </w:t>
      </w:r>
      <w:hyperlink r:id="rId18">
        <w:r>
          <w:rPr>
            <w:rFonts w:ascii="Times New Roman" w:hAnsi="Times New Roman"/>
            <w:sz w:val="24"/>
            <w:color w:val="0563C1"/>
            <w:u w:val="single"/>
          </w:rPr>
          <w:t>https://www.bbva.pe/empresas/productos/financiamiento/prestamos-comerciales/linea-de-prestamo-digital.html</w:t>
        </w:r>
      </w:hyperlink>
    </w:p>
    <w:p>
      <w:pPr>
        <w:spacing w:lineRule="auto" w:line="360" w:after="160"/>
        <w:ind w:left="709" w:hanging="709"/>
      </w:pPr>
      <w:r>
        <w:rPr>
          <w:rFonts w:ascii="Times New Roman" w:hAnsi="Times New Roman"/>
          <w:sz w:val="24"/>
        </w:rPr>
        <w:t xml:space="preserve">Banco BBVA Perú. </w:t>
      </w:r>
      <w:commentRangeStart w:id="175"/>
      <w:r>
        <w:rPr>
          <w:rFonts w:ascii="Times New Roman" w:hAnsi="Times New Roman"/>
          <w:sz w:val="24"/>
        </w:rPr>
        <w:t xml:space="preserve">(s. f.-j)</w:t>
      </w:r>
      <w:commentRangeEnd w:id="175"/>
      <w:r>
        <w:rPr>
          <w:rStyle w:val="CommentReference"/>
        </w:rPr>
        <w:commentReference w:id="175"/>
      </w:r>
      <w:r>
        <w:rPr>
          <w:rFonts w:ascii="Times New Roman" w:hAnsi="Times New Roman"/>
          <w:sz w:val="24"/>
        </w:rPr>
        <w:t xml:space="preserve">. Línea Préstamo Digital Persona Jurídica. Recuperado el 26 de setiembre de 2026, de </w:t>
      </w:r>
      <w:hyperlink r:id="rId19">
        <w:r>
          <w:rPr>
            <w:rFonts w:ascii="Times New Roman" w:hAnsi="Times New Roman"/>
            <w:sz w:val="24"/>
            <w:color w:val="0563C1"/>
            <w:u w:val="single"/>
          </w:rPr>
          <w:t>https://www.bbva.pe/empresas/productos/financiamiento/prestamos-comerciales/linea-prestamo-digital-persona-juridica.html</w:t>
        </w:r>
      </w:hyperlink>
    </w:p>
    <w:p>
      <w:pPr>
        <w:spacing w:lineRule="auto" w:line="360" w:after="160"/>
        <w:ind w:left="709" w:hanging="709"/>
      </w:pPr>
      <w:r>
        <w:rPr>
          <w:rFonts w:ascii="Times New Roman" w:hAnsi="Times New Roman"/>
          <w:sz w:val="24"/>
        </w:rPr>
        <w:t xml:space="preserve">Banco BBVA Perú. </w:t>
      </w:r>
      <w:commentRangeStart w:id="176"/>
      <w:r>
        <w:rPr>
          <w:rFonts w:ascii="Times New Roman" w:hAnsi="Times New Roman"/>
          <w:sz w:val="24"/>
        </w:rPr>
        <w:t xml:space="preserve">(s. f.-k)</w:t>
      </w:r>
      <w:commentRangeEnd w:id="176"/>
      <w:r>
        <w:rPr>
          <w:rStyle w:val="CommentReference"/>
        </w:rPr>
        <w:commentReference w:id="176"/>
      </w:r>
      <w:r>
        <w:rPr>
          <w:rFonts w:ascii="Times New Roman" w:hAnsi="Times New Roman"/>
          <w:sz w:val="24"/>
        </w:rPr>
        <w:t xml:space="preserve">. Preguntas frecuentes sobre cuentas de ahorro. Recuperado el 26 de setiembre de 2026, de </w:t>
      </w:r>
      <w:hyperlink r:id="rId24">
        <w:r>
          <w:rPr>
            <w:rFonts w:ascii="Times New Roman" w:hAnsi="Times New Roman"/>
            <w:sz w:val="24"/>
            <w:color w:val="0563C1"/>
            <w:u w:val="single"/>
          </w:rPr>
          <w:t>https://www.bbva.pe/personas/productos/cuentas/ahorro/preguntas-frecuentes-sobre-cuentas-de-ahorro.html</w:t>
        </w:r>
      </w:hyperlink>
    </w:p>
    <w:p>
      <w:pPr>
        <w:spacing w:lineRule="auto" w:line="360" w:after="160"/>
        <w:ind w:left="709" w:hanging="709"/>
      </w:pPr>
      <w:r>
        <w:rPr>
          <w:rFonts w:ascii="Times New Roman" w:hAnsi="Times New Roman"/>
          <w:sz w:val="24"/>
        </w:rPr>
        <w:t xml:space="preserve">Banco BBVA Perú. </w:t>
      </w:r>
      <w:commentRangeStart w:id="177"/>
      <w:r>
        <w:rPr>
          <w:rFonts w:ascii="Times New Roman" w:hAnsi="Times New Roman"/>
          <w:sz w:val="24"/>
        </w:rPr>
        <w:t xml:space="preserve">(s. f.-l)</w:t>
      </w:r>
      <w:commentRangeEnd w:id="177"/>
      <w:r>
        <w:rPr>
          <w:rStyle w:val="CommentReference"/>
        </w:rPr>
        <w:commentReference w:id="177"/>
      </w:r>
      <w:r>
        <w:rPr>
          <w:rFonts w:ascii="Times New Roman" w:hAnsi="Times New Roman"/>
          <w:sz w:val="24"/>
        </w:rPr>
        <w:t xml:space="preserve">. Préstamo digital negocio. Recuperado el 12 de setiembre de 2026, de </w:t>
      </w:r>
      <w:hyperlink r:id="rId17">
        <w:r>
          <w:rPr>
            <w:rFonts w:ascii="Times New Roman" w:hAnsi="Times New Roman"/>
            <w:sz w:val="24"/>
            <w:color w:val="0563C1"/>
            <w:u w:val="single"/>
          </w:rPr>
          <w:t>https://www.bbva.pe/pymes/productos/financiamiento/prestamo-digital-negocio.html</w:t>
        </w:r>
      </w:hyperlink>
    </w:p>
    <w:p>
      <w:pPr>
        <w:spacing w:lineRule="auto" w:line="360" w:after="160"/>
        <w:ind w:left="709" w:hanging="709"/>
      </w:pPr>
      <w:r>
        <w:rPr>
          <w:rFonts w:ascii="Times New Roman" w:hAnsi="Times New Roman"/>
          <w:sz w:val="24"/>
        </w:rPr>
        <w:t xml:space="preserve">Banco BBVA Perú. (2025). </w:t>
      </w:r>
      <w:r>
        <w:rPr>
          <w:rFonts w:ascii="Times New Roman" w:hAnsi="Times New Roman"/>
          <w:i/>
          <w:sz w:val="24"/>
        </w:rPr>
        <w:t>Informe de gerencia: Cuarto trimestre 2025</w:t>
      </w:r>
      <w:r>
        <w:rPr>
          <w:rFonts w:ascii="Times New Roman" w:hAnsi="Times New Roman"/>
          <w:sz w:val="24"/>
        </w:rPr>
        <w:t xml:space="preserve">. </w:t>
      </w:r>
      <w:hyperlink r:id="rId28">
        <w:r>
          <w:rPr>
            <w:rFonts w:ascii="Times New Roman" w:hAnsi="Times New Roman"/>
            <w:sz w:val="24"/>
            <w:color w:val="0563C1"/>
            <w:u w:val="single"/>
          </w:rPr>
          <w:t>https://www.bbva.pe/content/dam/public-web/peru/documents/personas/investor-relations/BBVA_Peru_Informe_de_Gestion_4Q25.pdf</w:t>
        </w:r>
      </w:hyperlink>
    </w:p>
    <w:p>
      <w:pPr>
        <w:spacing w:lineRule="auto" w:line="360" w:after="160"/>
        <w:ind w:left="709" w:hanging="709"/>
      </w:pPr>
      <w:r>
        <w:rPr>
          <w:rFonts w:ascii="Times New Roman" w:hAnsi="Times New Roman"/>
          <w:sz w:val="24"/>
        </w:rPr>
        <w:t xml:space="preserve">Banco BBVA Perú. </w:t>
      </w:r>
      <w:commentRangeStart w:id="178"/>
      <w:r>
        <w:rPr>
          <w:rFonts w:ascii="Times New Roman" w:hAnsi="Times New Roman"/>
          <w:sz w:val="24"/>
        </w:rPr>
        <w:t xml:space="preserve">(2026a, abril)</w:t>
      </w:r>
      <w:commentRangeEnd w:id="178"/>
      <w:r>
        <w:rPr>
          <w:rStyle w:val="CommentReference"/>
        </w:rPr>
        <w:commentReference w:id="178"/>
      </w:r>
      <w:r>
        <w:rPr>
          <w:rFonts w:ascii="Times New Roman" w:hAnsi="Times New Roman"/>
          <w:sz w:val="24"/>
        </w:rPr>
        <w:t xml:space="preserve">. </w:t>
      </w:r>
      <w:r>
        <w:rPr>
          <w:rFonts w:ascii="Times New Roman" w:hAnsi="Times New Roman"/>
          <w:i/>
          <w:sz w:val="24"/>
        </w:rPr>
        <w:t>Información de reclamos atendidos: Periodo del 1 al 30 de abril de 2026</w:t>
      </w:r>
      <w:r>
        <w:rPr>
          <w:rFonts w:ascii="Times New Roman" w:hAnsi="Times New Roman"/>
          <w:sz w:val="24"/>
        </w:rPr>
        <w:t xml:space="preserve">. </w:t>
      </w:r>
      <w:hyperlink r:id="rId31">
        <w:r>
          <w:rPr>
            <w:rFonts w:ascii="Times New Roman" w:hAnsi="Times New Roman"/>
            <w:sz w:val="24"/>
            <w:color w:val="0563C1"/>
            <w:u w:val="single"/>
          </w:rPr>
          <w:t>https://www.bbva.pe/content/dam/public-web/peru/documents/personas/informacion-reclamos-atendidos-abril-2026.pdf</w:t>
        </w:r>
      </w:hyperlink>
    </w:p>
    <w:p>
      <w:pPr>
        <w:spacing w:lineRule="auto" w:line="360" w:after="160"/>
        <w:ind w:left="709" w:hanging="709"/>
      </w:pPr>
      <w:r>
        <w:rPr>
          <w:rFonts w:ascii="Times New Roman" w:hAnsi="Times New Roman"/>
          <w:sz w:val="24"/>
        </w:rPr>
        <w:t xml:space="preserve">Banco BBVA Perú. </w:t>
      </w:r>
      <w:commentRangeStart w:id="179"/>
      <w:r>
        <w:rPr>
          <w:rFonts w:ascii="Times New Roman" w:hAnsi="Times New Roman"/>
          <w:sz w:val="24"/>
        </w:rPr>
        <w:t xml:space="preserve">(2026b, mayo)</w:t>
      </w:r>
      <w:commentRangeEnd w:id="179"/>
      <w:r>
        <w:rPr>
          <w:rStyle w:val="CommentReference"/>
        </w:rPr>
        <w:commentReference w:id="179"/>
      </w:r>
      <w:r>
        <w:rPr>
          <w:rFonts w:ascii="Times New Roman" w:hAnsi="Times New Roman"/>
          <w:sz w:val="24"/>
        </w:rPr>
        <w:t xml:space="preserve">. </w:t>
      </w:r>
      <w:r>
        <w:rPr>
          <w:rFonts w:ascii="Times New Roman" w:hAnsi="Times New Roman"/>
          <w:i/>
          <w:sz w:val="24"/>
        </w:rPr>
        <w:t>Información de reclamos atendidos: Periodo del 1 al 31 de mayo de 2026</w:t>
      </w:r>
      <w:r>
        <w:rPr>
          <w:rFonts w:ascii="Times New Roman" w:hAnsi="Times New Roman"/>
          <w:sz w:val="24"/>
        </w:rPr>
        <w:t xml:space="preserve">. </w:t>
      </w:r>
      <w:hyperlink r:id="rId32">
        <w:r>
          <w:rPr>
            <w:rFonts w:ascii="Times New Roman" w:hAnsi="Times New Roman"/>
            <w:sz w:val="24"/>
            <w:color w:val="0563C1"/>
            <w:u w:val="single"/>
          </w:rPr>
          <w:t>https://www.bbva.pe/content/dam/public-web/peru/documents/personas/Informacion_de_Reclamos_Atendidos_Mayo_2026.pdf</w:t>
        </w:r>
      </w:hyperlink>
    </w:p>
    <w:p>
      <w:pPr>
        <w:spacing w:lineRule="auto" w:line="360" w:after="160"/>
        <w:ind w:left="709" w:hanging="709"/>
      </w:pPr>
      <w:r>
        <w:rPr>
          <w:rFonts w:ascii="Times New Roman" w:hAnsi="Times New Roman"/>
          <w:sz w:val="24"/>
        </w:rPr>
        <w:t xml:space="preserve">Banco BBVA Perú. </w:t>
      </w:r>
      <w:commentRangeStart w:id="180"/>
      <w:r>
        <w:rPr>
          <w:rFonts w:ascii="Times New Roman" w:hAnsi="Times New Roman"/>
          <w:sz w:val="24"/>
        </w:rPr>
        <w:t xml:space="preserve">(2026c, junio)</w:t>
      </w:r>
      <w:commentRangeEnd w:id="180"/>
      <w:r>
        <w:rPr>
          <w:rStyle w:val="CommentReference"/>
        </w:rPr>
        <w:commentReference w:id="180"/>
      </w:r>
      <w:r>
        <w:rPr>
          <w:rFonts w:ascii="Times New Roman" w:hAnsi="Times New Roman"/>
          <w:sz w:val="24"/>
        </w:rPr>
        <w:t xml:space="preserve">. </w:t>
      </w:r>
      <w:r>
        <w:rPr>
          <w:rFonts w:ascii="Times New Roman" w:hAnsi="Times New Roman"/>
          <w:i/>
          <w:sz w:val="24"/>
        </w:rPr>
        <w:t>Información de reclamos atendidos: Periodo del 1 al 30 de junio de 2026</w:t>
      </w:r>
      <w:r>
        <w:rPr>
          <w:rFonts w:ascii="Times New Roman" w:hAnsi="Times New Roman"/>
          <w:sz w:val="24"/>
        </w:rPr>
        <w:t xml:space="preserve">. </w:t>
      </w:r>
      <w:hyperlink r:id="rId33">
        <w:r>
          <w:rPr>
            <w:rFonts w:ascii="Times New Roman" w:hAnsi="Times New Roman"/>
            <w:sz w:val="24"/>
            <w:color w:val="0563C1"/>
            <w:u w:val="single"/>
          </w:rPr>
          <w:t>https://www.bbva.pe/content/dam/public-web/peru/documents/personas/Informacion_de_Reclamos_atendidos_Junio2026.pdf</w:t>
        </w:r>
      </w:hyperlink>
    </w:p>
    <w:p>
      <w:pPr>
        <w:spacing w:lineRule="auto" w:line="360" w:after="160"/>
        <w:ind w:left="709" w:hanging="709"/>
      </w:pPr>
      <w:r>
        <w:rPr>
          <w:rFonts w:ascii="Times New Roman" w:hAnsi="Times New Roman"/>
          <w:sz w:val="24"/>
        </w:rPr>
        <w:t xml:space="preserve">Banco BBVA Perú. </w:t>
      </w:r>
      <w:commentRangeStart w:id="181"/>
      <w:r>
        <w:rPr>
          <w:rFonts w:ascii="Times New Roman" w:hAnsi="Times New Roman"/>
          <w:sz w:val="24"/>
        </w:rPr>
        <w:t xml:space="preserve">(2026d, julio)</w:t>
      </w:r>
      <w:commentRangeEnd w:id="181"/>
      <w:r>
        <w:rPr>
          <w:rStyle w:val="CommentReference"/>
        </w:rPr>
        <w:commentReference w:id="181"/>
      </w:r>
      <w:r>
        <w:rPr>
          <w:rFonts w:ascii="Times New Roman" w:hAnsi="Times New Roman"/>
          <w:sz w:val="24"/>
        </w:rPr>
        <w:t xml:space="preserve">. </w:t>
      </w:r>
      <w:r>
        <w:rPr>
          <w:rFonts w:ascii="Times New Roman" w:hAnsi="Times New Roman"/>
          <w:i/>
          <w:sz w:val="24"/>
        </w:rPr>
        <w:t>Información de reclamos atendidos: Periodo del 1 al 31 de julio de 2026</w:t>
      </w:r>
      <w:r>
        <w:rPr>
          <w:rFonts w:ascii="Times New Roman" w:hAnsi="Times New Roman"/>
          <w:sz w:val="24"/>
        </w:rPr>
        <w:t xml:space="preserve">. </w:t>
      </w:r>
      <w:hyperlink r:id="rId34">
        <w:r>
          <w:rPr>
            <w:rFonts w:ascii="Times New Roman" w:hAnsi="Times New Roman"/>
            <w:sz w:val="24"/>
            <w:color w:val="0563C1"/>
            <w:u w:val="single"/>
          </w:rPr>
          <w:t>https://www.bbva.pe/content/dam/public-web/peru/documents/personas/Informacion_de_Reclamos_Atendidos_Julio_2026.pdf</w:t>
        </w:r>
      </w:hyperlink>
    </w:p>
    <w:p>
      <w:pPr>
        <w:spacing w:lineRule="auto" w:line="360" w:after="160"/>
        <w:ind w:left="709" w:hanging="709"/>
      </w:pPr>
      <w:r>
        <w:rPr>
          <w:rFonts w:ascii="Times New Roman" w:hAnsi="Times New Roman"/>
          <w:sz w:val="24"/>
        </w:rPr>
        <w:t xml:space="preserve">Banco BBVA Perú. </w:t>
      </w:r>
      <w:commentRangeStart w:id="182"/>
      <w:r>
        <w:rPr>
          <w:rFonts w:ascii="Times New Roman" w:hAnsi="Times New Roman"/>
          <w:sz w:val="24"/>
        </w:rPr>
        <w:t xml:space="preserve">(2026e, agosto)</w:t>
      </w:r>
      <w:commentRangeEnd w:id="182"/>
      <w:r>
        <w:rPr>
          <w:rStyle w:val="CommentReference"/>
        </w:rPr>
        <w:commentReference w:id="182"/>
      </w:r>
      <w:r>
        <w:rPr>
          <w:rFonts w:ascii="Times New Roman" w:hAnsi="Times New Roman"/>
          <w:sz w:val="24"/>
        </w:rPr>
        <w:t xml:space="preserve">. </w:t>
      </w:r>
      <w:r>
        <w:rPr>
          <w:rFonts w:ascii="Times New Roman" w:hAnsi="Times New Roman"/>
          <w:i/>
          <w:sz w:val="24"/>
        </w:rPr>
        <w:t>Información de reclamos atendidos: Periodo del 1 al 31 de agosto de 2026</w:t>
      </w:r>
      <w:r>
        <w:rPr>
          <w:rFonts w:ascii="Times New Roman" w:hAnsi="Times New Roman"/>
          <w:sz w:val="24"/>
        </w:rPr>
        <w:t xml:space="preserve">. </w:t>
      </w:r>
      <w:hyperlink r:id="rId35">
        <w:r>
          <w:rPr>
            <w:rFonts w:ascii="Times New Roman" w:hAnsi="Times New Roman"/>
            <w:sz w:val="24"/>
            <w:color w:val="0563C1"/>
            <w:u w:val="single"/>
          </w:rPr>
          <w:t>https://www.bbva.pe/content/dam/public-web/peru/documents/personas/Informacion_de_Reclamos_Atendidos_Agosto2026.pdf</w:t>
        </w:r>
      </w:hyperlink>
    </w:p>
    <w:p>
      <w:pPr>
        <w:spacing w:lineRule="auto" w:line="360" w:after="160"/>
        <w:ind w:left="709" w:hanging="709"/>
      </w:pPr>
      <w:r>
        <w:rPr>
          <w:rFonts w:ascii="Times New Roman" w:hAnsi="Times New Roman"/>
          <w:sz w:val="24"/>
        </w:rPr>
        <w:t xml:space="preserve">Banco BBVA Perú. </w:t>
      </w:r>
      <w:commentRangeStart w:id="183"/>
      <w:r>
        <w:rPr>
          <w:rFonts w:ascii="Times New Roman" w:hAnsi="Times New Roman"/>
          <w:sz w:val="24"/>
        </w:rPr>
        <w:t xml:space="preserve">(2026f)</w:t>
      </w:r>
      <w:commentRangeEnd w:id="183"/>
      <w:r>
        <w:rPr>
          <w:rStyle w:val="CommentReference"/>
        </w:rPr>
        <w:commentReference w:id="183"/>
      </w:r>
      <w:r>
        <w:rPr>
          <w:rFonts w:ascii="Times New Roman" w:hAnsi="Times New Roman"/>
          <w:sz w:val="24"/>
        </w:rPr>
        <w:t xml:space="preserve">. </w:t>
      </w:r>
      <w:r>
        <w:rPr>
          <w:rFonts w:ascii="Times New Roman" w:hAnsi="Times New Roman"/>
          <w:i/>
          <w:sz w:val="24"/>
        </w:rPr>
        <w:t>Informe de gerencia: Segundo trimestre 2026</w:t>
      </w:r>
      <w:r>
        <w:rPr>
          <w:rFonts w:ascii="Times New Roman" w:hAnsi="Times New Roman"/>
          <w:sz w:val="24"/>
        </w:rPr>
        <w:t xml:space="preserve">. </w:t>
      </w:r>
      <w:hyperlink r:id="rId29">
        <w:r>
          <w:rPr>
            <w:rFonts w:ascii="Times New Roman" w:hAnsi="Times New Roman"/>
            <w:sz w:val="24"/>
            <w:color w:val="0563C1"/>
            <w:u w:val="single"/>
          </w:rPr>
          <w:t>https://www.bbva.pe/content/dam/public-web/peru/documents/prefooter/informacion-financiera/informacion-anual/2026/informe-de-gestion-2T2026.pdf</w:t>
        </w:r>
      </w:hyperlink>
    </w:p>
    <w:p>
      <w:pPr>
        <w:spacing w:lineRule="auto" w:line="360" w:after="160"/>
        <w:ind w:left="709" w:hanging="709"/>
      </w:pPr>
      <w:r>
        <w:rPr>
          <w:rFonts w:ascii="Times New Roman" w:hAnsi="Times New Roman"/>
          <w:sz w:val="24"/>
        </w:rPr>
        <w:t xml:space="preserve">Decreto Supremo </w:t>
      </w:r>
      <w:commentRangeStart w:id="165"/>
      <w:r>
        <w:rPr>
          <w:rFonts w:ascii="Times New Roman" w:hAnsi="Times New Roman"/>
          <w:sz w:val="24"/>
        </w:rPr>
        <w:t xml:space="preserve">N.º</w:t>
      </w:r>
      <w:commentRangeEnd w:id="165"/>
      <w:r>
        <w:rPr>
          <w:rStyle w:val="CommentReference"/>
        </w:rPr>
        <w:commentReference w:id="165"/>
      </w:r>
      <w:r>
        <w:rPr>
          <w:rFonts w:ascii="Times New Roman" w:hAnsi="Times New Roman"/>
          <w:sz w:val="24"/>
        </w:rPr>
        <w:t xml:space="preserve"> 115-2025-PCM. (2025, 9 de setiembre). Decreto Supremo que aprueba el Reglamento de la Ley </w:t>
      </w:r>
      <w:commentRangeStart w:id="166"/>
      <w:r>
        <w:rPr>
          <w:rFonts w:ascii="Times New Roman" w:hAnsi="Times New Roman"/>
          <w:sz w:val="24"/>
        </w:rPr>
        <w:t xml:space="preserve">N.º</w:t>
      </w:r>
      <w:commentRangeEnd w:id="166"/>
      <w:r>
        <w:rPr>
          <w:rStyle w:val="CommentReference"/>
        </w:rPr>
        <w:commentReference w:id="166"/>
      </w:r>
      <w:r>
        <w:rPr>
          <w:rFonts w:ascii="Times New Roman" w:hAnsi="Times New Roman"/>
          <w:sz w:val="24"/>
        </w:rPr>
        <w:t xml:space="preserve"> 31814, Ley que promueve el uso de la inteligencia artificial en favor del desarrollo económico y social del país. </w:t>
      </w:r>
      <w:r>
        <w:rPr>
          <w:rFonts w:ascii="Times New Roman" w:hAnsi="Times New Roman"/>
          <w:i/>
          <w:sz w:val="24"/>
        </w:rPr>
        <w:t>Diario Oficial El Peruano</w:t>
      </w:r>
      <w:r>
        <w:rPr>
          <w:rFonts w:ascii="Times New Roman" w:hAnsi="Times New Roman"/>
          <w:sz w:val="24"/>
        </w:rPr>
        <w:t xml:space="preserve">. </w:t>
      </w:r>
      <w:hyperlink r:id="rId42">
        <w:r>
          <w:rPr>
            <w:rFonts w:ascii="Times New Roman" w:hAnsi="Times New Roman"/>
            <w:sz w:val="24"/>
            <w:color w:val="0563C1"/>
            <w:u w:val="single"/>
          </w:rPr>
          <w:t>https://busquedas.elperuano.pe/dispositivo/NL/2436426-1</w:t>
        </w:r>
      </w:hyperlink>
    </w:p>
    <w:p>
      <w:pPr>
        <w:spacing w:lineRule="auto" w:line="360" w:after="160"/>
        <w:ind w:left="709" w:hanging="709"/>
      </w:pPr>
      <w:commentRangeStart w:id="184"/>
      <w:r>
        <w:rPr>
          <w:rFonts w:ascii="Times New Roman" w:hAnsi="Times New Roman"/>
          <w:sz w:val="24"/>
        </w:rPr>
        <w:t xml:space="preserve">Gestión. (2026, 6 de octubre). Tipo de cambio baja hoy en Perú: ¿En cuánto cerró el dólar este martes 6 de octubre? </w:t>
      </w:r>
      <w:commentRangeEnd w:id="184"/>
      <w:r>
        <w:rPr>
          <w:rStyle w:val="CommentReference"/>
        </w:rPr>
        <w:commentReference w:id="184"/>
      </w:r>
      <w:hyperlink r:id="rId43">
        <w:r>
          <w:rPr>
            <w:rFonts w:ascii="Times New Roman" w:hAnsi="Times New Roman"/>
            <w:sz w:val="24"/>
            <w:color w:val="0563C1"/>
            <w:u w:val="single"/>
          </w:rPr>
          <w:t>https://gestion.pe/economia/mercados/tipo-de-cambio-dolar-hoy-en-peru-cuanto-esta-el-precio-del-dolar-este-martes-6-de-octubre-dolares-a-soles-compra-y-venta-bcrp-noticia/</w:t>
        </w:r>
      </w:hyperlink>
    </w:p>
    <w:p>
      <w:pPr>
        <w:spacing w:lineRule="auto" w:line="360" w:after="160"/>
        <w:ind w:left="709" w:hanging="709"/>
      </w:pPr>
      <w:r>
        <w:rPr>
          <w:rFonts w:ascii="Times New Roman" w:hAnsi="Times New Roman"/>
          <w:sz w:val="24"/>
        </w:rPr>
        <w:t xml:space="preserve">Kore.ai. (2026, 20 de febrero). AI agents in finance and banking: 12 proven use cases (2026). </w:t>
      </w:r>
      <w:hyperlink r:id="rId46">
        <w:r>
          <w:rPr>
            <w:rFonts w:ascii="Times New Roman" w:hAnsi="Times New Roman"/>
            <w:sz w:val="24"/>
            <w:color w:val="0563C1"/>
            <w:u w:val="single"/>
          </w:rPr>
          <w:t>https://www.kore.ai/blog/ai-agents-in-finance-banking-12-proven-use-cases-2026</w:t>
        </w:r>
      </w:hyperlink>
    </w:p>
    <w:p>
      <w:pPr>
        <w:spacing w:lineRule="auto" w:line="360" w:after="160"/>
        <w:ind w:left="709" w:hanging="709"/>
      </w:pPr>
      <w:r>
        <w:rPr>
          <w:rFonts w:ascii="Times New Roman" w:hAnsi="Times New Roman"/>
          <w:sz w:val="24"/>
        </w:rPr>
        <w:t xml:space="preserve">Melo, Y. (2026, 24 de marzo). Solo 1 de cada 4 mypes accede a crédito y paga más por falta de información financiera. </w:t>
      </w:r>
      <w:r>
        <w:rPr>
          <w:rFonts w:ascii="Times New Roman" w:hAnsi="Times New Roman"/>
          <w:i/>
          <w:sz w:val="24"/>
        </w:rPr>
        <w:t>Infobae</w:t>
      </w:r>
      <w:r>
        <w:rPr>
          <w:rFonts w:ascii="Times New Roman" w:hAnsi="Times New Roman"/>
          <w:sz w:val="24"/>
        </w:rPr>
        <w:t xml:space="preserve">. </w:t>
      </w:r>
      <w:hyperlink r:id="rId48">
        <w:r>
          <w:rPr>
            <w:rFonts w:ascii="Times New Roman" w:hAnsi="Times New Roman"/>
            <w:sz w:val="24"/>
            <w:color w:val="0563C1"/>
            <w:u w:val="single"/>
          </w:rPr>
          <w:t>https://www.infobae.com/peru/2026/03/24/solo-1-de-cada-4-mypes-accede-a-credito-y-paga-mas-por-falta-de-informacion-financiera/</w:t>
        </w:r>
      </w:hyperlink>
    </w:p>
    <w:p>
      <w:pPr>
        <w:spacing w:lineRule="auto" w:line="360" w:after="160"/>
        <w:ind w:left="709" w:hanging="709"/>
      </w:pPr>
      <w:r>
        <w:rPr>
          <w:rFonts w:ascii="Times New Roman" w:hAnsi="Times New Roman"/>
          <w:sz w:val="24"/>
        </w:rPr>
        <w:t xml:space="preserve">Ramírez Huancayo, Z. (2026, 14 de setiembre). Habrá más control a créditos bancarios que se otorguen con IA, ¿qué ganarán clientes? </w:t>
      </w:r>
      <w:r>
        <w:rPr>
          <w:rFonts w:ascii="Times New Roman" w:hAnsi="Times New Roman"/>
          <w:i/>
          <w:sz w:val="24"/>
        </w:rPr>
        <w:t>Gestión</w:t>
      </w:r>
      <w:r>
        <w:rPr>
          <w:rFonts w:ascii="Times New Roman" w:hAnsi="Times New Roman"/>
          <w:sz w:val="24"/>
        </w:rPr>
        <w:t xml:space="preserve">. </w:t>
      </w:r>
      <w:hyperlink r:id="rId52">
        <w:r>
          <w:rPr>
            <w:rFonts w:ascii="Times New Roman" w:hAnsi="Times New Roman"/>
            <w:sz w:val="24"/>
            <w:color w:val="0563C1"/>
            <w:u w:val="single"/>
          </w:rPr>
          <w:t>https://gestion.pe/economia/empresas/habra-mas-control-a-creditos-bancarios-que-se-otorguen-con-ia-que-ganaran-clientes-noticia/</w:t>
        </w:r>
      </w:hyperlink>
    </w:p>
    <w:p>
      <w:pPr>
        <w:spacing w:lineRule="auto" w:line="360" w:after="160"/>
        <w:ind w:left="709" w:hanging="709"/>
      </w:pPr>
      <w:r>
        <w:rPr>
          <w:rFonts w:ascii="Times New Roman" w:hAnsi="Times New Roman"/>
          <w:sz w:val="24"/>
        </w:rPr>
        <w:t xml:space="preserve">Reusche, I. (2026, 4 de agosto). BBVA en Perú alcanza una facturación trimestral histórica en el segmento Pymes con 48 % de crecimiento versus 2025. </w:t>
      </w:r>
      <w:r>
        <w:rPr>
          <w:rFonts w:ascii="Times New Roman" w:hAnsi="Times New Roman"/>
          <w:i/>
          <w:sz w:val="24"/>
        </w:rPr>
        <w:t>BBVA</w:t>
      </w:r>
      <w:r>
        <w:rPr>
          <w:rFonts w:ascii="Times New Roman" w:hAnsi="Times New Roman"/>
          <w:sz w:val="24"/>
        </w:rPr>
        <w:t xml:space="preserve">. </w:t>
      </w:r>
      <w:hyperlink r:id="rId56">
        <w:r>
          <w:rPr>
            <w:rFonts w:ascii="Times New Roman" w:hAnsi="Times New Roman"/>
            <w:sz w:val="24"/>
            <w:color w:val="0563C1"/>
            <w:u w:val="single"/>
          </w:rPr>
          <w:t>https://www.bbva.com/es/pe/empresas/bbva-en-peru-alcanza-una-facturacion-trimestral-historica-en-el-segmento-pymes-con-48-de-crecimiento-versus-2025/</w:t>
        </w:r>
      </w:hyperlink>
    </w:p>
    <w:p>
      <w:pPr>
        <w:spacing w:lineRule="auto" w:line="360" w:after="160"/>
        <w:ind w:left="709" w:hanging="709"/>
      </w:pPr>
      <w:r>
        <w:rPr>
          <w:rFonts w:ascii="Times New Roman" w:hAnsi="Times New Roman"/>
          <w:sz w:val="24"/>
        </w:rPr>
        <w:t xml:space="preserve">Stealth Agents. (2026, 25 de junio). AI loan underwriting automation stats 2026. </w:t>
      </w:r>
      <w:hyperlink r:id="rId58">
        <w:r>
          <w:rPr>
            <w:rFonts w:ascii="Times New Roman" w:hAnsi="Times New Roman"/>
            <w:sz w:val="24"/>
            <w:color w:val="0563C1"/>
            <w:u w:val="single"/>
          </w:rPr>
          <w:t>https://stealthagents.com/research/ai-loan-underwriting-automation-statistics-2026</w:t>
        </w:r>
      </w:hyperlink>
    </w:p>
    <w:p>
      <w:pPr>
        <w:spacing w:lineRule="auto" w:line="360" w:after="160"/>
        <w:ind w:left="709" w:hanging="709"/>
      </w:pPr>
      <w:r>
        <w:rPr>
          <w:rFonts w:ascii="Times New Roman" w:hAnsi="Times New Roman"/>
          <w:sz w:val="24"/>
        </w:rPr>
        <w:t xml:space="preserve">Superintendencia de Banca, Seguros y Administradoras Privadas de Fondos de Pensiones. (2022, 28 de diciembre). </w:t>
      </w:r>
      <w:r>
        <w:rPr>
          <w:rFonts w:ascii="Times New Roman" w:hAnsi="Times New Roman"/>
          <w:i/>
          <w:sz w:val="24"/>
        </w:rPr>
        <w:t>Resolución SBS N.º 04036-2022: Reglamento de Gestión de Reclamos y Requerimientos</w:t>
      </w:r>
      <w:r>
        <w:rPr>
          <w:rFonts w:ascii="Times New Roman" w:hAnsi="Times New Roman"/>
          <w:sz w:val="24"/>
        </w:rPr>
        <w:t xml:space="preserve">. </w:t>
      </w:r>
      <w:hyperlink r:id="rId60">
        <w:r>
          <w:rPr>
            <w:rFonts w:ascii="Times New Roman" w:hAnsi="Times New Roman"/>
            <w:sz w:val="24"/>
            <w:color w:val="0563C1"/>
            <w:u w:val="single"/>
          </w:rPr>
          <w:t>https://intranet2.sbs.gob.pe/dv_int_cn/2230/v1.0/Adjuntos/4036-2022.r.pdf</w:t>
        </w:r>
      </w:hyperlink>
    </w:p>
    <w:p>
      <w:pPr>
        <w:spacing w:lineRule="auto" w:line="360" w:after="160"/>
        <w:ind w:left="709" w:hanging="709"/>
      </w:pPr>
      <w:commentRangeStart w:id="168"/>
      <w:commentRangeStart w:id="185"/>
      <w:r>
        <w:rPr>
          <w:rFonts w:ascii="Times New Roman" w:hAnsi="Times New Roman"/>
          <w:sz w:val="24"/>
        </w:rPr>
        <w:t xml:space="preserve">Superintendencia de Banca, Seguros y Administradoras Privadas de Fondos de Pensiones. (2025b, 18 de marzo). Resolución SBS N.º 00908-2025. Modifican</w:t>
      </w:r>
      <w:commentRangeEnd w:id="185"/>
      <w:r>
        <w:rPr>
          <w:rStyle w:val="CommentReference"/>
        </w:rPr>
        <w:commentReference w:id="185"/>
      </w:r>
      <w:commentRangeEnd w:id="168"/>
      <w:r>
        <w:rPr>
          <w:rStyle w:val="CommentReference"/>
        </w:rPr>
        <w:commentReference w:id="168"/>
      </w:r>
      <w:r>
        <w:rPr>
          <w:rFonts w:ascii="Times New Roman" w:hAnsi="Times New Roman"/>
          <w:sz w:val="24"/>
        </w:rPr>
        <w:t xml:space="preserve"> el Reglamento de Cuentas Básicas y el Reglamento de Operaciones con Dinero Electrónico, aprobados mediante la Res. SBS </w:t>
      </w:r>
      <w:commentRangeStart w:id="169"/>
      <w:r>
        <w:rPr>
          <w:rFonts w:ascii="Times New Roman" w:hAnsi="Times New Roman"/>
          <w:sz w:val="24"/>
        </w:rPr>
        <w:t xml:space="preserve">N.º</w:t>
      </w:r>
      <w:commentRangeEnd w:id="169"/>
      <w:r>
        <w:rPr>
          <w:rStyle w:val="CommentReference"/>
        </w:rPr>
        <w:commentReference w:id="169"/>
      </w:r>
      <w:r>
        <w:rPr>
          <w:rFonts w:ascii="Times New Roman" w:hAnsi="Times New Roman"/>
          <w:sz w:val="24"/>
        </w:rPr>
        <w:t xml:space="preserve"> 2891-2018 y la Res. SBS </w:t>
      </w:r>
      <w:commentRangeStart w:id="170"/>
      <w:r>
        <w:rPr>
          <w:rFonts w:ascii="Times New Roman" w:hAnsi="Times New Roman"/>
          <w:sz w:val="24"/>
        </w:rPr>
        <w:t xml:space="preserve">N.º</w:t>
      </w:r>
      <w:commentRangeEnd w:id="170"/>
      <w:r>
        <w:rPr>
          <w:rStyle w:val="CommentReference"/>
        </w:rPr>
        <w:commentReference w:id="170"/>
      </w:r>
      <w:r>
        <w:rPr>
          <w:rFonts w:ascii="Times New Roman" w:hAnsi="Times New Roman"/>
          <w:sz w:val="24"/>
        </w:rPr>
        <w:t xml:space="preserve"> 6283-2013. </w:t>
      </w:r>
      <w:r>
        <w:rPr>
          <w:rFonts w:ascii="Times New Roman" w:hAnsi="Times New Roman"/>
          <w:i/>
          <w:sz w:val="24"/>
        </w:rPr>
        <w:t>Diario Oficial El Peruano</w:t>
      </w:r>
      <w:r>
        <w:rPr>
          <w:rFonts w:ascii="Times New Roman" w:hAnsi="Times New Roman"/>
          <w:sz w:val="24"/>
        </w:rPr>
        <w:t xml:space="preserve">. </w:t>
      </w:r>
      <w:hyperlink r:id="rId54">
        <w:r>
          <w:rPr>
            <w:rFonts w:ascii="Times New Roman" w:hAnsi="Times New Roman"/>
            <w:sz w:val="24"/>
            <w:color w:val="0563C1"/>
            <w:u w:val="single"/>
          </w:rPr>
          <w:t>https://busquedas.elperuano.pe/dispositivo/NL/2379128-1</w:t>
        </w:r>
      </w:hyperlink>
    </w:p>
    <w:p>
      <w:pPr>
        <w:spacing w:lineRule="auto" w:line="360" w:after="160"/>
        <w:ind w:left="709" w:hanging="709"/>
      </w:pPr>
      <w:commentRangeStart w:id="167"/>
      <w:commentRangeStart w:id="186"/>
      <w:r>
        <w:rPr>
          <w:rFonts w:ascii="Times New Roman" w:hAnsi="Times New Roman"/>
          <w:sz w:val="24"/>
        </w:rPr>
        <w:t xml:space="preserve">Superintendencia de Banca, Seguros y Administradoras Privadas de Fondos de Pensiones. (2026, 12 de marzo). Resolución SBS N.º 00704-2026. Modifican</w:t>
      </w:r>
      <w:commentRangeEnd w:id="186"/>
      <w:r>
        <w:rPr>
          <w:rStyle w:val="CommentReference"/>
        </w:rPr>
        <w:commentReference w:id="186"/>
      </w:r>
      <w:commentRangeEnd w:id="167"/>
      <w:r>
        <w:rPr>
          <w:rStyle w:val="CommentReference"/>
        </w:rPr>
        <w:commentReference w:id="167"/>
      </w:r>
      <w:r>
        <w:rPr>
          <w:rFonts w:ascii="Times New Roman" w:hAnsi="Times New Roman"/>
          <w:sz w:val="24"/>
        </w:rPr>
        <w:t xml:space="preserve"> el Reglamento de Operaciones con Dinero Electrónico y el Reglamento de Cuentas Básicas. </w:t>
      </w:r>
      <w:r>
        <w:rPr>
          <w:rFonts w:ascii="Times New Roman" w:hAnsi="Times New Roman"/>
          <w:i/>
          <w:sz w:val="24"/>
        </w:rPr>
        <w:t>Diario Oficial El Peruano</w:t>
      </w:r>
      <w:r>
        <w:rPr>
          <w:rFonts w:ascii="Times New Roman" w:hAnsi="Times New Roman"/>
          <w:sz w:val="24"/>
        </w:rPr>
        <w:t xml:space="preserve">. </w:t>
      </w:r>
      <w:hyperlink r:id="rId53">
        <w:r>
          <w:rPr>
            <w:rFonts w:ascii="Times New Roman" w:hAnsi="Times New Roman"/>
            <w:sz w:val="24"/>
            <w:color w:val="0563C1"/>
            <w:u w:val="single"/>
          </w:rPr>
          <w:t>https://busquedas.elperuano.pe/dispositivo/NL/2494159-1</w:t>
        </w:r>
      </w:hyperlink>
    </w:p>
    <w:sectPr w:rsidR="00FC693F" w:rsidRPr="0006063C" w:rsidSect="00034616">
      <w:pgSz w:w="12240" w:h="15840"/>
      <w:pgMar w:top="1417" w:right="1417" w:bottom="1417" w:left="1701"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orge Chamorro" w:initials="JC" w:date="2026-10-01T03:04:57Z">
    <w:p>
      <w:pPr>
        <w:pStyle w:val="CommentText"/>
      </w:pPr>
      <w:r>
        <w:rPr>
          <w:rStyle w:val="CommentReference"/>
        </w:rPr>
        <w:annotationRef/>
      </w:r>
      <w:r>
        <w:t>Pendiente de validar con el profesor Moquillaza en la próxima entrevista: ¿BBVA Perú permitiría, bajo su marco legal y de cumplimiento vigente, que un tutor autorice la apertura de cuenta de un menor de edad de forma remota y asíncrona (sin presencia física), o la normativa interna del banco exige siempre la presencialidad del tutor para este trámite, independientemente de lo que la Resolución SBS N.° 00908-2025 permita para otros perfiles (por ejemplo, extranjeros)? La respuesta determina si el diseño TO BE de la Tabla 36 y la solución de la Tabla 39 son legalmente viables tal como están planteados o si requieren mantener un paso presencial para este caso específico.</w:t>
      </w:r>
    </w:p>
  </w:comment>
  <w:comment w:id="1" w:author="Jorge Chamorro" w:initials="JC" w:date="2026-10-01T03:04:57Z">
    <w:p>
      <w:pPr>
        <w:pStyle w:val="CommentText"/>
      </w:pPr>
      <w:r>
        <w:rPr>
          <w:rStyle w:val="CommentReference"/>
        </w:rPr>
        <w:annotationRef/>
      </w:r>
      <w:r>
        <w:t>Falta validar: la banda de costos de Abbasi (2026, TMCnet) es un promedio genérico para chatbots bancarios en mercados desarrollados; no es una cotización real para BBVA Perú ni contempla el sobrecosto de cumplimiento regulatorio del Reglamento de la Ley N.° 31814 (explicabilidad, supervisión humana, minimización de sesgos). Antes de usar estas cifras en una decisión real de inversión, se requiere una cotización formal con proveedores (p. ej., el mismo Kore.ai o Backbase ya citados en el documento) o con el área de Arquitectura/TI de BBVA Perú.</w:t>
      </w:r>
    </w:p>
  </w:comment>
  <w:comment w:id="2" w:author="Jorge Chamorro" w:initials="JC" w:date="2026-10-01T03:04:57Z">
    <w:p>
      <w:pPr>
        <w:pStyle w:val="CommentText"/>
      </w:pPr>
      <w:r>
        <w:rPr>
          <w:rStyle w:val="CommentReference"/>
        </w:rPr>
        <w:annotationRef/>
      </w:r>
      <w:r>
        <w:t>Falta validar con Banca Negocios: (1) el volumen real de solicitudes Pyme precalificables al mes, cifra que el equipo asumió sin fuente pública y de la que depende directamente el ROI positivo de esta iniciativa; y (2) la aplicabilidad del ahorro de USD 1,500 por préstamo de Freddie Mac (2025), que corresponde específicamente a hipotecas automatizadas con su Loan Product Advisor (LPA) en EE. UU., un producto y un mercado distintos del crédito Pyme peruano. Revisar si existe un benchmark más cercano al segmento antes de la siguiente entrega.</w:t>
      </w:r>
    </w:p>
  </w:comment>
  <w:comment w:id="3" w:author="Jorge Chamorro" w:initials="JC" w:date="2026-10-01T03:04:57Z">
    <w:p>
      <w:pPr>
        <w:pStyle w:val="CommentText"/>
      </w:pPr>
      <w:r>
        <w:rPr>
          <w:rStyle w:val="CommentReference"/>
        </w:rPr>
        <w:annotationRef/>
      </w:r>
      <w:r>
        <w:t>Falta validar con RR. HH. o Finanzas de BBVA Perú: el costo totalmente cargado (sueldo + beneficios + overhead) de una hora de analista de fraude u operaciones. El equipo asumió S/ 45 por hora sin ninguna fuente pública que lo respalde, y este número determina directamente el ahorro y el ROI calculados para esta iniciativa.</w:t>
      </w:r>
    </w:p>
  </w:comment>
  <w:comment w:id="4" w:author="Jorge Chamorro" w:initials="JC" w:date="2026-10-01T03:04:57Z">
    <w:p>
      <w:pPr>
        <w:pStyle w:val="CommentText"/>
      </w:pPr>
      <w:r>
        <w:rPr>
          <w:rStyle w:val="CommentReference"/>
        </w:rPr>
        <w:annotationRef/>
      </w:r>
      <w:r>
        <w:t>Falta validar con el área de Operaciones: (1) el volumen real de aperturas de cuenta mensuales por todos los canales (el equipo asumió 5,000 sin fuente pública); y (2) los costos unitarios de S/ 25 por apertura asistida en oficina y S/ 2 de costo marginal digital, también supuestos propios sin sustento. Estos tres números determinan en conjunto el ahorro y el ROI reportados para DC3.</w:t>
      </w:r>
    </w:p>
  </w:comment>
  <w:comment w:id="5" w:author="Jorge Chamorro" w:initials="JC" w:date="2026-10-07T03:47:52Z">
    <w:p>
      <w:pPr>
        <w:pStyle w:val="CommentText"/>
      </w:pPr>
      <w:r>
        <w:rPr>
          <w:rStyle w:val="CommentReference"/>
        </w:rPr>
        <w:annotationRef/>
      </w:r>
      <w:r>
        <w:t>Corrección de sustento: la afirmación de que la entidad no publica costos ni ahorros no tenía respaldo. Se remite a la sección 6.3 del informe parcial, que declara esa misma limitación para los tres dolores.</w:t>
      </w:r>
    </w:p>
  </w:comment>
  <w:comment w:id="6" w:author="Jorge Chamorro" w:initials="JC" w:date="2026-10-07T03:47:52Z">
    <w:p>
      <w:pPr>
        <w:pStyle w:val="CommentText"/>
      </w:pPr>
      <w:r>
        <w:rPr>
          <w:rStyle w:val="CommentReference"/>
        </w:rPr>
        <w:annotationRef/>
      </w:r>
      <w:r>
        <w:t>Corrección de concordancia con el informe parcial: la sección 3.1 del informe parcial define dos categorías de evidencia (fuentes públicas verificables y testimonio del Anexo A); no declara la marcación [C]/[F]/[V]. Esta pasa a presentarse como una extensión de ese criterio y no como un criterio «ya declarado».</w:t>
      </w:r>
    </w:p>
  </w:comment>
  <w:comment w:id="7" w:author="Jorge Chamorro" w:initials="JC" w:date="2026-10-07T03:47:52Z">
    <w:p>
      <w:pPr>
        <w:pStyle w:val="CommentText"/>
      </w:pPr>
      <w:r>
        <w:rPr>
          <w:rStyle w:val="CommentReference"/>
        </w:rPr>
        <w:annotationRef/>
      </w:r>
      <w:r>
        <w:t>Corrección de concordancia con el informe parcial: las marcas [F] y [V] se definían, pero no se aplicaban en ninguna parte del documento. Se simplifica: [C] marca la estimación propia y las cifras sin marca tienen fuente citada. Validación posterior: el informe parcial no usa la fórmula «NO HAY FUENTES EN INTERNET DISPONIBLES»; declara los vacíos con «La entidad no publica este indicador», por lo que se deja de atribuirle esa fórmula (se conserva solo como regla propia de este documento cuando no existe fuente pública).</w:t>
      </w:r>
    </w:p>
  </w:comment>
  <w:comment w:id="8" w:author="Jorge Chamorro" w:initials="JC" w:date="2026-10-07T03:47:52Z">
    <w:p>
      <w:pPr>
        <w:pStyle w:val="CommentText"/>
      </w:pPr>
      <w:r>
        <w:rPr>
          <w:rStyle w:val="CommentReference"/>
        </w:rPr>
        <w:annotationRef/>
      </w:r>
      <w:r>
        <w:t>Corrección de concordancia con el informe parcial: el informe parcial solo tiene el Anexo A (entrevista a A. Moquillaza); el «Anexo B del Entregable 3» no existe. El lanzamiento del flujo 100 % digital a inicios de 2026 se sustenta en esa entrevista (secciones 3.5 y 5.4 del informe parcial).</w:t>
      </w:r>
    </w:p>
  </w:comment>
  <w:comment w:id="9" w:author="Jorge Chamorro" w:initials="JC" w:date="2026-10-07T03:47:52Z">
    <w:p>
      <w:pPr>
        <w:pStyle w:val="CommentText"/>
      </w:pPr>
      <w:r>
        <w:rPr>
          <w:rStyle w:val="CommentReference"/>
        </w:rPr>
        <w:annotationRef/>
      </w:r>
      <w:r>
        <w:t>Corrección de concordancia con el informe parcial: la sección 6.3 del informe parcial declara el vacío de línea base, pero no fija «el primer objetivo» de la siguiente entrega. El compromiso de levantar la línea base en los primeros 90 días está en las secciones 4.3 y 4.4, y la posibilidad de instrumentar el indicador con el propio agente, en las secciones 5.2 y 5.4. Se reescribe para citar la sección que sí lo dice.</w:t>
      </w:r>
    </w:p>
  </w:comment>
  <w:comment w:id="10" w:author="Jorge Chamorro" w:initials="JC" w:date="2026-10-07T03:47:52Z">
    <w:p>
      <w:pPr>
        <w:pStyle w:val="CommentText"/>
      </w:pPr>
      <w:r>
        <w:rPr>
          <w:rStyle w:val="CommentReference"/>
        </w:rPr>
        <w:annotationRef/>
      </w:r>
      <w:r>
        <w:t>Corrección de concordancia con el informe parcial: las descripciones As Is de DC1, DC2 y DC3 son las Tablas 30 a 32 del informe parcial (sección 6); el Entregable 4 usaba la numeración previa (Tablas 31 a 33).</w:t>
      </w:r>
    </w:p>
  </w:comment>
  <w:comment w:id="11" w:author="Jorge Chamorro" w:initials="JC" w:date="2026-10-07T03:47:52Z">
    <w:p>
      <w:pPr>
        <w:pStyle w:val="CommentText"/>
      </w:pPr>
      <w:r>
        <w:rPr>
          <w:rStyle w:val="CommentReference"/>
        </w:rPr>
        <w:annotationRef/>
      </w:r>
      <w:r>
        <w:t>Corrección de concordancia con el informe parcial: la síntesis de hipótesis de iniciativa es la Tabla 29 del informe parcial (sección 5.5); el Entregable 4 usaba la numeración previa (Tabla 30).</w:t>
      </w:r>
    </w:p>
  </w:comment>
  <w:comment w:id="12" w:author="Jorge Chamorro" w:initials="JC" w:date="2026-10-07T03:47:52Z">
    <w:p>
      <w:pPr>
        <w:pStyle w:val="CommentText"/>
      </w:pPr>
      <w:r>
        <w:rPr>
          <w:rStyle w:val="CommentReference"/>
        </w:rPr>
        <w:annotationRef/>
      </w:r>
      <w:r>
        <w:t>Corrección de concordancia con el informe parcial: el informe parcial ya contiene las Figuras 1 a 4; esta figura pasa de 1 a 5 para no repetir numeración.</w:t>
      </w:r>
    </w:p>
  </w:comment>
  <w:comment w:id="13" w:author="Jorge Chamorro" w:initials="JC" w:date="2026-10-07T03:47:52Z">
    <w:p>
      <w:pPr>
        <w:pStyle w:val="CommentText"/>
      </w:pPr>
      <w:r>
        <w:rPr>
          <w:rStyle w:val="CommentReference"/>
        </w:rPr>
        <w:annotationRef/>
      </w:r>
      <w:r>
        <w:t>Corrección de concordancia con el informe parcial: el informe parcial ya contiene las Figuras 1 a 4; esta figura pasa de 1 a 5 para no repetir numeración.</w:t>
      </w:r>
    </w:p>
  </w:comment>
  <w:comment w:id="14"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15"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16"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17" w:author="Jorge Chamorro" w:initials="JC" w:date="2026-10-07T03:47:52Z">
    <w:p>
      <w:pPr>
        <w:pStyle w:val="CommentText"/>
      </w:pPr>
      <w:r>
        <w:rPr>
          <w:rStyle w:val="CommentReference"/>
        </w:rPr>
        <w:annotationRef/>
      </w:r>
      <w:r>
        <w:t>Corrección de concordancia con el informe parcial: el indicador base y la meta de DC1 figuran en la Tabla 23 (sección 4.3 del informe parcial). Las Tablas 26 a 28 del informe son las matrices ERRC y no contienen indicadores ni metas; la referencia a la «Tabla 27» apuntaba a una tabla equivocada.</w:t>
      </w:r>
    </w:p>
  </w:comment>
  <w:comment w:id="18" w:author="Jorge Chamorro" w:initials="JC" w:date="2026-10-07T03:47:52Z">
    <w:p>
      <w:pPr>
        <w:pStyle w:val="CommentText"/>
      </w:pPr>
      <w:r>
        <w:rPr>
          <w:rStyle w:val="CommentReference"/>
        </w:rPr>
        <w:annotationRef/>
      </w:r>
      <w:r>
        <w:t>Corrección de concordancia con el informe parcial: el informe parcial termina en la Tabla 32; esta tabla pasa de 34 a 33 para continuar su numeración.</w:t>
      </w:r>
    </w:p>
  </w:comment>
  <w:comment w:id="19"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20"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21"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22"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23" w:author="Jorge Chamorro" w:initials="JC" w:date="2026-10-07T03:47:52Z">
    <w:p>
      <w:pPr>
        <w:pStyle w:val="CommentText"/>
      </w:pPr>
      <w:r>
        <w:rPr>
          <w:rStyle w:val="CommentReference"/>
        </w:rPr>
        <w:annotationRef/>
      </w:r>
      <w:r>
        <w:t>Corrección de concordancia con el informe parcial: el informe parcial termina en la Tabla 32; esta tabla pasa de 35 a 34 para continuar su numeración.</w:t>
      </w:r>
    </w:p>
  </w:comment>
  <w:comment w:id="24"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25" w:author="Jorge Chamorro" w:initials="JC" w:date="2026-10-07T03:47:52Z">
    <w:p>
      <w:pPr>
        <w:pStyle w:val="CommentText"/>
      </w:pPr>
      <w:r>
        <w:rPr>
          <w:rStyle w:val="CommentReference"/>
        </w:rPr>
        <w:annotationRef/>
      </w:r>
      <w:r>
        <w:t>Corrección de concordancia con el informe parcial: la descripción As Is de DC3 es la Tabla 32 del informe parcial (sección 6.3); el Entregable 4 usaba la numeración previa (Tabla 33), desfasada en +1.</w:t>
      </w:r>
    </w:p>
  </w:comment>
  <w:comment w:id="26" w:author="Jorge Chamorro" w:initials="JC" w:date="2026-10-07T03:47:52Z">
    <w:p>
      <w:pPr>
        <w:pStyle w:val="CommentText"/>
      </w:pPr>
      <w:r>
        <w:rPr>
          <w:rStyle w:val="CommentReference"/>
        </w:rPr>
        <w:annotationRef/>
      </w:r>
      <w:r>
        <w:t>Corrección de concordancia con el informe parcial: la descripción As Is de DC3 es la Tabla 32 del informe parcial (sección 6.3); el Entregable 4 usaba la numeración previa (Tabla 33), desfasada en +1.</w:t>
      </w:r>
    </w:p>
  </w:comment>
  <w:comment w:id="27" w:author="Jorge Chamorro" w:initials="JC" w:date="2026-10-07T03:47:52Z">
    <w:p>
      <w:pPr>
        <w:pStyle w:val="CommentText"/>
      </w:pPr>
      <w:r>
        <w:rPr>
          <w:rStyle w:val="CommentReference"/>
        </w:rPr>
        <w:annotationRef/>
      </w:r>
      <w:r>
        <w:t>Corrección de concordancia con el informe parcial: el indicador base y la meta de DC3 figuran en la Tabla 25 (sección 4.3 del informe parcial). Las Tablas 26 a 28 del informe son las matrices ERRC y no contienen indicadores ni metas; la referencia a la «Tabla 29» apuntaba a una tabla equivocada.</w:t>
      </w:r>
    </w:p>
  </w:comment>
  <w:comment w:id="28" w:author="Jorge Chamorro" w:initials="JC" w:date="2026-10-07T03:47:52Z">
    <w:p>
      <w:pPr>
        <w:pStyle w:val="CommentText"/>
      </w:pPr>
      <w:r>
        <w:rPr>
          <w:rStyle w:val="CommentReference"/>
        </w:rPr>
        <w:annotationRef/>
      </w:r>
      <w:r>
        <w:t>Corrección de concordancia con el informe parcial: el informe parcial termina en la Tabla 32; esta tabla pasa de 36 a 35 para continuar su numeración.</w:t>
      </w:r>
    </w:p>
  </w:comment>
  <w:comment w:id="29" w:author="Jorge Chamorro" w:initials="JC" w:date="2026-10-07T03:47:52Z">
    <w:p>
      <w:pPr>
        <w:pStyle w:val="CommentText"/>
      </w:pPr>
      <w:r>
        <w:rPr>
          <w:rStyle w:val="CommentReference"/>
        </w:rPr>
        <w:annotationRef/>
      </w:r>
      <w:r>
        <w:t>Corrección de concordancia con el informe parcial: la descripción As Is de DC3 es la Tabla 32 del informe parcial (sección 6.3); el Entregable 4 usaba la numeración previa (Tabla 33), desfasada en +1.</w:t>
      </w:r>
    </w:p>
  </w:comment>
  <w:comment w:id="30" w:author="Jorge Chamorro" w:initials="JC" w:date="2026-10-07T03:47:52Z">
    <w:p>
      <w:pPr>
        <w:pStyle w:val="CommentText"/>
      </w:pPr>
      <w:r>
        <w:rPr>
          <w:rStyle w:val="CommentReference"/>
        </w:rPr>
        <w:annotationRef/>
      </w:r>
      <w:r>
        <w:t>Corrección de concordancia con el informe parcial: el informe parcial termina en la Tabla 32; esta tabla pasa de 36 a 35 para continuar su numeración.</w:t>
      </w:r>
    </w:p>
  </w:comment>
  <w:comment w:id="31" w:author="Jorge Chamorro" w:initials="JC" w:date="2026-10-07T03:47:52Z">
    <w:p>
      <w:pPr>
        <w:pStyle w:val="CommentText"/>
      </w:pPr>
      <w:r>
        <w:rPr>
          <w:rStyle w:val="CommentReference"/>
        </w:rPr>
        <w:annotationRef/>
      </w:r>
      <w:r>
        <w:t>Corrección de concordancia con el informe parcial: el informe parcial termina en la Tabla 32; esta tabla pasa de 34 a 33 para continuar su numeración.</w:t>
      </w:r>
    </w:p>
  </w:comment>
  <w:comment w:id="32"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33" w:author="Jorge Chamorro" w:initials="JC" w:date="2026-10-07T03:47:52Z">
    <w:p>
      <w:pPr>
        <w:pStyle w:val="CommentText"/>
      </w:pPr>
      <w:r>
        <w:rPr>
          <w:rStyle w:val="CommentReference"/>
        </w:rPr>
        <w:annotationRef/>
      </w:r>
      <w:r>
        <w:t>Corrección de concordancia con el informe parcial: el informe parcial termina en la Tabla 32; esta tabla pasa de 37 a 36 para continuar su numeración.</w:t>
      </w:r>
    </w:p>
  </w:comment>
  <w:comment w:id="34" w:author="Jorge Chamorro" w:initials="JC" w:date="2026-10-07T03:47:52Z">
    <w:p>
      <w:pPr>
        <w:pStyle w:val="CommentText"/>
      </w:pPr>
      <w:r>
        <w:rPr>
          <w:rStyle w:val="CommentReference"/>
        </w:rPr>
        <w:annotationRef/>
      </w:r>
      <w:r>
        <w:t>Corrección de concordancia con el informe parcial: el informe parcial termina en la Tabla 32; esta tabla pasa de 34 a 33 para continuar su numeración.</w:t>
      </w:r>
    </w:p>
  </w:comment>
  <w:comment w:id="35" w:author="Jorge Chamorro" w:initials="JC" w:date="2026-10-07T03:47:52Z">
    <w:p>
      <w:pPr>
        <w:pStyle w:val="CommentText"/>
      </w:pPr>
      <w:r>
        <w:rPr>
          <w:rStyle w:val="CommentReference"/>
        </w:rPr>
        <w:annotationRef/>
      </w:r>
      <w:r>
        <w:t>Corrección de concordancia con el informe parcial: el informe parcial termina en la Tabla 32; esta tabla pasa de 35 a 34 para continuar su numeración.</w:t>
      </w:r>
    </w:p>
  </w:comment>
  <w:comment w:id="36"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37" w:author="Jorge Chamorro" w:initials="JC" w:date="2026-10-07T03:47:52Z">
    <w:p>
      <w:pPr>
        <w:pStyle w:val="CommentText"/>
      </w:pPr>
      <w:r>
        <w:rPr>
          <w:rStyle w:val="CommentReference"/>
        </w:rPr>
        <w:annotationRef/>
      </w:r>
      <w:r>
        <w:t>Corrección de concordancia con el informe parcial: el informe parcial termina en la Tabla 32; esta tabla pasa de 38 a 37 para continuar su numeración.</w:t>
      </w:r>
    </w:p>
  </w:comment>
  <w:comment w:id="38" w:author="Jorge Chamorro" w:initials="JC" w:date="2026-10-07T03:47:52Z">
    <w:p>
      <w:pPr>
        <w:pStyle w:val="CommentText"/>
      </w:pPr>
      <w:r>
        <w:rPr>
          <w:rStyle w:val="CommentReference"/>
        </w:rPr>
        <w:annotationRef/>
      </w:r>
      <w:r>
        <w:t>Corrección de concordancia con el informe parcial: el informe parcial termina en la Tabla 32; esta tabla pasa de 35 a 34 para continuar su numeración.</w:t>
      </w:r>
    </w:p>
  </w:comment>
  <w:comment w:id="39" w:author="Jorge Chamorro" w:initials="JC" w:date="2026-10-07T03:47:52Z">
    <w:p>
      <w:pPr>
        <w:pStyle w:val="CommentText"/>
      </w:pPr>
      <w:r>
        <w:rPr>
          <w:rStyle w:val="CommentReference"/>
        </w:rPr>
        <w:annotationRef/>
      </w:r>
      <w:r>
        <w:t>Corrección de concordancia con el informe parcial: el informe parcial termina en la Tabla 32; esta tabla pasa de 36 a 35 para continuar su numeración.</w:t>
      </w:r>
    </w:p>
  </w:comment>
  <w:comment w:id="40" w:author="Jorge Chamorro" w:initials="JC" w:date="2026-10-07T03:47:52Z">
    <w:p>
      <w:pPr>
        <w:pStyle w:val="CommentText"/>
      </w:pPr>
      <w:r>
        <w:rPr>
          <w:rStyle w:val="CommentReference"/>
        </w:rPr>
        <w:annotationRef/>
      </w:r>
      <w:r>
        <w:t>Corrección de concordancia con el informe parcial: la descripción As Is de DC3 es la Tabla 32 del informe parcial (sección 6.3); el Entregable 4 usaba la numeración previa (Tabla 33), desfasada en +1.</w:t>
      </w:r>
    </w:p>
  </w:comment>
  <w:comment w:id="41" w:author="Jorge Chamorro" w:initials="JC" w:date="2026-10-07T03:47:52Z">
    <w:p>
      <w:pPr>
        <w:pStyle w:val="CommentText"/>
      </w:pPr>
      <w:r>
        <w:rPr>
          <w:rStyle w:val="CommentReference"/>
        </w:rPr>
        <w:annotationRef/>
      </w:r>
      <w:r>
        <w:t>Corrección de concordancia con el informe parcial: el informe parcial termina en la Tabla 32; esta tabla pasa de 36 a 35 para continuar su numeración.</w:t>
      </w:r>
    </w:p>
  </w:comment>
  <w:comment w:id="42" w:author="Jorge Chamorro" w:initials="JC" w:date="2026-10-07T03:47:52Z">
    <w:p>
      <w:pPr>
        <w:pStyle w:val="CommentText"/>
      </w:pPr>
      <w:r>
        <w:rPr>
          <w:rStyle w:val="CommentReference"/>
        </w:rPr>
        <w:annotationRef/>
      </w:r>
      <w:r>
        <w:t>Corrección de concordancia con el informe parcial: el informe parcial termina en la Tabla 32; esta tabla pasa de 39 a 38 para continuar su numeración.</w:t>
      </w:r>
    </w:p>
  </w:comment>
  <w:comment w:id="43" w:author="Jorge Chamorro" w:initials="JC" w:date="2026-10-07T03:47:52Z">
    <w:p>
      <w:pPr>
        <w:pStyle w:val="CommentText"/>
      </w:pPr>
      <w:r>
        <w:rPr>
          <w:rStyle w:val="CommentReference"/>
        </w:rPr>
        <w:annotationRef/>
      </w:r>
      <w:r>
        <w:t>Corrección de concordancia con el informe parcial: el informe parcial termina en la Tabla 32; esta tabla pasa de 36 a 35 para continuar su numeración.</w:t>
      </w:r>
    </w:p>
  </w:comment>
  <w:comment w:id="44" w:author="Jorge Chamorro" w:initials="JC" w:date="2026-10-07T03:47:52Z">
    <w:p>
      <w:pPr>
        <w:pStyle w:val="CommentText"/>
      </w:pPr>
      <w:r>
        <w:rPr>
          <w:rStyle w:val="CommentReference"/>
        </w:rPr>
        <w:annotationRef/>
      </w:r>
      <w:r>
        <w:t>Corrección de concordancia con el informe parcial: los indicadores base y metas de DC1, DC2 y DC3 están en las Tablas 23, 24 y 25 del informe parcial (sección 4.3); las Tablas 27 a 29 del Entregable 4 apuntaban a las matrices ERRC, que no contienen indicadores ni metas.</w:t>
      </w:r>
    </w:p>
  </w:comment>
  <w:comment w:id="45" w:author="Jorge Chamorro" w:initials="JC" w:date="2026-10-07T03:47:52Z">
    <w:p>
      <w:pPr>
        <w:pStyle w:val="CommentText"/>
      </w:pPr>
      <w:r>
        <w:rPr>
          <w:rStyle w:val="CommentReference"/>
        </w:rPr>
        <w:annotationRef/>
      </w:r>
      <w:r>
        <w:t>Corrección de concordancia con el informe parcial: el informe parcial termina en la Tabla 32; esta tabla pasa de 37 a 36 para continuar su numeración.</w:t>
      </w:r>
    </w:p>
  </w:comment>
  <w:comment w:id="46" w:author="Jorge Chamorro" w:initials="JC" w:date="2026-10-07T03:47:52Z">
    <w:p>
      <w:pPr>
        <w:pStyle w:val="CommentText"/>
      </w:pPr>
      <w:r>
        <w:rPr>
          <w:rStyle w:val="CommentReference"/>
        </w:rPr>
        <w:annotationRef/>
      </w:r>
      <w:r>
        <w:t>Corrección de concordancia con el informe parcial: la descripción As Is de DC1 es la Tabla 30 del informe parcial (sección 6.1); el Entregable 4 usaba la numeración previa (Tabla 31), desfasada en +1.</w:t>
      </w:r>
    </w:p>
  </w:comment>
  <w:comment w:id="47" w:author="Jorge Chamorro" w:initials="JC" w:date="2026-10-07T03:47:52Z">
    <w:p>
      <w:pPr>
        <w:pStyle w:val="CommentText"/>
      </w:pPr>
      <w:r>
        <w:rPr>
          <w:rStyle w:val="CommentReference"/>
        </w:rPr>
        <w:annotationRef/>
      </w:r>
      <w:r>
        <w:t>Corrección de concordancia con el informe parcial: el indicador base y la meta de DC1 figuran en la Tabla 23 (sección 4.3 del informe parcial). Las Tablas 26 a 28 del informe son las matrices ERRC y no contienen indicadores ni metas; la referencia a la «Tabla 27» apuntaba a una tabla equivocada.</w:t>
      </w:r>
    </w:p>
  </w:comment>
  <w:comment w:id="48" w:author="Jorge Chamorro" w:initials="JC" w:date="2026-10-07T03:47:52Z">
    <w:p>
      <w:pPr>
        <w:pStyle w:val="CommentText"/>
      </w:pPr>
      <w:r>
        <w:rPr>
          <w:rStyle w:val="CommentReference"/>
        </w:rPr>
        <w:annotationRef/>
      </w:r>
      <w:r>
        <w:t>Corrección de concordancia con el informe parcial: el informe parcial termina en la Tabla 32; esta tabla pasa de 40 a 39 para continuar su numeración.</w:t>
      </w:r>
    </w:p>
  </w:comment>
  <w:comment w:id="49"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50" w:author="Jorge Chamorro" w:initials="JC" w:date="2026-10-07T03:47:52Z">
    <w:p>
      <w:pPr>
        <w:pStyle w:val="CommentText"/>
      </w:pPr>
      <w:r>
        <w:rPr>
          <w:rStyle w:val="CommentReference"/>
        </w:rPr>
        <w:annotationRef/>
      </w:r>
      <w:r>
        <w:t>Corrección de concordancia con el informe parcial: el informe parcial termina en la Tabla 32; esta tabla pasa de 38 a 37 para continuar su numeración.</w:t>
      </w:r>
    </w:p>
  </w:comment>
  <w:comment w:id="51" w:author="Jorge Chamorro" w:initials="JC" w:date="2026-10-07T03:47:52Z">
    <w:p>
      <w:pPr>
        <w:pStyle w:val="CommentText"/>
      </w:pPr>
      <w:r>
        <w:rPr>
          <w:rStyle w:val="CommentReference"/>
        </w:rPr>
        <w:annotationRef/>
      </w:r>
      <w:r>
        <w:t>Corrección de concordancia con el informe parcial: la descripción As Is de DC2 es la Tabla 31 del informe parcial (sección 6.2); el Entregable 4 usaba la numeración previa (Tabla 32), desfasada en +1.</w:t>
      </w:r>
    </w:p>
  </w:comment>
  <w:comment w:id="52" w:author="Jorge Chamorro" w:initials="JC" w:date="2026-10-07T03:47:52Z">
    <w:p>
      <w:pPr>
        <w:pStyle w:val="CommentText"/>
      </w:pPr>
      <w:r>
        <w:rPr>
          <w:rStyle w:val="CommentReference"/>
        </w:rPr>
        <w:annotationRef/>
      </w:r>
      <w:r>
        <w:t>Corrección de concordancia con el informe parcial: el informe parcial termina en la Tabla 32; esta tabla pasa de 41 a 40 para continuar su numeración.</w:t>
      </w:r>
    </w:p>
  </w:comment>
  <w:comment w:id="53" w:author="Jorge Chamorro" w:initials="JC" w:date="2026-10-07T03:47:52Z">
    <w:p>
      <w:pPr>
        <w:pStyle w:val="CommentText"/>
      </w:pPr>
      <w:r>
        <w:rPr>
          <w:rStyle w:val="CommentReference"/>
        </w:rPr>
        <w:annotationRef/>
      </w:r>
      <w:r>
        <w:t>Corrección de concordancia con el informe parcial: la descripción As Is de DC3 es la Tabla 32 del informe parcial (sección 6.3); el Entregable 4 usaba la numeración previa (Tabla 33), desfasada en +1.</w:t>
      </w:r>
    </w:p>
  </w:comment>
  <w:comment w:id="54" w:author="Jorge Chamorro" w:initials="JC" w:date="2026-10-07T03:47:52Z">
    <w:p>
      <w:pPr>
        <w:pStyle w:val="CommentText"/>
      </w:pPr>
      <w:r>
        <w:rPr>
          <w:rStyle w:val="CommentReference"/>
        </w:rPr>
        <w:annotationRef/>
      </w:r>
      <w:r>
        <w:t>Corrección de concordancia con el informe parcial: el informe parcial termina en la Tabla 32; esta tabla pasa de 39 a 38 para continuar su numeración.</w:t>
      </w:r>
    </w:p>
  </w:comment>
  <w:comment w:id="55" w:author="Jorge Chamorro" w:initials="JC" w:date="2026-10-07T03:47:52Z">
    <w:p>
      <w:pPr>
        <w:pStyle w:val="CommentText"/>
      </w:pPr>
      <w:r>
        <w:rPr>
          <w:rStyle w:val="CommentReference"/>
        </w:rPr>
        <w:annotationRef/>
      </w:r>
      <w:r>
        <w:t>Corrección de concordancia con el informe parcial: el indicador base y la meta de DC3 figuran en la Tabla 25 (sección 4.3 del informe parcial). Las Tablas 26 a 28 del informe son las matrices ERRC y no contienen indicadores ni metas; la referencia a la «Tabla 29» apuntaba a una tabla equivocada.</w:t>
      </w:r>
    </w:p>
  </w:comment>
  <w:comment w:id="56" w:author="Jorge Chamorro" w:initials="JC" w:date="2026-10-07T03:47:52Z">
    <w:p>
      <w:pPr>
        <w:pStyle w:val="CommentText"/>
      </w:pPr>
      <w:r>
        <w:rPr>
          <w:rStyle w:val="CommentReference"/>
        </w:rPr>
        <w:annotationRef/>
      </w:r>
      <w:r>
        <w:t>Corrección de concordancia con el informe parcial: el informe parcial termina en la Tabla 32; esta tabla pasa de 42 a 41 para continuar su numeración.</w:t>
      </w:r>
    </w:p>
  </w:comment>
  <w:comment w:id="57" w:author="Jorge Chamorro" w:initials="JC" w:date="2026-10-07T03:47:52Z">
    <w:p>
      <w:pPr>
        <w:pStyle w:val="CommentText"/>
      </w:pPr>
      <w:r>
        <w:rPr>
          <w:rStyle w:val="CommentReference"/>
        </w:rPr>
        <w:annotationRef/>
      </w:r>
      <w:r>
        <w:t>Corrección de concordancia con el informe parcial: el informe parcial termina en la Tabla 32; esta tabla pasa de 43 a 42 para continuar su numeración.</w:t>
      </w:r>
    </w:p>
  </w:comment>
  <w:comment w:id="58" w:author="Jorge Chamorro" w:initials="JC" w:date="2026-10-07T03:47:52Z">
    <w:p>
      <w:pPr>
        <w:pStyle w:val="CommentText"/>
      </w:pPr>
      <w:r>
        <w:rPr>
          <w:rStyle w:val="CommentReference"/>
        </w:rPr>
        <w:annotationRef/>
      </w:r>
      <w:r>
        <w:t>Corrección de concordancia con el informe parcial: el business case de DC1 a DC3 pasa de las Tablas 40 a 42 a las Tablas 39 a 41 al continuar la numeración del informe parcial (última tabla: 32).</w:t>
      </w:r>
    </w:p>
  </w:comment>
  <w:comment w:id="59" w:author="Jorge Chamorro" w:initials="JC" w:date="2026-10-07T03:47:52Z">
    <w:p>
      <w:pPr>
        <w:pStyle w:val="CommentText"/>
      </w:pPr>
      <w:r>
        <w:rPr>
          <w:rStyle w:val="CommentReference"/>
        </w:rPr>
        <w:annotationRef/>
      </w:r>
      <w:r>
        <w:t>Corrección de concordancia con el informe parcial: el informe parcial ya contiene las Figuras 1 a 4; esta figura pasa de 2 a 6 para no repetir numeración.</w:t>
      </w:r>
    </w:p>
  </w:comment>
  <w:comment w:id="60" w:author="Jorge Chamorro" w:initials="JC" w:date="2026-10-07T03:47:52Z">
    <w:p>
      <w:pPr>
        <w:pStyle w:val="CommentText"/>
      </w:pPr>
      <w:r>
        <w:rPr>
          <w:rStyle w:val="CommentReference"/>
        </w:rPr>
        <w:annotationRef/>
      </w:r>
      <w:r>
        <w:t>Corrección de concordancia con el informe parcial: el informe parcial termina en la Tabla 32; esta tabla pasa de 43 a 42 para continuar su numeración.</w:t>
      </w:r>
    </w:p>
  </w:comment>
  <w:comment w:id="61" w:author="Jorge Chamorro" w:initials="JC" w:date="2026-10-07T03:47:52Z">
    <w:p>
      <w:pPr>
        <w:pStyle w:val="CommentText"/>
      </w:pPr>
      <w:r>
        <w:rPr>
          <w:rStyle w:val="CommentReference"/>
        </w:rPr>
        <w:annotationRef/>
      </w:r>
      <w:r>
        <w:t>Corrección de concordancia con el informe parcial: el informe parcial ya contiene las Figuras 1 a 4; esta figura pasa de 2 a 6 para no repetir numeración.</w:t>
      </w:r>
    </w:p>
  </w:comment>
  <w:comment w:id="62" w:author="Jorge Chamorro" w:initials="JC" w:date="2026-10-07T03:47:52Z">
    <w:p>
      <w:pPr>
        <w:pStyle w:val="CommentText"/>
      </w:pPr>
      <w:r>
        <w:rPr>
          <w:rStyle w:val="CommentReference"/>
        </w:rPr>
        <w:annotationRef/>
      </w:r>
      <w:r>
        <w:t>Corrección de concordancia con el informe parcial: el informe parcial termina en la Tabla 32; esta tabla pasa de 43 a 42 para continuar su numeración.</w:t>
      </w:r>
    </w:p>
  </w:comment>
  <w:comment w:id="63" w:author="Jorge Chamorro" w:initials="JC" w:date="2026-10-07T03:47:52Z">
    <w:p>
      <w:pPr>
        <w:pStyle w:val="CommentText"/>
      </w:pPr>
      <w:r>
        <w:rPr>
          <w:rStyle w:val="CommentReference"/>
        </w:rPr>
        <w:annotationRef/>
      </w:r>
      <w:r>
        <w:t>Corrección de concordancia con el informe parcial: la nota remitía a «Entregable 1, 2 y 3», a la Tabla 33 como última tabla y a figuras «por primera vez en el documento integrado». El informe parcial (fuente de verdad) ya no usa «Entregable N»: cierra en la Tabla 32 y ya contiene las Figuras 1 a 4, por lo que este documento continúa en la Tabla 33 y la Figura 5. Las referencias a tablas y secciones se reescriben contra la numeración del informe parcial.</w:t>
      </w:r>
    </w:p>
  </w:comment>
  <w:comment w:id="64" w:author="Jorge Chamorro" w:initials="JC" w:date="2026-10-07T03:47:52Z">
    <w:p>
      <w:pPr>
        <w:pStyle w:val="CommentText"/>
      </w:pPr>
      <w:r>
        <w:rPr>
          <w:rStyle w:val="CommentReference"/>
        </w:rPr>
        <w:annotationRef/>
      </w:r>
      <w:r>
        <w:t>Corrección de concordancia con el informe parcial: el informe parcial no usa «Entregable N».</w:t>
      </w:r>
    </w:p>
  </w:comment>
  <w:comment w:id="65" w:author="Jorge Chamorro" w:initials="JC" w:date="2026-10-07T03:47:52Z">
    <w:p>
      <w:pPr>
        <w:pStyle w:val="CommentText"/>
      </w:pPr>
      <w:r>
        <w:rPr>
          <w:rStyle w:val="CommentReference"/>
        </w:rPr>
        <w:annotationRef/>
      </w:r>
      <w:r>
        <w:t>Corrección de concordancia con el informe parcial: se reemplaza «Entregable 3» por la sección del informe parcial donde se formula esa hipótesis (5.4).</w:t>
      </w:r>
    </w:p>
  </w:comment>
  <w:comment w:id="66"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67"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68"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69"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0"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1"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2"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3"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4"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5" w:author="Jorge Chamorro" w:initials="JC" w:date="2026-10-07T03:47:52Z">
    <w:p>
      <w:pPr>
        <w:pStyle w:val="CommentText"/>
      </w:pPr>
      <w:r>
        <w:rPr>
          <w:rStyle w:val="CommentReference"/>
        </w:rPr>
        <w:annotationRef/>
      </w:r>
      <w:r>
        <w:t>Corrección de concordancia con el informe parcial: el informe parcial no usa «Entregable N»; las referencias se hacen a sus secciones y tablas.</w:t>
      </w:r>
    </w:p>
  </w:comment>
  <w:comment w:id="76"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En el informe, «Abrir Cuenta digital desde App» es s. f.-a y «Preguntas frecuentes sobre cuentas de ahorro» es s. f.-k (antes: s. f.-i, s. f.-j).</w:t>
      </w:r>
    </w:p>
  </w:comment>
  <w:comment w:id="77"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«Abrir Cuenta digital desde App» es s. f.-a en el informe (antes: s. f.-i).</w:t>
      </w:r>
    </w:p>
  </w:comment>
  <w:comment w:id="78"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En el informe, «Línea de Préstamo Digital» es s. f.-i, «Línea Préstamo Digital Persona Jurídica» es s. f.-j y «Préstamo digital negocio» es s. f.-l; se listan en orden ascendente (antes: s. f.-c, s. f.-d, s. f.-e).</w:t>
      </w:r>
    </w:p>
  </w:comment>
  <w:comment w:id="79"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«Estado de tu caso» es s. f.-f en el informe (antes: s. f.-h).</w:t>
      </w:r>
    </w:p>
  </w:comment>
  <w:comment w:id="80"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El «Informe de gerencia: Segundo trimestre 2026» es 2026f en el informe parcial (antes: 2026a).</w:t>
      </w:r>
    </w:p>
  </w:comment>
  <w:comment w:id="81"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El «Informe de gerencia: Segundo trimestre 2026» es 2026f en el informe parcial (antes: 2026a).</w:t>
      </w:r>
    </w:p>
  </w:comment>
  <w:comment w:id="82"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El «Informe de gerencia: Segundo trimestre 2026» es 2026f en el informe parcial (antes: 2026a).</w:t>
      </w:r>
    </w:p>
  </w:comment>
  <w:comment w:id="83"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Los reportes mensuales de reclamos de abril a agosto son 2026a a 2026e en el informe parcial, que cita ese mismo conjunto para la razón de 1.41 y de 1.30 veces (antes: 2026c a 2026g).</w:t>
      </w:r>
    </w:p>
  </w:comment>
  <w:comment w:id="84"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Al retirarse la entrada Backbase (2026b), que no se citaba en el documento, ya no hay dos obras del mismo autor y año; la cita vuelve a «Backbase (2026)», como en el informe parcial.</w:t>
      </w:r>
    </w:p>
  </w:comment>
  <w:comment w:id="85" w:author="Jorge Chamorro" w:initials="JC" w:date="2026-10-07T03:47:52Z">
    <w:p>
      <w:pPr>
        <w:pStyle w:val="CommentText"/>
      </w:pPr>
      <w:r>
        <w:rPr>
          <w:rStyle w:val="CommentReference"/>
        </w:rPr>
        <w:annotationRef/>
      </w:r>
      <w:r>
        <w:t>Corrección de concordancia con el informe parcial: las letras que distinguen obras del mismo autor y año siguen el orden alfabético de títulos de la lista de referencias del informe parcial (APA 7). Al retirarse la entrada Backbase (2026b), que no se citaba en el documento, ya no hay dos obras del mismo autor y año; la cita vuelve a «Backbase (2026)», como en el informe parcial.</w:t>
      </w:r>
    </w:p>
  </w:comment>
  <w:comment w:id="86" w:author="Jorge Chamorro" w:initials="JC" w:date="2026-10-07T03:47:52Z">
    <w:p>
      <w:pPr>
        <w:pStyle w:val="CommentText"/>
      </w:pPr>
      <w:r>
        <w:rPr>
          <w:rStyle w:val="CommentReference"/>
        </w:rPr>
        <w:annotationRef/>
      </w:r>
      <w:r>
        <w:t>Corrección de concordancia con el informe parcial: el informe parcial cita las normas de la SBS con la SBS como autor: Res. 00908-2025 es (SBS, 2025b).</w:t>
      </w:r>
    </w:p>
  </w:comment>
  <w:comment w:id="87" w:author="Jorge Chamorro" w:initials="JC" w:date="2026-10-07T03:47:52Z">
    <w:p>
      <w:pPr>
        <w:pStyle w:val="CommentText"/>
      </w:pPr>
      <w:r>
        <w:rPr>
          <w:rStyle w:val="CommentReference"/>
        </w:rPr>
        <w:annotationRef/>
      </w:r>
      <w:r>
        <w:t>Corrección APA 7: la norma se mencionaba sin cita; se agrega (SBS, 2025b), como en el informe parcial.</w:t>
      </w:r>
    </w:p>
  </w:comment>
  <w:comment w:id="88" w:author="Jorge Chamorro" w:initials="JC" w:date="2026-10-07T03:47:52Z">
    <w:p>
      <w:pPr>
        <w:pStyle w:val="CommentText"/>
      </w:pPr>
      <w:r>
        <w:rPr>
          <w:rStyle w:val="CommentReference"/>
        </w:rPr>
        <w:annotationRef/>
      </w:r>
      <w:r>
        <w:t>Corrección APA 7: los límites de la cuenta básica se atribuían a la Resolución SBS N.º 00704-2026 sin citarla; se agrega (SBS, 2026), como en el informe parcial.</w:t>
      </w:r>
    </w:p>
  </w:comment>
  <w:comment w:id="89" w:author="Jorge Chamorro" w:initials="JC" w:date="2026-10-07T03:47:52Z">
    <w:p>
      <w:pPr>
        <w:pStyle w:val="CommentText"/>
      </w:pPr>
      <w:r>
        <w:rPr>
          <w:rStyle w:val="CommentReference"/>
        </w:rPr>
        <w:annotationRef/>
      </w:r>
      <w:r>
        <w:t>Corrección APA 7: se agrega la cita (SBS, 2025b), como en el informe parcial.</w:t>
      </w:r>
    </w:p>
  </w:comment>
  <w:comment w:id="90" w:author="Jorge Chamorro" w:initials="JC" w:date="2026-10-07T03:47:52Z">
    <w:p>
      <w:pPr>
        <w:pStyle w:val="CommentText"/>
      </w:pPr>
      <w:r>
        <w:rPr>
          <w:rStyle w:val="CommentReference"/>
        </w:rPr>
        <w:annotationRef/>
      </w:r>
      <w:r>
        <w:t>Corrección APA 7: se agrega la cita (SBS, 2026), como en el informe parcial.</w:t>
      </w:r>
    </w:p>
  </w:comment>
  <w:comment w:id="91" w:author="Jorge Chamorro" w:initials="JC" w:date="2026-10-07T03:47:52Z">
    <w:p>
      <w:pPr>
        <w:pStyle w:val="CommentText"/>
      </w:pPr>
      <w:r>
        <w:rPr>
          <w:rStyle w:val="CommentReference"/>
        </w:rPr>
        <w:annotationRef/>
      </w:r>
      <w:r>
        <w:t>Corrección APA 7: el artículo del Reglamento se citaba sin la fuente; se agrega Decreto Supremo N.º 115-2025-PCM (2025), como en el informe parcial.</w:t>
      </w:r>
    </w:p>
  </w:comment>
  <w:comment w:id="92" w:author="Jorge Chamorro" w:initials="JC" w:date="2026-10-07T03:47:52Z">
    <w:p>
      <w:pPr>
        <w:pStyle w:val="CommentText"/>
      </w:pPr>
      <w:r>
        <w:rPr>
          <w:rStyle w:val="CommentReference"/>
        </w:rPr>
        <w:annotationRef/>
      </w:r>
      <w:r>
        <w:t>Corrección APA 7: el artículo del Reglamento se citaba sin la fuente; se agrega Decreto Supremo N.º 115-2025-PCM (2025), como en el informe parcial.</w:t>
      </w:r>
    </w:p>
  </w:comment>
  <w:comment w:id="93" w:author="Jorge Chamorro" w:initials="JC" w:date="2026-10-07T03:47:52Z">
    <w:p>
      <w:pPr>
        <w:pStyle w:val="CommentText"/>
      </w:pPr>
      <w:r>
        <w:rPr>
          <w:rStyle w:val="CommentReference"/>
        </w:rPr>
        <w:annotationRef/>
      </w:r>
      <w:r>
        <w:t>Corrección APA 7: el artículo del Reglamento se citaba sin la fuente; se agrega Decreto Supremo N.º 115-2025-PCM (2025), como en el informe parcial.</w:t>
      </w:r>
    </w:p>
  </w:comment>
  <w:comment w:id="94" w:author="Jorge Chamorro" w:initials="JC" w:date="2026-10-07T03:47:52Z">
    <w:p>
      <w:pPr>
        <w:pStyle w:val="CommentText"/>
      </w:pPr>
      <w:r>
        <w:rPr>
          <w:rStyle w:val="CommentReference"/>
        </w:rPr>
        <w:annotationRef/>
      </w:r>
      <w:r>
        <w:t>Corrección APA 7: el artículo del Reglamento se citaba sin la fuente; se agrega Decreto Supremo N.º 115-2025-PCM (2025), como en el informe parcial.</w:t>
      </w:r>
    </w:p>
  </w:comment>
  <w:comment w:id="95" w:author="Jorge Chamorro" w:initials="JC" w:date="2026-10-07T03:47:52Z">
    <w:p>
      <w:pPr>
        <w:pStyle w:val="CommentText"/>
      </w:pPr>
      <w:r>
        <w:rPr>
          <w:rStyle w:val="CommentReference"/>
        </w:rPr>
        <w:annotationRef/>
      </w:r>
      <w:r>
        <w:t>Corrección APA 7: el artículo del Reglamento se citaba sin la fuente; se agrega Decreto Supremo N.º 115-2025-PCM (2025), como en el informe parcial.</w:t>
      </w:r>
    </w:p>
  </w:comment>
  <w:comment w:id="96"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97"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98"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99"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100"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101"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102"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103" w:author="Jorge Chamorro" w:initials="JC" w:date="2026-10-07T03:47:52Z">
    <w:p>
      <w:pPr>
        <w:pStyle w:val="CommentText"/>
      </w:pPr>
      <w:r>
        <w:rPr>
          <w:rStyle w:val="CommentReference"/>
        </w:rPr>
        <w:annotationRef/>
      </w:r>
      <w:r>
        <w:t>Corrección de coherencia de formato: los plazos se expresan con numerales en todo el informe parcial («18 meses», 36 veces; «dieciocho», ninguna).</w:t>
      </w:r>
    </w:p>
  </w:comment>
  <w:comment w:id="104" w:author="Jorge Chamorro" w:initials="JC" w:date="2026-10-07T03:47:52Z">
    <w:p>
      <w:pPr>
        <w:pStyle w:val="CommentText"/>
      </w:pPr>
      <w:r>
        <w:rPr>
          <w:rStyle w:val="CommentReference"/>
        </w:rPr>
        <w:annotationRef/>
      </w:r>
      <w:r>
        <w:t>Corrección de fidelidad a la fuente (verificada el 7 de octubre de 2026): Abbasi (2026) informa «Total First-Year Investment: $300–$900K+» y «Annual Ongoing: $60–$200K+». El rango de USD 300,000 a 900,000 es la inversión total del primer año, no solo la inicial; el texto anterior la separaba del mantenimiento.</w:t>
      </w:r>
    </w:p>
  </w:comment>
  <w:comment w:id="105" w:author="Jorge Chamorro" w:initials="JC" w:date="2026-10-07T03:47:52Z">
    <w:p>
      <w:pPr>
        <w:pStyle w:val="CommentText"/>
      </w:pPr>
      <w:r>
        <w:rPr>
          <w:rStyle w:val="CommentReference"/>
        </w:rPr>
        <w:annotationRef/>
      </w:r>
      <w:r>
        <w:t>Actualización a pedido del equipo: se usa el tipo de cambio del martes 6 de octubre de 2026. Gestión (2026) informa que el dólar cerró ese día en S/ 3.435 (el lunes 5 cerró en S/ 3.436), según datos del BCRP; se redondea a S/ 3.44 para los cálculos. Fuente periodística secundaria: la serie oficial del BCRP aún no publicaba el cierre del 6 de octubre al momento de la verificación.</w:t>
      </w:r>
    </w:p>
  </w:comment>
  <w:comment w:id="106" w:author="Jorge Chamorro" w:initials="JC" w:date="2026-10-07T03:47:52Z">
    <w:p>
      <w:pPr>
        <w:pStyle w:val="CommentText"/>
      </w:pPr>
      <w:r>
        <w:rPr>
          <w:rStyle w:val="CommentReference"/>
        </w:rPr>
        <w:annotationRef/>
      </w:r>
      <w:r>
        <w:t>Actualización de fecha y de fuente: reemplaza el cierre del 23 de setiembre (S/ 3.3930, El Comercio) por el del 6 de octubre (S/ 3.435, Gestión). La fuente anterior se retira de las referencias porque ya no se cita.</w:t>
      </w:r>
    </w:p>
  </w:comment>
  <w:comment w:id="107" w:author="Jorge Chamorro" w:initials="JC" w:date="2026-10-07T03:47:52Z">
    <w:p>
      <w:pPr>
        <w:pStyle w:val="CommentText"/>
      </w:pPr>
      <w:r>
        <w:rPr>
          <w:rStyle w:val="CommentReference"/>
        </w:rPr>
        <w:annotationRef/>
      </w:r>
      <w:r>
        <w:t>Corrección aritmética: con el tipo de cambio declarado (S/ 3.44 por dólar), S/ 17.25 equivalen a USD 5.01 (con S/ 3.39 eran USD 5.09; el USD 5.07 original no correspondía a ninguno de los dos).</w:t>
      </w:r>
    </w:p>
  </w:comment>
  <w:comment w:id="108" w:author="Jorge Chamorro" w:initials="JC" w:date="2026-10-07T03:47:52Z">
    <w:p>
      <w:pPr>
        <w:pStyle w:val="CommentText"/>
      </w:pPr>
      <w:r>
        <w:rPr>
          <w:rStyle w:val="CommentReference"/>
        </w:rPr>
        <w:annotationRef/>
      </w:r>
      <w:r>
        <w:t>Corrección aritmética: 4,653 casos × USD 5.01 × 6.5 (suma de la rampa lineal de 12 meses) = USD 151,525, que redondea a USD 151,500. Con USD 5.07 daba USD 153,340.</w:t>
      </w:r>
    </w:p>
  </w:comment>
  <w:comment w:id="109" w:author="Jorge Chamorro" w:initials="JC" w:date="2026-10-07T03:47:52Z">
    <w:p>
      <w:pPr>
        <w:pStyle w:val="CommentText"/>
      </w:pPr>
      <w:r>
        <w:rPr>
          <w:rStyle w:val="CommentReference"/>
        </w:rPr>
        <w:annotationRef/>
      </w:r>
      <w:r>
        <w:t>Corrección aritmética: se actualiza el ahorro acumulado a USD 151,500; el ROI resultante es −76.3 %, es decir ≈ −76 %.</w:t>
      </w:r>
    </w:p>
  </w:comment>
  <w:comment w:id="110" w:author="Jorge Chamorro" w:initials="JC" w:date="2026-10-07T03:47:52Z">
    <w:p>
      <w:pPr>
        <w:pStyle w:val="CommentText"/>
      </w:pPr>
      <w:r>
        <w:rPr>
          <w:rStyle w:val="CommentReference"/>
        </w:rPr>
        <w:annotationRef/>
      </w:r>
      <w:r>
        <w:t>Corrección aritmética: el «mes 31» no se reproducía con los supuestos del propio documento. Con ahorro pleno de USD 23,312 al mes desde el mes 18 (con S/ 3.44 por dólar) y un costo mensual de mantenimiento de USD 10,000, el ahorro acumulado (151,525 + 23,312 × n) alcanza el costo acumulado (640,000 + 10,000 × n) con n ≈ 36.7 meses, es decir, hacia el mes 55. Cálculo propio del equipo [C]; depende de supuestos sin fuente validada.</w:t>
      </w:r>
    </w:p>
  </w:comment>
  <w:comment w:id="111" w:author="Jorge Chamorro" w:initials="JC" w:date="2026-10-07T03:47:52Z">
    <w:p>
      <w:pPr>
        <w:pStyle w:val="CommentText"/>
      </w:pPr>
      <w:r>
        <w:rPr>
          <w:rStyle w:val="CommentReference"/>
        </w:rPr>
        <w:annotationRef/>
      </w:r>
      <w:r>
        <w:t>Corrección aritmética: con S/ 3.44 por dólar, S/ 23 equivalen a USD 6.69 (con S/ 3.39 eran USD 6.78; el USD 6.76 original no correspondía a ninguno de los dos).</w:t>
      </w:r>
    </w:p>
  </w:comment>
  <w:comment w:id="112" w:author="Jorge Chamorro" w:initials="JC" w:date="2026-10-07T03:47:52Z">
    <w:p>
      <w:pPr>
        <w:pStyle w:val="CommentText"/>
      </w:pPr>
      <w:r>
        <w:rPr>
          <w:rStyle w:val="CommentReference"/>
        </w:rPr>
        <w:annotationRef/>
      </w:r>
      <w:r>
        <w:t>Corrección aritmética: 1,100 aperturas × USD 6.69 × 6.5 (suma de la rampa lineal) = USD 47,834, que redondea a USD 47,800. Con USD 6.76 daba USD 48,334.</w:t>
      </w:r>
    </w:p>
  </w:comment>
  <w:comment w:id="113" w:author="Jorge Chamorro" w:initials="JC" w:date="2026-10-07T03:47:52Z">
    <w:p>
      <w:pPr>
        <w:pStyle w:val="CommentText"/>
      </w:pPr>
      <w:r>
        <w:rPr>
          <w:rStyle w:val="CommentReference"/>
        </w:rPr>
        <w:annotationRef/>
      </w:r>
      <w:r>
        <w:t>Corrección aritmética: se actualiza el ahorro acumulado a USD 47,800; el ROI resultante es −94.0 %, es decir ≈ −94 %.</w:t>
      </w:r>
    </w:p>
  </w:comment>
  <w:comment w:id="114" w:author="Jorge Chamorro" w:initials="JC" w:date="2026-10-07T03:47:52Z">
    <w:p>
      <w:pPr>
        <w:pStyle w:val="CommentText"/>
      </w:pPr>
      <w:r>
        <w:rPr>
          <w:rStyle w:val="CommentReference"/>
        </w:rPr>
        <w:annotationRef/>
      </w:r>
      <w:r>
        <w:t>Corrección aritmética: el «mes 51» no se reproducía con los supuestos del propio documento. Con ahorro pleno de USD 7,359 al mes (con S/ 3.44 por dólar) y mantenimiento de USD 12,500 al mes, el ahorro acumulado nunca alcanza al costo acumulado. Cálculo propio del equipo [C]; depende de supuestos sin fuente validada.</w:t>
      </w:r>
    </w:p>
  </w:comment>
  <w:comment w:id="115" w:author="Jorge Chamorro" w:initials="JC" w:date="2026-10-07T03:47:52Z">
    <w:p>
      <w:pPr>
        <w:pStyle w:val="CommentText"/>
      </w:pPr>
      <w:r>
        <w:rPr>
          <w:rStyle w:val="CommentReference"/>
        </w:rPr>
        <w:annotationRef/>
      </w:r>
      <w:r>
        <w:t>Corrección de coherencia con la Tabla 41 de este documento (ahorro de USD 151,500 y punto de equilibrio alrededor del mes 55).</w:t>
      </w:r>
    </w:p>
  </w:comment>
  <w:comment w:id="116" w:author="Jorge Chamorro" w:initials="JC" w:date="2026-10-07T03:47:52Z">
    <w:p>
      <w:pPr>
        <w:pStyle w:val="CommentText"/>
      </w:pPr>
      <w:r>
        <w:rPr>
          <w:rStyle w:val="CommentReference"/>
        </w:rPr>
        <w:annotationRef/>
      </w:r>
      <w:r>
        <w:t>Corrección de coherencia con la Tabla 42 de este documento (ahorro de USD 47,800 y recuperación solo posible si se monetiza el beneficio no cuantificado).</w:t>
      </w:r>
    </w:p>
  </w:comment>
  <w:comment w:id="117" w:author="Jorge Chamorro" w:initials="JC" w:date="2026-10-07T03:47:52Z">
    <w:p>
      <w:pPr>
        <w:pStyle w:val="CommentText"/>
      </w:pPr>
      <w:r>
        <w:rPr>
          <w:rStyle w:val="CommentReference"/>
        </w:rPr>
        <w:annotationRef/>
      </w:r>
      <w:r>
        <w:t>Corrección de concordancia con el informe parcial: la sección 5.3 del informe parcial reporta la razón en dos periodos (1.41 veces en el 2T2026 y 1.30 en julio-agosto de 2026) con la misma fuente (2026a a 2026e). El Entregable 4 solo mencionaba el primero.</w:t>
      </w:r>
    </w:p>
  </w:comment>
  <w:comment w:id="118" w:author="Jorge Chamorro" w:initials="JC" w:date="2026-10-07T03:47:52Z">
    <w:p>
      <w:pPr>
        <w:pStyle w:val="CommentText"/>
      </w:pPr>
      <w:r>
        <w:rPr>
          <w:rStyle w:val="CommentReference"/>
        </w:rPr>
        <w:annotationRef/>
      </w:r>
      <w:r>
        <w:t>Corrección de concordancia con el informe parcial: el informe parcial (sección 5.4 y Tabla 32) atribuye a la entrevista únicamente los casos «menores de edad o carné de extranjería»; el requisito de DNI peruano proviene de la página de la Cuenta Digital (Banco BBVA Perú, s. f.-a). Se corrige la atribución.</w:t>
      </w:r>
    </w:p>
  </w:comment>
  <w:comment w:id="119" w:author="Jorge Chamorro" w:initials="JC" w:date="2026-10-07T03:47:52Z">
    <w:p>
      <w:pPr>
        <w:pStyle w:val="CommentText"/>
      </w:pPr>
      <w:r>
        <w:rPr>
          <w:rStyle w:val="CommentReference"/>
        </w:rPr>
        <w:annotationRef/>
      </w:r>
      <w:r>
        <w:t>Corrección de concordancia con el informe parcial: se usa la misma descripción de perfiles que el informe parcial (sección 5.4): menores de edad y titulares de carné de extranjería.</w:t>
      </w:r>
    </w:p>
  </w:comment>
  <w:comment w:id="120" w:author="Jorge Chamorro" w:initials="JC" w:date="2026-10-07T03:47:52Z">
    <w:p>
      <w:pPr>
        <w:pStyle w:val="CommentText"/>
      </w:pPr>
      <w:r>
        <w:rPr>
          <w:rStyle w:val="CommentReference"/>
        </w:rPr>
        <w:annotationRef/>
      </w:r>
      <w:r>
        <w:t>Corrección de concordancia con el informe parcial: se usa la misma descripción de perfiles que atribuye el informe parcial a la entrevista (A. Moquillaza): menores de edad y titulares de carné de extranjería.</w:t>
      </w:r>
    </w:p>
  </w:comment>
  <w:comment w:id="121" w:author="Jorge Chamorro" w:initials="JC" w:date="2026-10-07T03:47:52Z">
    <w:p>
      <w:pPr>
        <w:pStyle w:val="CommentText"/>
      </w:pPr>
      <w:r>
        <w:rPr>
          <w:rStyle w:val="CommentReference"/>
        </w:rPr>
        <w:annotationRef/>
      </w:r>
      <w:r>
        <w:t>Corrección de concordancia con el informe parcial: la sección 5.5 del informe parcial establece que la contribución indirecta al OE2 (empoderamiento económico y bancarización) de las hipótesis de DC1 y DC3 se reportará como beneficio complementario en el business case; el Entregable 4 solo la incluía en DC1.</w:t>
      </w:r>
    </w:p>
  </w:comment>
  <w:comment w:id="122" w:author="Jorge Chamorro" w:initials="JC" w:date="2026-10-07T03:47:52Z">
    <w:p>
      <w:pPr>
        <w:pStyle w:val="CommentText"/>
      </w:pPr>
      <w:r>
        <w:rPr>
          <w:rStyle w:val="CommentReference"/>
        </w:rPr>
        <w:annotationRef/>
      </w:r>
      <w:r>
        <w:t>Corrección de concordancia con el informe parcial: el dato de 35 % al cierre de 2025 (y por tanto el retroceso) figura en la Tabla 25 del informe parcial; la Tabla 32 solo registra el 33 % actual.</w:t>
      </w:r>
    </w:p>
  </w:comment>
  <w:comment w:id="123" w:author="Jorge Chamorro" w:initials="JC" w:date="2026-10-07T03:47:52Z">
    <w:p>
      <w:pPr>
        <w:pStyle w:val="CommentText"/>
      </w:pPr>
      <w:r>
        <w:rPr>
          <w:rStyle w:val="CommentReference"/>
        </w:rPr>
        <w:annotationRef/>
      </w:r>
      <w:r>
        <w:t>Corrección de concordancia con el informe parcial: el indicador «Tasa de derivación a canal asistido» y su ausencia de línea base pública están definidos en la Tabla 25 del informe parcial, no en la Tabla 32.</w:t>
      </w:r>
    </w:p>
  </w:comment>
  <w:comment w:id="124" w:author="Jorge Chamorro" w:initials="JC" w:date="2026-10-07T03:47:52Z">
    <w:p>
      <w:pPr>
        <w:pStyle w:val="CommentText"/>
      </w:pPr>
      <w:r>
        <w:rPr>
          <w:rStyle w:val="CommentReference"/>
        </w:rPr>
        <w:annotationRef/>
      </w:r>
      <w:r>
        <w:t>Corrección de concordancia con el informe parcial: el indicador «Tiempo de ciclo de la ruta asistida», con su línea base a levantar en los primeros 90 días, está definido en la Tabla 23 del informe parcial; la Tabla 30 confirma que la entidad no publica el dato.</w:t>
      </w:r>
    </w:p>
  </w:comment>
  <w:comment w:id="125" w:author="Jorge Chamorro" w:initials="JC" w:date="2026-10-07T03:47:52Z">
    <w:p>
      <w:pPr>
        <w:pStyle w:val="CommentText"/>
      </w:pPr>
      <w:r>
        <w:rPr>
          <w:rStyle w:val="CommentReference"/>
        </w:rPr>
        <w:annotationRef/>
      </w:r>
      <w:r>
        <w:t>Sin fuente validada: los costos de implementación y mantenimiento de DC1 (USD 380,000 y USD 90,000) son estimaciones propias del equipo [C]. Abbasi (2026), verificada el 7 de octubre de 2026, respalda solo la banda genérica para chatbots bancarios (USD 300,000–900,000 el primer año), no estas cifras ni los requisitos regulatorios de riesgo alto del Reglamento de la Ley N.º 31814.</w:t>
      </w:r>
    </w:p>
  </w:comment>
  <w:comment w:id="126" w:author="Jorge Chamorro" w:initials="JC" w:date="2026-10-07T03:47:52Z">
    <w:p>
      <w:pPr>
        <w:pStyle w:val="CommentText"/>
      </w:pPr>
      <w:r>
        <w:rPr>
          <w:rStyle w:val="CommentReference"/>
        </w:rPr>
        <w:annotationRef/>
      </w:r>
      <w:r>
        <w:t>Sin fuente validada: los costos de implementación y mantenimiento de DC2 (USD 520,000 y USD 120,000) son estimaciones propias del equipo [C]. Abbasi (2026) respalda solo la banda genérica; la «mayor complejidad frente a DC1» es un criterio del equipo sin cotización.</w:t>
      </w:r>
    </w:p>
  </w:comment>
  <w:comment w:id="127" w:author="Jorge Chamorro" w:initials="JC" w:date="2026-10-07T03:47:52Z">
    <w:p>
      <w:pPr>
        <w:pStyle w:val="CommentText"/>
      </w:pPr>
      <w:r>
        <w:rPr>
          <w:rStyle w:val="CommentReference"/>
        </w:rPr>
        <w:annotationRef/>
      </w:r>
      <w:r>
        <w:t>Sin fuente validada: los costos de implementación y mantenimiento de DC3 (USD 650,000 y USD 150,000) son estimaciones propias del equipo [C]. Abbasi (2026) respalda solo la banda genérica; el sobrecosto por integración con RENIEC, Migraciones y biometría, y por requisitos para menores de edad, no tiene fuente.</w:t>
      </w:r>
    </w:p>
  </w:comment>
  <w:comment w:id="128" w:author="Jorge Chamorro" w:initials="JC" w:date="2026-10-07T03:47:52Z">
    <w:p>
      <w:pPr>
        <w:pStyle w:val="CommentText"/>
      </w:pPr>
      <w:r>
        <w:rPr>
          <w:rStyle w:val="CommentReference"/>
        </w:rPr>
        <w:annotationRef/>
      </w:r>
      <w:r>
        <w:t>Sin fuente validada: la rampa lineal de adopción (de cero en el mes 6 al valor pleno en el mes 18) es un criterio propio del equipo; ninguna fuente citada la respalda.</w:t>
      </w:r>
    </w:p>
  </w:comment>
  <w:comment w:id="129" w:author="Jorge Chamorro" w:initials="JC" w:date="2026-10-07T03:47:52Z">
    <w:p>
      <w:pPr>
        <w:pStyle w:val="CommentText"/>
      </w:pPr>
      <w:r>
        <w:rPr>
          <w:rStyle w:val="CommentReference"/>
        </w:rPr>
        <w:annotationRef/>
      </w:r>
      <w:r>
        <w:t>Sin fuente validada: el ahorro de 23 minutos es el punto medio de la cifra que el informe parcial atribuye a Backbase (2026): reducir la recopilación de evidencia de 20–30 minutos a menos de 2. En la consulta del 7 de octubre de 2026 no se encontró esa cifra en la página citada ni en el artículo hermano de Backbase del 26 de mayo de 2026 (cuyo título es «Agentic AI for card dispute handling: a vendor demo test»). Hay que validarla con la fuente original o reemplazarla por un dato verificable.</w:t>
      </w:r>
    </w:p>
  </w:comment>
  <w:comment w:id="130" w:author="Jorge Chamorro" w:initials="JC" w:date="2026-10-07T03:47:52Z">
    <w:p>
      <w:pPr>
        <w:pStyle w:val="CommentText"/>
      </w:pPr>
      <w:r>
        <w:rPr>
          <w:rStyle w:val="CommentReference"/>
        </w:rPr>
        <w:annotationRef/>
      </w:r>
      <w:r>
        <w:t>Sin fuente validada: el valor de USD 1,500 es verificable (Stealth Agents, 2026, atribuye a Freddie Mac un ahorro de hasta USD 1,500 por préstamo con su Loan Product Advisor, lanzado el 15 de mayo de 2025), pero corresponde a préstamos hipotecarios en EE. UU.; su aplicación al crédito Pyme peruano es un supuesto del equipo.</w:t>
      </w:r>
    </w:p>
  </w:comment>
  <w:comment w:id="131" w:author="Jorge Chamorro" w:initials="JC" w:date="2026-10-07T03:47:52Z">
    <w:p>
      <w:pPr>
        <w:pStyle w:val="CommentText"/>
      </w:pPr>
      <w:r>
        <w:rPr>
          <w:rStyle w:val="CommentReference"/>
        </w:rPr>
        <w:annotationRef/>
      </w:r>
      <w:r>
        <w:t>Sin fuente validada: el ROI de DC1 es un cálculo propio del equipo [C] que depende del supuesto de 600 solicitudes mensuales y de la aplicabilidad del benchmark de EE. UU.; el cálculo aritmético se verificó (USD 1,579,500 de ahorro acumulado), pero sus insumos no tienen fuente validada.</w:t>
      </w:r>
    </w:p>
  </w:comment>
  <w:comment w:id="132" w:author="Jorge Chamorro" w:initials="JC" w:date="2026-10-07T03:47:52Z">
    <w:p>
      <w:pPr>
        <w:pStyle w:val="CommentText"/>
      </w:pPr>
      <w:r>
        <w:rPr>
          <w:rStyle w:val="CommentReference"/>
        </w:rPr>
        <w:annotationRef/>
      </w:r>
      <w:r>
        <w:t>Sin fuente validada: el ROI de DC2 es un cálculo propio del equipo [C] que depende de los 23 minutos de ahorro (fuente no verificada), del costo de analista de S/ 45 por hora (supuesto sin fuente) y del volumen mensual derivado de un dato trimestral.</w:t>
      </w:r>
    </w:p>
  </w:comment>
  <w:comment w:id="133" w:author="Jorge Chamorro" w:initials="JC" w:date="2026-10-07T03:47:52Z">
    <w:p>
      <w:pPr>
        <w:pStyle w:val="CommentText"/>
      </w:pPr>
      <w:r>
        <w:rPr>
          <w:rStyle w:val="CommentReference"/>
        </w:rPr>
        <w:annotationRef/>
      </w:r>
      <w:r>
        <w:t>Sin fuente validada: el ROI de DC3 es un cálculo propio del equipo [C] que depende de 5,000 aperturas mensuales y de costos unitarios de S/ 25 y S/ 2, todos supuestos sin fuente pública.</w:t>
      </w:r>
    </w:p>
  </w:comment>
  <w:comment w:id="134" w:author="Jorge Chamorro" w:initials="JC" w:date="2026-10-07T03:47:52Z">
    <w:p>
      <w:pPr>
        <w:pStyle w:val="CommentText"/>
      </w:pPr>
      <w:r>
        <w:rPr>
          <w:rStyle w:val="CommentReference"/>
        </w:rPr>
        <w:annotationRef/>
      </w:r>
      <w:r>
        <w:t>Sin fuente validada: el payback de DC1 es un cálculo propio del equipo [C] sobre la rampa lineal y los supuestos de volumen y de ahorro por préstamo (aritmética verificada: el ahorro acumulado supera al costo acumulado en el mes 12).</w:t>
      </w:r>
    </w:p>
  </w:comment>
  <w:comment w:id="135" w:author="Jorge Chamorro" w:initials="JC" w:date="2026-10-07T03:47:52Z">
    <w:p>
      <w:pPr>
        <w:pStyle w:val="CommentText"/>
      </w:pPr>
      <w:r>
        <w:rPr>
          <w:rStyle w:val="CommentReference"/>
        </w:rPr>
        <w:annotationRef/>
      </w:r>
      <w:r>
        <w:t>Sin fuente validada: la afirmación de que los requisitos de riesgo alto añaden costos que la banda de Abbasi (2026) podría subestimar es una inferencia del equipo; la clasificación de riesgo alto sí está en el Reglamento (art. 24.1, literal g), pero ninguna fuente cuantifica ese sobrecosto.</w:t>
      </w:r>
    </w:p>
  </w:comment>
  <w:comment w:id="136" w:author="Jorge Chamorro" w:initials="JC" w:date="2026-10-07T03:47:52Z">
    <w:p>
      <w:pPr>
        <w:pStyle w:val="CommentText"/>
      </w:pPr>
      <w:r>
        <w:rPr>
          <w:rStyle w:val="CommentReference"/>
        </w:rPr>
        <w:annotationRef/>
      </w:r>
      <w:r>
        <w:t>Sin fuente validada: el volumen de 600 solicitudes mensuales y la lectura de que la brecha de 27 puntos porcentuales equivale a 162 solicitudes adicionales son supuestos del equipo, sin fuente pública (ya señalado en el comentario anterior).</w:t>
      </w:r>
    </w:p>
  </w:comment>
  <w:comment w:id="137" w:author="Jorge Chamorro" w:initials="JC" w:date="2026-10-07T03:47:52Z">
    <w:p>
      <w:pPr>
        <w:pStyle w:val="CommentText"/>
      </w:pPr>
      <w:r>
        <w:rPr>
          <w:rStyle w:val="CommentReference"/>
        </w:rPr>
        <w:annotationRef/>
      </w:r>
      <w:r>
        <w:t>Dato derivado: Reusche (2026) informa 48 % de principalidad (Tabla 23 del informe parcial); el 52 % es el complemento calculado por el equipo, no una cifra publicada.</w:t>
      </w:r>
    </w:p>
  </w:comment>
  <w:comment w:id="138" w:author="Jorge Chamorro" w:initials="JC" w:date="2026-10-07T03:47:52Z">
    <w:p>
      <w:pPr>
        <w:pStyle w:val="CommentText"/>
      </w:pPr>
      <w:r>
        <w:rPr>
          <w:rStyle w:val="CommentReference"/>
        </w:rPr>
        <w:annotationRef/>
      </w:r>
      <w:r>
        <w:t>Discrepancia con la fuente (verificada el 7 de octubre de 2026): Kore.ai (2026) dice que las herramientas de IA reducen el abandono de solicitudes «en alrededor de 18 %» y atribuye el dato a Forbes; el informe parcial y este texto dicen «hasta 18 %». Se mantiene la redacción del informe por concordancia; conviene corregir ambos documentos a «alrededor de 18 %» o citar la fuente primaria.</w:t>
      </w:r>
    </w:p>
  </w:comment>
  <w:comment w:id="139" w:author="Jorge Chamorro" w:initials="JC" w:date="2026-10-07T03:47:52Z">
    <w:p>
      <w:pPr>
        <w:pStyle w:val="CommentText"/>
      </w:pPr>
      <w:r>
        <w:rPr>
          <w:rStyle w:val="CommentReference"/>
        </w:rPr>
        <w:annotationRef/>
      </w:r>
      <w:r>
        <w:t>Sin fuente validada: la afirmación de que el ROI mejoraría de forma significativa al monetizar la captación de clientes nuevos es una conjetura del equipo; no hay fuente que valorice un cliente nuevo para la entidad (NO HAY FUENTES EN INTERNET DISPONIBLES).</w:t>
      </w:r>
    </w:p>
  </w:comment>
  <w:comment w:id="140" w:author="Jorge Chamorro" w:initials="JC" w:date="2026-10-07T03:47:52Z">
    <w:p>
      <w:pPr>
        <w:pStyle w:val="CommentText"/>
      </w:pPr>
      <w:r>
        <w:rPr>
          <w:rStyle w:val="CommentReference"/>
        </w:rPr>
        <w:annotationRef/>
      </w:r>
      <w:r>
        <w:t>Sin fuente validada: el diseño TO BE es una propuesta del equipo; ninguna fuente pública confirma que BBVA Perú adoptaría este cambio de proceso. Debe validarse con la entidad.</w:t>
      </w:r>
    </w:p>
  </w:comment>
  <w:comment w:id="141" w:author="Jorge Chamorro" w:initials="JC" w:date="2026-10-07T03:47:52Z">
    <w:p>
      <w:pPr>
        <w:pStyle w:val="CommentText"/>
      </w:pPr>
      <w:r>
        <w:rPr>
          <w:rStyle w:val="CommentReference"/>
        </w:rPr>
        <w:annotationRef/>
      </w:r>
      <w:r>
        <w:t>Sin fuente validada: la descripción de la solución (objetivo, capacidades, datos y límites) es un diseño propuesto por el equipo. Sus insumos sí tienen fuente (secciones 5.2 a 5.4 del informe parcial y Tablas 15 a 17), pero la solución no ha sido validada con la entidad.</w:t>
      </w:r>
    </w:p>
  </w:comment>
  <w:comment w:id="142" w:author="Jorge Chamorro" w:initials="JC" w:date="2026-10-07T03:47:52Z">
    <w:p>
      <w:pPr>
        <w:pStyle w:val="CommentText"/>
      </w:pPr>
      <w:r>
        <w:rPr>
          <w:rStyle w:val="CommentReference"/>
        </w:rPr>
        <w:annotationRef/>
      </w:r>
      <w:r>
        <w:t>Sin fuente validada: la descripción de la solución (objetivo, capacidades, datos y límites) es un diseño propuesto por el equipo. Sus insumos sí tienen fuente (secciones 5.2 a 5.4 del informe parcial y Tablas 15 a 17), pero la solución no ha sido validada con la entidad.</w:t>
      </w:r>
    </w:p>
  </w:comment>
  <w:comment w:id="143" w:author="Jorge Chamorro" w:initials="JC" w:date="2026-10-07T03:47:52Z">
    <w:p>
      <w:pPr>
        <w:pStyle w:val="CommentText"/>
      </w:pPr>
      <w:r>
        <w:rPr>
          <w:rStyle w:val="CommentReference"/>
        </w:rPr>
        <w:annotationRef/>
      </w:r>
      <w:r>
        <w:t>Sin fuente validada: la descripción de la solución (objetivo, capacidades, datos y límites) es un diseño propuesto por el equipo. Sus insumos sí tienen fuente (secciones 5.2 a 5.4 del informe parcial y Tablas 15 a 17), pero la solución no ha sido validada con la entidad.</w:t>
      </w:r>
    </w:p>
  </w:comment>
  <w:comment w:id="144"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45"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46"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47"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48"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49"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0"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1"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2"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3"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4"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5"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6"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7"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8"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59"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0"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1"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2"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3"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4"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5"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6"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7"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8"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69"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70" w:author="Jorge Chamorro" w:initials="JC" w:date="2026-10-07T03:47:52Z">
    <w:p>
      <w:pPr>
        <w:pStyle w:val="CommentText"/>
      </w:pPr>
      <w:r>
        <w:rPr>
          <w:rStyle w:val="CommentReference"/>
        </w:rPr>
        <w:annotationRef/>
      </w:r>
      <w:r>
        <w:t>Corrección de formato: el informe parcial escribe «N.º» con signo ordinal (20 veces) y nunca «N.°» con signo de grado.</w:t>
      </w:r>
    </w:p>
  </w:comment>
  <w:comment w:id="171" w:author="Jorge Chamorro" w:initials="JC" w:date="2026-10-07T03:47:52Z">
    <w:p>
      <w:pPr>
        <w:pStyle w:val="CommentText"/>
      </w:pPr>
      <w:r>
        <w:rPr>
          <w:rStyle w:val="CommentReference"/>
        </w:rPr>
        <w:annotationRef/>
      </w:r>
      <w:r>
        <w:t>Corrección APA 7: al retirarse Backbase (2026b), que no se citaba, la entrada vuelve a (2026), como en el informe parcial.</w:t>
      </w:r>
    </w:p>
  </w:comment>
  <w:comment w:id="172"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f.-i).</w:t>
      </w:r>
    </w:p>
  </w:comment>
  <w:comment w:id="173"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f.-h).</w:t>
      </w:r>
    </w:p>
  </w:comment>
  <w:comment w:id="174"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f.-d).</w:t>
      </w:r>
    </w:p>
  </w:comment>
  <w:comment w:id="175"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f.-e).</w:t>
      </w:r>
    </w:p>
  </w:comment>
  <w:comment w:id="176"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f.-j).</w:t>
      </w:r>
    </w:p>
  </w:comment>
  <w:comment w:id="177"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s. f.-c).</w:t>
      </w:r>
    </w:p>
  </w:comment>
  <w:comment w:id="178"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2026c).</w:t>
      </w:r>
    </w:p>
  </w:comment>
  <w:comment w:id="179"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2026d).</w:t>
      </w:r>
    </w:p>
  </w:comment>
  <w:comment w:id="180"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2026e).</w:t>
      </w:r>
    </w:p>
  </w:comment>
  <w:comment w:id="181"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2026f).</w:t>
      </w:r>
    </w:p>
  </w:comment>
  <w:comment w:id="182"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2026g).</w:t>
      </w:r>
    </w:p>
  </w:comment>
  <w:comment w:id="183" w:author="Jorge Chamorro" w:initials="JC" w:date="2026-10-07T03:47:52Z">
    <w:p>
      <w:pPr>
        <w:pStyle w:val="CommentText"/>
      </w:pPr>
      <w:r>
        <w:rPr>
          <w:rStyle w:val="CommentReference"/>
        </w:rPr>
        <w:annotationRef/>
      </w:r>
      <w:r>
        <w:t>Corrección APA 7 y concordancia con el informe parcial: la letra se asigna por el orden alfabético de los títulos y coincide con la lista del informe parcial (antes: 2026a).</w:t>
      </w:r>
    </w:p>
  </w:comment>
  <w:comment w:id="184" w:author="Jorge Chamorro" w:initials="JC" w:date="2026-10-07T03:47:52Z">
    <w:p>
      <w:pPr>
        <w:pStyle w:val="CommentText"/>
      </w:pPr>
      <w:r>
        <w:rPr>
          <w:rStyle w:val="CommentReference"/>
        </w:rPr>
        <w:annotationRef/>
      </w:r>
      <w:r>
        <w:t>Actualización de fuente: el tipo de cambio de referencia pasa al cierre del 6 de octubre de 2026 (S/ 3.435), informado por Gestión (2026) con datos del BCRP; reemplaza la entrada de El Comercio (cierre del 23 de setiembre). Entrada con el medio como autor, como en la lista del informe parcial. Fuente periodística secundaria.</w:t>
      </w:r>
    </w:p>
  </w:comment>
  <w:comment w:id="185" w:author="Jorge Chamorro" w:initials="JC" w:date="2026-10-07T03:47:52Z">
    <w:p>
      <w:pPr>
        <w:pStyle w:val="CommentText"/>
      </w:pPr>
      <w:r>
        <w:rPr>
          <w:rStyle w:val="CommentReference"/>
        </w:rPr>
        <w:annotationRef/>
      </w:r>
      <w:r>
        <w:t>Corrección APA 7: la norma se referencia con la SBS como autor y la letra 2025b, como en el informe parcial (que cita Res. 00908-2025 como SBS, 2025b).</w:t>
      </w:r>
    </w:p>
  </w:comment>
  <w:comment w:id="186" w:author="Jorge Chamorro" w:initials="JC" w:date="2026-10-07T03:47:52Z">
    <w:p>
      <w:pPr>
        <w:pStyle w:val="CommentText"/>
      </w:pPr>
      <w:r>
        <w:rPr>
          <w:rStyle w:val="CommentReference"/>
        </w:rPr>
        <w:annotationRef/>
      </w:r>
      <w:r>
        <w:t>Corrección APA 7: la norma se referencia con la SBS como autor, como en el informe parcial (que cita Res. 00704-2026 como SBS, 2026).</w:t>
      </w:r>
    </w:p>
  </w:comment>
  <w:comment w:id="187" w:author="Jorge Chamorro" w:initials="JC" w:date="2026-10-07T03:47:52Z">
    <w:p>
      <w:pPr>
        <w:pStyle w:val="CommentText"/>
      </w:pPr>
      <w:r>
        <w:rPr>
          <w:rStyle w:val="CommentReference"/>
        </w:rPr>
        <w:annotationRef/>
      </w:r>
      <w:r>
        <w:t>Corrección APA 7 y concordancia con el informe parcial: la lista se reduce a las obras que este documento cita (APA exige que toda referencia esté citada). Se retiraron: Alarcón, L; BBVA; Backbase; Banco BBVA Perú; Blue Ocean Strategy; Europa Press; Interbank; Kim, W. C., &amp; Mauborgne, R; López, P; Mestanza Arquiñigo, C; Nota sobre las referencias. Las entradas correspondientes a Banco BBVA Perú, BBVA, Melo (2026), Reusche (2026), Andina (2025), Alarcón (2023) y la Superintendencia de Banca, Seguros y AFP (2022) provienen de entregables anteriores y se repiten porque vuelven a citarse en este documento. Para la elaboración del Entregable 4 se incorporaron y verificaron específicamente cinco fuentes nuevas: Abbasi (2026, TMCnet), sobre bandas de costo de implementación de chatbots bancarios; Backbase (2026b), sobre ROI de IA en banca; Unframe (2026), sobre benchmarks de ROI de IA empresarial; Verhagen et al; Pombo Nartallo, V; PressPerú; Reusche, I; Scotiabank Perú; Sundararajan, R., &amp; Jeenah, U; Unframe; Verhagen, A., Luget, A., Conjeaud, O., &amp; Stergiou, V; Yape; la segunda entrada de Backbase (2026b), Unframe (2026) y Verhagen et al. (2025), que figuraban pero no se citaban, y la «Nota sobre las referencias», que describía el proceso de elaboración y no es parte de la lista. Las letras (2026a–2026f, s. f.-a a s. f.-l, 2025b) son las de la lista del informe parcial; por eso la lista de este documento salta letras (por ejemplo, no incluye s. f.-b ni 2026g), de modo que ambos documentos puedan integrarse sin reasignar letras.</w:t>
      </w:r>
    </w:p>
  </w:comment>
  <w:comment w:id="188" w:author="Jorge Chamorro" w:initials="JC" w:date="2026-10-07T03:47:52Z">
    <w:p>
      <w:pPr>
        <w:pStyle w:val="CommentText"/>
      </w:pPr>
      <w:r>
        <w:rPr>
          <w:rStyle w:val="CommentReference"/>
        </w:rPr>
        <w:annotationRef/>
      </w:r>
      <w:r>
        <w:t>Corrección de presentación y de datos: la figura se rehízo con los valores corregidos (ahorro de DC2 USD 151,500; ahorro de DC3 USD 47,800) y con el ROI en un panel propio. La versión anterior cruzaba la línea de cero del ROI con el eje de costos, superponía las etiquetas −76 % y −94 % a las barras y repetía el título dentro de la imagen.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tmcnet.com/topics/articles/2026/03/11/463342-ai-chatbots-banking-cost-breakdown-implementation-timeline.htm" TargetMode="External"/><Relationship Id="rId12" Type="http://schemas.openxmlformats.org/officeDocument/2006/relationships/hyperlink" Target="https://ojo-publico.com/4559/las-millonarias-multas-los-bancos-por-consumos-no-reconocidos" TargetMode="External"/><Relationship Id="rId13" Type="http://schemas.openxmlformats.org/officeDocument/2006/relationships/hyperlink" Target="https://andina.pe/agencia/noticia-indecopi-sistema-financiero-concentra-90-sanciones-operaciones-no-reconocidas-1026373.aspx" TargetMode="External"/><Relationship Id="rId14" Type="http://schemas.openxmlformats.org/officeDocument/2006/relationships/hyperlink" Target="https://www.backbase.com/blog/ai-banking-dispute-resolution-automation" TargetMode="External"/><Relationship Id="rId15" Type="http://schemas.openxmlformats.org/officeDocument/2006/relationships/hyperlink" Target="https://www.backbase.com/blog/ai-roi-banking" TargetMode="External"/><Relationship Id="rId16" Type="http://schemas.openxmlformats.org/officeDocument/2006/relationships/hyperlink" Target="https://www.bbva.pe/pymes/productos/financiamiento/fast-cash.html" TargetMode="External"/><Relationship Id="rId17" Type="http://schemas.openxmlformats.org/officeDocument/2006/relationships/hyperlink" Target="https://www.bbva.pe/pymes/productos/financiamiento/prestamo-digital-negocio.html" TargetMode="External"/><Relationship Id="rId18" Type="http://schemas.openxmlformats.org/officeDocument/2006/relationships/hyperlink" Target="https://www.bbva.pe/empresas/productos/financiamiento/prestamos-comerciales/linea-de-prestamo-digital.html" TargetMode="External"/><Relationship Id="rId19" Type="http://schemas.openxmlformats.org/officeDocument/2006/relationships/hyperlink" Target="https://www.bbva.pe/empresas/productos/financiamiento/prestamos-comerciales/linea-prestamo-digital-persona-juridica.html" TargetMode="External"/><Relationship Id="rId20" Type="http://schemas.openxmlformats.org/officeDocument/2006/relationships/hyperlink" Target="https://www.bbva.pe/empresas/productos/financiamiento/prestamos-comerciales/negocios-empresas.html" TargetMode="External"/><Relationship Id="rId21" Type="http://schemas.openxmlformats.org/officeDocument/2006/relationships/hyperlink" Target="https://www.bbva.pe/empresas/productos/financiamiento/prestamos-comerciales/anticipo-pos.html" TargetMode="External"/><Relationship Id="rId22" Type="http://schemas.openxmlformats.org/officeDocument/2006/relationships/hyperlink" Target="https://www.bbva.pe/personas/sos-cliente/consulta-de-reclamos.html" TargetMode="External"/><Relationship Id="rId23" Type="http://schemas.openxmlformats.org/officeDocument/2006/relationships/hyperlink" Target="https://www.bbva.pe/personas/productos/cuentas/ahorro/cuenta-digital/abrir-cuenta-app.html" TargetMode="External"/><Relationship Id="rId24" Type="http://schemas.openxmlformats.org/officeDocument/2006/relationships/hyperlink" Target="https://www.bbva.pe/personas/productos/cuentas/ahorro/preguntas-frecuentes-sobre-cuentas-de-ahorro.html" TargetMode="External"/><Relationship Id="rId25" Type="http://schemas.openxmlformats.org/officeDocument/2006/relationships/hyperlink" Target="https://www.bbva.pe/empresas/productos/financiamiento/prestamos-comerciales/linea-negocios.html" TargetMode="External"/><Relationship Id="rId26" Type="http://schemas.openxmlformats.org/officeDocument/2006/relationships/hyperlink" Target="https://www.bbva.pe/blog/mis-finanzas/ahorro/cuentas-bancarias-para-ciudadanos-extranjeros.html" TargetMode="External"/><Relationship Id="rId27" Type="http://schemas.openxmlformats.org/officeDocument/2006/relationships/hyperlink" Target="https://www.bbva.pe/blog/mis-finanzas/ahorro/abrir-cuenta-joven-bbva-peru.html" TargetMode="External"/><Relationship Id="rId28" Type="http://schemas.openxmlformats.org/officeDocument/2006/relationships/hyperlink" Target="https://www.bbva.pe/content/dam/public-web/peru/documents/personas/investor-relations/BBVA_Peru_Informe_de_Gestion_4Q25.pdf" TargetMode="External"/><Relationship Id="rId29" Type="http://schemas.openxmlformats.org/officeDocument/2006/relationships/hyperlink" Target="https://www.bbva.pe/content/dam/public-web/peru/documents/prefooter/informacion-financiera/informacion-anual/2026/informe-de-gestion-2T2026.pdf" TargetMode="External"/><Relationship Id="rId30" Type="http://schemas.openxmlformats.org/officeDocument/2006/relationships/hyperlink" Target="https://www.bbva.pe/content/dam/public-web/peru/documents/personas/investor-relations/vii-Memoria-Anual-2025.pdf" TargetMode="External"/><Relationship Id="rId31" Type="http://schemas.openxmlformats.org/officeDocument/2006/relationships/hyperlink" Target="https://www.bbva.pe/content/dam/public-web/peru/documents/personas/informacion-reclamos-atendidos-abril-2026.pdf" TargetMode="External"/><Relationship Id="rId32" Type="http://schemas.openxmlformats.org/officeDocument/2006/relationships/hyperlink" Target="https://www.bbva.pe/content/dam/public-web/peru/documents/personas/Informacion_de_Reclamos_Atendidos_Mayo_2026.pdf" TargetMode="External"/><Relationship Id="rId33" Type="http://schemas.openxmlformats.org/officeDocument/2006/relationships/hyperlink" Target="https://www.bbva.pe/content/dam/public-web/peru/documents/personas/Informacion_de_Reclamos_atendidos_Junio2026.pdf" TargetMode="External"/><Relationship Id="rId34" Type="http://schemas.openxmlformats.org/officeDocument/2006/relationships/hyperlink" Target="https://www.bbva.pe/content/dam/public-web/peru/documents/personas/Informacion_de_Reclamos_Atendidos_Julio_2026.pdf" TargetMode="External"/><Relationship Id="rId35" Type="http://schemas.openxmlformats.org/officeDocument/2006/relationships/hyperlink" Target="https://www.bbva.pe/content/dam/public-web/peru/documents/personas/Informacion_de_Reclamos_Atendidos_Agosto2026.pdf" TargetMode="External"/><Relationship Id="rId36" Type="http://schemas.openxmlformats.org/officeDocument/2006/relationships/hyperlink" Target="https://www.bbva.com/es/pe/innovacion/las-ventajas-que-ofrecen-los-canales-digitales-para-bbva-y-sus-clientes/" TargetMode="External"/><Relationship Id="rId37" Type="http://schemas.openxmlformats.org/officeDocument/2006/relationships/hyperlink" Target="https://www.bbva.com/es/innovacion/bbva-impulsa-the-eight-su-estrategia-para-transformar-la-experiencia-financiera-con-ia/" TargetMode="External"/><Relationship Id="rId38" Type="http://schemas.openxmlformats.org/officeDocument/2006/relationships/hyperlink" Target="https://www.bbva.com/es/pe/empresas/la-app-bbva-empresas-2-0-crece-141-y-acelera-la-digitalizacion-de-las-pymes/" TargetMode="External"/><Relationship Id="rId39" Type="http://schemas.openxmlformats.org/officeDocument/2006/relationships/hyperlink" Target="https://accionistaseinversores.bbva.com/wp-content/uploads/2026/02/NP-Resultados-BBVA-4T2025_esp.pdf" TargetMode="External"/><Relationship Id="rId40" Type="http://schemas.openxmlformats.org/officeDocument/2006/relationships/hyperlink" Target="https://www.bbva.com/es/mx/economia-y-finanzas/bbva-mexico-lanzo-estrategia-de-financiamiento-digital-para-1-1-millones-de-pymes-por-hasta-14-mdp/" TargetMode="External"/><Relationship Id="rId41" Type="http://schemas.openxmlformats.org/officeDocument/2006/relationships/hyperlink" Target="https://www.blueoceanstrategy.com/tools/errc-grid/" TargetMode="External"/><Relationship Id="rId42" Type="http://schemas.openxmlformats.org/officeDocument/2006/relationships/hyperlink" Target="https://busquedas.elperuano.pe/dispositivo/NL/2436426-1" TargetMode="External"/><Relationship Id="rId43" Type="http://schemas.openxmlformats.org/officeDocument/2006/relationships/hyperlink" Target="https://gestion.pe/economia/mercados/tipo-de-cambio-dolar-hoy-en-peru-cuanto-esta-el-precio-del-dolar-este-martes-6-de-octubre-dolares-a-soles-compra-y-venta-bcrp-noticia/" TargetMode="External"/><Relationship Id="rId44" Type="http://schemas.openxmlformats.org/officeDocument/2006/relationships/hyperlink" Target="https://www.bolsamania.com/noticias/mercados/economia--revolut-lanza-air-en-espana-su-nuevo-asistente-de-inteligencia-artificial-para-gestionar-las-finanzas--23442762.html" TargetMode="External"/><Relationship Id="rId45" Type="http://schemas.openxmlformats.org/officeDocument/2006/relationships/hyperlink" Target="https://interbank.pe/tarjetas/tarjeta-digital/tarjeta-digital" TargetMode="External"/><Relationship Id="rId46" Type="http://schemas.openxmlformats.org/officeDocument/2006/relationships/hyperlink" Target="https://www.kore.ai/blog/ai-agents-in-finance-banking-12-proven-use-cases-2026" TargetMode="External"/><Relationship Id="rId47" Type="http://schemas.openxmlformats.org/officeDocument/2006/relationships/hyperlink" Target="https://www.bbva.com/es/pe/innovacion/blue-buddy-la-ia-generativa-que-mejora-la-atencion-en-oficinas-bancarias/" TargetMode="External"/><Relationship Id="rId48" Type="http://schemas.openxmlformats.org/officeDocument/2006/relationships/hyperlink" Target="https://www.infobae.com/peru/2026/03/24/solo-1-de-cada-4-mypes-accede-a-credito-y-paga-mas-por-falta-de-informacion-financiera/" TargetMode="External"/><Relationship Id="rId49"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50" Type="http://schemas.openxmlformats.org/officeDocument/2006/relationships/hyperlink" Target="https://www.bbva.com/en/innovation/generative-ai-customer-service-smes-and-fraud-detection-stood-out-at-the-bbva-bot-talent-competition/" TargetMode="External"/><Relationship Id="rId51" Type="http://schemas.openxmlformats.org/officeDocument/2006/relationships/hyperlink" Target="https://pressperu.com/2026/07/23/mibanco-lleva-la-ia-agentica-de-aws-a-whatsapp-para-transformar-el-acceso-a-las-microfinanzas-en-peru/" TargetMode="External"/><Relationship Id="rId52" Type="http://schemas.openxmlformats.org/officeDocument/2006/relationships/hyperlink" Target="https://gestion.pe/economia/empresas/habra-mas-control-a-creditos-bancarios-que-se-otorguen-con-ia-que-ganaran-clientes-noticia/" TargetMode="External"/><Relationship Id="rId53" Type="http://schemas.openxmlformats.org/officeDocument/2006/relationships/hyperlink" Target="https://busquedas.elperuano.pe/dispositivo/NL/2494159-1" TargetMode="External"/><Relationship Id="rId54" Type="http://schemas.openxmlformats.org/officeDocument/2006/relationships/hyperlink" Target="https://busquedas.elperuano.pe/dispositivo/NL/2379128-1" TargetMode="External"/><Relationship Id="rId55" Type="http://schemas.openxmlformats.org/officeDocument/2006/relationships/hyperlink" Target="https://www.bbva.com/es/pe/innovacion/blue-el-asistente-virtual-de-bbva-atiende-mas-de-cuatro-millones-de-consultas-en-peru/" TargetMode="External"/><Relationship Id="rId56" Type="http://schemas.openxmlformats.org/officeDocument/2006/relationships/hyperlink" Target="https://www.bbva.com/es/pe/empresas/bbva-en-peru-alcanza-una-facturacion-trimestral-historica-en-el-segmento-pymes-con-48-de-crecimiento-versus-2025/" TargetMode="External"/><Relationship Id="rId57" Type="http://schemas.openxmlformats.org/officeDocument/2006/relationships/hyperlink" Target="https://www.scotiabank.com.pe/Personas/Ahorros/Cuentas-Bancarias/cuenta-kids-scotiabank" TargetMode="External"/><Relationship Id="rId58" Type="http://schemas.openxmlformats.org/officeDocument/2006/relationships/hyperlink" Target="https://stealthagents.com/research/ai-loan-underwriting-automation-statistics-2026" TargetMode="External"/><Relationship Id="rId59" Type="http://schemas.openxmlformats.org/officeDocument/2006/relationships/hyperlink" Target="https://www.mckinsey.com/locations/south-america/latam/hispanoamerica-en-potencia/el-fin-de-la-inercia-los-agentes-de-ia-y-la-disrupcion-en-la-banca-minorista-y-pyme/es-CL" TargetMode="External"/><Relationship Id="rId60" Type="http://schemas.openxmlformats.org/officeDocument/2006/relationships/hyperlink" Target="https://intranet2.sbs.gob.pe/dv_int_cn/2230/v1.0/Adjuntos/4036-2022.r.pdf" TargetMode="External"/><Relationship Id="rId61" Type="http://schemas.openxmlformats.org/officeDocument/2006/relationships/hyperlink" Target="https://www.unframe.ai/ai-roi-in-financial-services-2026-benchmarks" TargetMode="External"/><Relationship Id="rId62" Type="http://schemas.openxmlformats.org/officeDocument/2006/relationships/hyperlink" Target="https://www.mckinsey.com/capabilities/risk-and-resilience/our-insights/how-agentic-ai-can-change-the-way-banks-fight-financial-crime" TargetMode="External"/><Relationship Id="rId63" Type="http://schemas.openxmlformats.org/officeDocument/2006/relationships/hyperlink" Target="https://www.yape.com.pe/preguntas-frecuentes/crear-tu-cuenta-yape/como-me-registro-a-yape-con-carne-de-extranjer%C3%ADa-o-pasaporte" TargetMode="External"/><Relationship Id="rId6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