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PONTIFICIA UNIVERSIDAD CATÓLICA DEL PERÚ</w:t>
      </w:r>
    </w:p>
    <w:p w:rsidR="00000000" w:rsidDel="00000000" w:rsidP="00000000" w:rsidRDefault="00000000" w:rsidRPr="00000000" w14:paraId="0000000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FACULTAD DE CIENCIAS E INGENIERÍA</w:t>
      </w: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109059" cy="2088281"/>
            <wp:effectExtent b="0" l="0" r="0" t="0"/>
            <wp:docPr descr="A blue circle with white text and a ship in the water&#10;&#10;Description automatically generated" id="9005" name="image1.png"/>
            <a:graphic>
              <a:graphicData uri="http://schemas.openxmlformats.org/drawingml/2006/picture">
                <pic:pic>
                  <pic:nvPicPr>
                    <pic:cNvPr descr="A blue circle with white text and a ship in the water&#10;&#10;Description automatically generated" id="0" name="image1.png"/>
                    <pic:cNvPicPr preferRelativeResize="0"/>
                  </pic:nvPicPr>
                  <pic:blipFill>
                    <a:blip r:embed="rId9"/>
                    <a:srcRect b="0" l="0" r="0" t="0"/>
                    <a:stretch>
                      <a:fillRect/>
                    </a:stretch>
                  </pic:blipFill>
                  <pic:spPr>
                    <a:xfrm>
                      <a:off x="0" y="0"/>
                      <a:ext cx="2109059" cy="208828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ESTRATEGIAS Y GESTIÓN DE SISTEMAS DE INFORMACIÓN</w:t>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Informe parcial: Entregas 1, 2 y 3</w:t>
      </w:r>
      <w:r w:rsidDel="00000000" w:rsidR="00000000" w:rsidRPr="00000000">
        <w:rPr>
          <w:rtl w:val="0"/>
        </w:rPr>
      </w:r>
    </w:p>
    <w:p w:rsidR="00000000" w:rsidDel="00000000" w:rsidP="00000000" w:rsidRDefault="00000000" w:rsidRPr="00000000" w14:paraId="00000006">
      <w:pPr>
        <w:spacing w:line="48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p w:rsidR="00000000" w:rsidDel="00000000" w:rsidP="00000000" w:rsidRDefault="00000000" w:rsidRPr="00000000" w14:paraId="00000008">
      <w:pPr>
        <w:numPr>
          <w:ilvl w:val="0"/>
          <w:numId w:val="2"/>
        </w:numPr>
        <w:spacing w:line="48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SALAS COHAILA, Gabriel Lucio - 20200606</w:t>
      </w:r>
    </w:p>
    <w:p w:rsidR="00000000" w:rsidDel="00000000" w:rsidP="00000000" w:rsidRDefault="00000000" w:rsidRPr="00000000" w14:paraId="00000009">
      <w:pPr>
        <w:numPr>
          <w:ilvl w:val="0"/>
          <w:numId w:val="2"/>
        </w:numPr>
        <w:spacing w:line="48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CHAMORRO CAYETANO, Jorge Josue - 20206234</w:t>
      </w:r>
    </w:p>
    <w:p w:rsidR="00000000" w:rsidDel="00000000" w:rsidP="00000000" w:rsidRDefault="00000000" w:rsidRPr="00000000" w14:paraId="0000000A">
      <w:pPr>
        <w:numPr>
          <w:ilvl w:val="0"/>
          <w:numId w:val="2"/>
        </w:numPr>
        <w:spacing w:line="48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SANCHEZ PASTOR, Rodrigo Alonso - 20201230</w:t>
      </w:r>
    </w:p>
    <w:p w:rsidR="00000000" w:rsidDel="00000000" w:rsidP="00000000" w:rsidRDefault="00000000" w:rsidRPr="00000000" w14:paraId="0000000B">
      <w:pPr>
        <w:numPr>
          <w:ilvl w:val="0"/>
          <w:numId w:val="2"/>
        </w:numPr>
        <w:spacing w:line="48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SANTILLÁN HUAMÁN, Aarón Ulises - 20200445</w:t>
      </w:r>
    </w:p>
    <w:p w:rsidR="00000000" w:rsidDel="00000000" w:rsidP="00000000" w:rsidRDefault="00000000" w:rsidRPr="00000000" w14:paraId="0000000C">
      <w:pPr>
        <w:numPr>
          <w:ilvl w:val="0"/>
          <w:numId w:val="2"/>
        </w:numPr>
        <w:spacing w:line="48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ORIHUELA MONTERO, Johnny Fabricio - 20211000</w:t>
      </w:r>
    </w:p>
    <w:p w:rsidR="00000000" w:rsidDel="00000000" w:rsidP="00000000" w:rsidRDefault="00000000" w:rsidRPr="00000000" w14:paraId="0000000D">
      <w:pPr>
        <w:spacing w:line="480" w:lineRule="auto"/>
        <w:ind w:left="720" w:hanging="36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PROFESOR:</w:t>
      </w:r>
    </w:p>
    <w:p w:rsidR="00000000" w:rsidDel="00000000" w:rsidP="00000000" w:rsidRDefault="00000000" w:rsidRPr="00000000" w14:paraId="0000000F">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MORALES BARRERA, LUIS ALBERTO</w:t>
      </w: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Lima, setiembre, 2026</w:t>
      </w: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pageBreakBefore w:val="1"/>
        <w:spacing w:line="48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Índice</w:t>
      </w:r>
    </w:p>
    <w:sdt>
      <w:sdtPr>
        <w:id w:val="760926567"/>
        <w:docPartObj>
          <w:docPartGallery w:val="Table of Contents"/>
          <w:docPartUnique w:val="1"/>
        </w:docPartObj>
      </w:sdtPr>
      <w:sdtContent>
        <w:p w:rsidR="00000000" w:rsidDel="00000000" w:rsidP="00000000" w:rsidRDefault="00000000" w:rsidRPr="00000000" w14:paraId="00000017">
          <w:pPr>
            <w:widowControl w:val="0"/>
            <w:tabs>
              <w:tab w:val="right" w:leader="none" w:pos="9060"/>
            </w:tabs>
            <w:spacing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lwamna8082lj">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 Descripción de la empresa</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5segz4wol15p">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 Identificación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iylw2lgitl77">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 Tamaño y participación de mercado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wlxm0vy54q4j">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 Servicios y segmentos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qsbui2myxl3m">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1.4. Canales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5m6qhu33mcq7">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1.5. Tipos de clientes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bl50acauatye">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1.6. Situación actual</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arzh8ynygnfq">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1.7. Sistemas existentes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fu9q99tytcua">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1.8. Business Model Canvas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9060"/>
            </w:tabs>
            <w:spacing w:before="60" w:line="240" w:lineRule="auto"/>
            <w:rPr>
              <w:rFonts w:ascii="Times New Roman" w:cs="Times New Roman" w:eastAsia="Times New Roman" w:hAnsi="Times New Roman"/>
              <w:b w:val="1"/>
              <w:bCs w:val="1"/>
              <w:color w:val="000000"/>
              <w:u w:val="none"/>
            </w:rPr>
          </w:pPr>
          <w:hyperlink w:anchor="_heading=h.6h3s9e7kdgtf">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 Objetivos estratégicos del negocio y procesos críticos</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fee4gcctu7wj">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2.1. Objetivos estratégicos</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2tn93we0fgn9">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2.2. Inventarios de procesos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xbo5ua66mk7p">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2.3. Procesos críticos</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eejoljmb8gfz">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2.4. Análisis de competitividad</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none" w:pos="9060"/>
            </w:tabs>
            <w:spacing w:before="60" w:line="240" w:lineRule="auto"/>
            <w:rPr>
              <w:rFonts w:ascii="Times New Roman" w:cs="Times New Roman" w:eastAsia="Times New Roman" w:hAnsi="Times New Roman"/>
              <w:b w:val="1"/>
              <w:bCs w:val="1"/>
              <w:color w:val="000000"/>
              <w:u w:val="none"/>
            </w:rPr>
          </w:pPr>
          <w:hyperlink w:anchor="_heading=h.qv6ekr8wskpx">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 Identificación y priorización de los dolores de negocio</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rmr371l6ytuq">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3.1. Enfoque metodológico</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slpmqjtajf19">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3.2. Delimitación de los procesos extremo a extremo analizados</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lio1fkfuxw2u">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3.3. Customer journey map del proceso E2E-1: originación de crédito Pyme</w:t>
              <w:tab/>
              <w:t xml:space="preserve">20</w:t>
            </w:r>
          </w:hyperlink>
          <w:r w:rsidDel="00000000" w:rsidR="00000000" w:rsidRPr="00000000">
            <w:rPr>
              <w:rtl w:val="0"/>
            </w:rPr>
          </w:r>
        </w:p>
        <w:p w:rsidR="00000000" w:rsidDel="00000000" w:rsidP="00000000" w:rsidRDefault="00000000" w:rsidRPr="00000000" w14:paraId="00000029">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9pfmuqgkgrsc">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3.4. Service blueprint del proceso E2E-2: atención de operaciones no reconocidas</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bk530kpbc0nv">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3.5. Customer journey map del proceso E2E-3: contratación de productos por canal digital</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nrrsniqgt5w0">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3.6. Inventario de dolores identificados</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nrgrj4r1z3o5">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3.7. Criterios y escala de evaluación</w:t>
              <w:tab/>
              <w:t xml:space="preserve">26</w:t>
            </w:r>
          </w:hyperlink>
          <w:r w:rsidDel="00000000" w:rsidR="00000000" w:rsidRPr="00000000">
            <w:rPr>
              <w:rtl w:val="0"/>
            </w:rPr>
          </w:r>
        </w:p>
        <w:p w:rsidR="00000000" w:rsidDel="00000000" w:rsidP="00000000" w:rsidRDefault="00000000" w:rsidRPr="00000000" w14:paraId="0000002D">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i2ro92yvyk1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3.8. Matriz de priorización</w:t>
              <w:tab/>
              <w:t xml:space="preserve">27</w:t>
            </w:r>
          </w:hyperlink>
          <w:r w:rsidDel="00000000" w:rsidR="00000000" w:rsidRPr="00000000">
            <w:rPr>
              <w:rtl w:val="0"/>
            </w:rPr>
          </w:r>
        </w:p>
        <w:p w:rsidR="00000000" w:rsidDel="00000000" w:rsidP="00000000" w:rsidRDefault="00000000" w:rsidRPr="00000000" w14:paraId="0000002E">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cqdvxkhxfzrd">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3.9. Resultado de la priorización</w:t>
              <w:tab/>
              <w:t xml:space="preserve">28</w:t>
            </w:r>
          </w:hyperlink>
          <w:r w:rsidDel="00000000" w:rsidR="00000000" w:rsidRPr="00000000">
            <w:rPr>
              <w:rtl w:val="0"/>
            </w:rPr>
          </w:r>
        </w:p>
        <w:p w:rsidR="00000000" w:rsidDel="00000000" w:rsidP="00000000" w:rsidRDefault="00000000" w:rsidRPr="00000000" w14:paraId="0000002F">
          <w:pPr>
            <w:widowControl w:val="0"/>
            <w:tabs>
              <w:tab w:val="right" w:leader="none" w:pos="9060"/>
            </w:tabs>
            <w:spacing w:before="60" w:line="240" w:lineRule="auto"/>
            <w:rPr>
              <w:rFonts w:ascii="Times New Roman" w:cs="Times New Roman" w:eastAsia="Times New Roman" w:hAnsi="Times New Roman"/>
              <w:b w:val="1"/>
              <w:bCs w:val="1"/>
              <w:color w:val="000000"/>
              <w:u w:val="none"/>
            </w:rPr>
          </w:pPr>
          <w:hyperlink w:anchor="_heading=h.2inxw94q36y">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4. Alineamiento estratégico del dolor priorizado</w:t>
              <w:tab/>
              <w:t xml:space="preserve">29</w:t>
            </w:r>
          </w:hyperlink>
          <w:r w:rsidDel="00000000" w:rsidR="00000000" w:rsidRPr="00000000">
            <w:rPr>
              <w:rtl w:val="0"/>
            </w:rPr>
          </w:r>
        </w:p>
        <w:p w:rsidR="00000000" w:rsidDel="00000000" w:rsidP="00000000" w:rsidRDefault="00000000" w:rsidRPr="00000000" w14:paraId="00000030">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dopb11j5t37n">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4.1. Selección de los tres dolores críticos</w:t>
              <w:tab/>
              <w:t xml:space="preserve">29</w:t>
            </w:r>
          </w:hyperlink>
          <w:r w:rsidDel="00000000" w:rsidR="00000000" w:rsidRPr="00000000">
            <w:rPr>
              <w:rtl w:val="0"/>
            </w:rPr>
          </w:r>
        </w:p>
        <w:p w:rsidR="00000000" w:rsidDel="00000000" w:rsidP="00000000" w:rsidRDefault="00000000" w:rsidRPr="00000000" w14:paraId="00000031">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c6u8x7ltb76k">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4.2. Matriz de alineamiento entre dolores críticos y objetivos estratégicos</w:t>
              <w:tab/>
              <w:t xml:space="preserve">29</w:t>
            </w:r>
          </w:hyperlink>
          <w:r w:rsidDel="00000000" w:rsidR="00000000" w:rsidRPr="00000000">
            <w:rPr>
              <w:rtl w:val="0"/>
            </w:rPr>
          </w:r>
        </w:p>
        <w:p w:rsidR="00000000" w:rsidDel="00000000" w:rsidP="00000000" w:rsidRDefault="00000000" w:rsidRPr="00000000" w14:paraId="00000032">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siqiz0lzs85m">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4.3. Indicadores base de los dolores críticos</w:t>
              <w:tab/>
              <w:t xml:space="preserve">31</w:t>
            </w:r>
          </w:hyperlink>
          <w:r w:rsidDel="00000000" w:rsidR="00000000" w:rsidRPr="00000000">
            <w:rPr>
              <w:rtl w:val="0"/>
            </w:rPr>
          </w:r>
        </w:p>
        <w:p w:rsidR="00000000" w:rsidDel="00000000" w:rsidP="00000000" w:rsidRDefault="00000000" w:rsidRPr="00000000" w14:paraId="00000033">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b31j083od264">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4.4. Condiciones de medición y vacíos de información</w:t>
              <w:tab/>
              <w:t xml:space="preserve">37</w:t>
            </w:r>
          </w:hyperlink>
          <w:r w:rsidDel="00000000" w:rsidR="00000000" w:rsidRPr="00000000">
            <w:rPr>
              <w:rtl w:val="0"/>
            </w:rPr>
          </w:r>
        </w:p>
        <w:p w:rsidR="00000000" w:rsidDel="00000000" w:rsidP="00000000" w:rsidRDefault="00000000" w:rsidRPr="00000000" w14:paraId="00000034">
          <w:pPr>
            <w:widowControl w:val="0"/>
            <w:tabs>
              <w:tab w:val="right" w:leader="none" w:pos="9060"/>
            </w:tabs>
            <w:spacing w:before="60" w:line="240" w:lineRule="auto"/>
            <w:rPr>
              <w:rFonts w:ascii="Times New Roman" w:cs="Times New Roman" w:eastAsia="Times New Roman" w:hAnsi="Times New Roman"/>
              <w:b w:val="1"/>
              <w:bCs w:val="1"/>
              <w:color w:val="000000"/>
              <w:u w:val="none"/>
            </w:rPr>
          </w:pPr>
          <w:hyperlink w:anchor="_heading=h.1kyca2bfypxx">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5. Hipótesis de las iniciativas a ser desarrolladas</w:t>
              <w:tab/>
              <w:t xml:space="preserve">39</w:t>
            </w:r>
          </w:hyperlink>
          <w:r w:rsidDel="00000000" w:rsidR="00000000" w:rsidRPr="00000000">
            <w:rPr>
              <w:rtl w:val="0"/>
            </w:rPr>
          </w:r>
        </w:p>
        <w:p w:rsidR="00000000" w:rsidDel="00000000" w:rsidP="00000000" w:rsidRDefault="00000000" w:rsidRPr="00000000" w14:paraId="00000035">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220brtdt4llx">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5.1. Enfoque metodológico para la formulación de hipótesis</w:t>
              <w:tab/>
              <w:t xml:space="preserve">39</w:t>
            </w:r>
          </w:hyperlink>
          <w:r w:rsidDel="00000000" w:rsidR="00000000" w:rsidRPr="00000000">
            <w:rPr>
              <w:rtl w:val="0"/>
            </w:rPr>
          </w:r>
        </w:p>
        <w:p w:rsidR="00000000" w:rsidDel="00000000" w:rsidP="00000000" w:rsidRDefault="00000000" w:rsidRPr="00000000" w14:paraId="00000036">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x19k35cjqrwu">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5.2. Hipótesis de iniciativa para DC1: agente de precalificación crediticia Pyme</w:t>
              <w:tab/>
              <w:t xml:space="preserve">40</w:t>
            </w:r>
          </w:hyperlink>
          <w:r w:rsidDel="00000000" w:rsidR="00000000" w:rsidRPr="00000000">
            <w:rPr>
              <w:rtl w:val="0"/>
            </w:rPr>
          </w:r>
        </w:p>
        <w:p w:rsidR="00000000" w:rsidDel="00000000" w:rsidP="00000000" w:rsidRDefault="00000000" w:rsidRPr="00000000" w14:paraId="00000037">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a8qlnlgr6mhw">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5.3. Hipótesis de iniciativa para DC2: agente de investigación asistida de reclamos</w:t>
              <w:tab/>
              <w:t xml:space="preserve">43</w:t>
            </w:r>
          </w:hyperlink>
          <w:r w:rsidDel="00000000" w:rsidR="00000000" w:rsidRPr="00000000">
            <w:rPr>
              <w:rtl w:val="0"/>
            </w:rPr>
          </w:r>
        </w:p>
        <w:p w:rsidR="00000000" w:rsidDel="00000000" w:rsidP="00000000" w:rsidRDefault="00000000" w:rsidRPr="00000000" w14:paraId="00000038">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xcx5p0yf56be">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5.4. Hipótesis de iniciativa para DC3: agente de verificación progresiva en la contratación digital</w:t>
              <w:tab/>
              <w:t xml:space="preserve">45</w:t>
            </w:r>
          </w:hyperlink>
          <w:r w:rsidDel="00000000" w:rsidR="00000000" w:rsidRPr="00000000">
            <w:rPr>
              <w:rtl w:val="0"/>
            </w:rPr>
          </w:r>
        </w:p>
        <w:p w:rsidR="00000000" w:rsidDel="00000000" w:rsidP="00000000" w:rsidRDefault="00000000" w:rsidRPr="00000000" w14:paraId="00000039">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aeu7bwq6ll04">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5.5. Síntesis de las hipótesis de iniciativa</w:t>
              <w:tab/>
              <w:t xml:space="preserve">48</w:t>
            </w:r>
          </w:hyperlink>
          <w:r w:rsidDel="00000000" w:rsidR="00000000" w:rsidRPr="00000000">
            <w:rPr>
              <w:rtl w:val="0"/>
            </w:rPr>
          </w:r>
        </w:p>
        <w:p w:rsidR="00000000" w:rsidDel="00000000" w:rsidP="00000000" w:rsidRDefault="00000000" w:rsidRPr="00000000" w14:paraId="0000003A">
          <w:pPr>
            <w:widowControl w:val="0"/>
            <w:tabs>
              <w:tab w:val="right" w:leader="none" w:pos="9060"/>
            </w:tabs>
            <w:spacing w:before="60" w:line="240" w:lineRule="auto"/>
            <w:rPr>
              <w:rFonts w:ascii="Times New Roman" w:cs="Times New Roman" w:eastAsia="Times New Roman" w:hAnsi="Times New Roman"/>
              <w:b w:val="1"/>
              <w:bCs w:val="1"/>
              <w:color w:val="000000"/>
              <w:u w:val="none"/>
            </w:rPr>
          </w:pPr>
          <w:hyperlink w:anchor="_heading=h.35rcpzos48ek">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6. Descripción detallada de los puntos de dolor As Is</w:t>
              <w:tab/>
              <w:t xml:space="preserve">50</w:t>
            </w:r>
          </w:hyperlink>
          <w:r w:rsidDel="00000000" w:rsidR="00000000" w:rsidRPr="00000000">
            <w:rPr>
              <w:rtl w:val="0"/>
            </w:rPr>
          </w:r>
        </w:p>
        <w:p w:rsidR="00000000" w:rsidDel="00000000" w:rsidP="00000000" w:rsidRDefault="00000000" w:rsidRPr="00000000" w14:paraId="0000003B">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d6wjvfaggdaj">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6.1. Descripción As Is del dolor crítico DC1: originación de crédito Pyme</w:t>
              <w:tab/>
              <w:t xml:space="preserve">50</w:t>
            </w:r>
          </w:hyperlink>
          <w:r w:rsidDel="00000000" w:rsidR="00000000" w:rsidRPr="00000000">
            <w:rPr>
              <w:rtl w:val="0"/>
            </w:rPr>
          </w:r>
        </w:p>
        <w:p w:rsidR="00000000" w:rsidDel="00000000" w:rsidP="00000000" w:rsidRDefault="00000000" w:rsidRPr="00000000" w14:paraId="0000003C">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t494v0iwpxk8">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6.2. Descripción As Is del dolor crítico DC2: operaciones no reconocidas</w:t>
              <w:tab/>
              <w:t xml:space="preserve">51</w:t>
            </w:r>
          </w:hyperlink>
          <w:r w:rsidDel="00000000" w:rsidR="00000000" w:rsidRPr="00000000">
            <w:rPr>
              <w:rtl w:val="0"/>
            </w:rPr>
          </w:r>
        </w:p>
        <w:p w:rsidR="00000000" w:rsidDel="00000000" w:rsidP="00000000" w:rsidRDefault="00000000" w:rsidRPr="00000000" w14:paraId="0000003D">
          <w:pPr>
            <w:widowControl w:val="0"/>
            <w:tabs>
              <w:tab w:val="right" w:leader="none" w:pos="9060"/>
            </w:tabs>
            <w:spacing w:before="60" w:line="240" w:lineRule="auto"/>
            <w:ind w:left="360" w:firstLine="0"/>
            <w:rPr>
              <w:rFonts w:ascii="Times New Roman" w:cs="Times New Roman" w:eastAsia="Times New Roman" w:hAnsi="Times New Roman"/>
              <w:color w:val="000000"/>
              <w:u w:val="none"/>
            </w:rPr>
          </w:pPr>
          <w:hyperlink w:anchor="_heading=h.i61wlycfcfiy">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6.3. Descripción As Is del dolor crítico DC3: contratación por canal digital</w:t>
              <w:tab/>
              <w:t xml:space="preserve">52</w:t>
            </w:r>
          </w:hyperlink>
          <w:r w:rsidDel="00000000" w:rsidR="00000000" w:rsidRPr="00000000">
            <w:rPr>
              <w:rtl w:val="0"/>
            </w:rPr>
          </w:r>
        </w:p>
        <w:p w:rsidR="00000000" w:rsidDel="00000000" w:rsidP="00000000" w:rsidRDefault="00000000" w:rsidRPr="00000000" w14:paraId="0000003E">
          <w:pPr>
            <w:widowControl w:val="0"/>
            <w:tabs>
              <w:tab w:val="right" w:leader="none" w:pos="9060"/>
            </w:tabs>
            <w:spacing w:before="60" w:line="240" w:lineRule="auto"/>
            <w:rPr>
              <w:rFonts w:ascii="Times New Roman" w:cs="Times New Roman" w:eastAsia="Times New Roman" w:hAnsi="Times New Roman"/>
              <w:b w:val="1"/>
              <w:bCs w:val="1"/>
              <w:color w:val="000000"/>
              <w:u w:val="none"/>
            </w:rPr>
          </w:pPr>
          <w:hyperlink w:anchor="_heading=h.ange4ffppmsn">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7. Referencias bibliográficas</w:t>
              <w:tab/>
              <w:t xml:space="preserve">54</w:t>
            </w:r>
          </w:hyperlink>
          <w:r w:rsidDel="00000000" w:rsidR="00000000" w:rsidRPr="00000000">
            <w:rPr>
              <w:rtl w:val="0"/>
            </w:rPr>
          </w:r>
        </w:p>
        <w:p w:rsidR="00000000" w:rsidDel="00000000" w:rsidP="00000000" w:rsidRDefault="00000000" w:rsidRPr="00000000" w14:paraId="0000003F">
          <w:pPr>
            <w:widowControl w:val="0"/>
            <w:tabs>
              <w:tab w:val="right" w:leader="none" w:pos="9060"/>
            </w:tabs>
            <w:spacing w:before="60" w:line="240" w:lineRule="auto"/>
            <w:rPr>
              <w:rFonts w:ascii="Times New Roman" w:cs="Times New Roman" w:eastAsia="Times New Roman" w:hAnsi="Times New Roman"/>
              <w:b w:val="1"/>
              <w:bCs w:val="1"/>
              <w:color w:val="000000"/>
              <w:u w:val="none"/>
            </w:rPr>
          </w:pPr>
          <w:hyperlink w:anchor="_heading=h.w1aa2plyd170">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Anexo A. Entrevista con el Service Owner de ATM y Autoservicios de BBVA Perú</w:t>
              <w:tab/>
              <w:t xml:space="preserve">61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pStyle w:val="Heading1"/>
        <w:pageBreakBefore w:val="1"/>
        <w:numPr>
          <w:ilvl w:val="0"/>
          <w:numId w:val="1"/>
        </w:numPr>
        <w:ind w:left="566.9291338582675" w:hanging="360"/>
        <w:rPr>
          <w:rFonts w:ascii="Times New Roman" w:cs="Times New Roman" w:eastAsia="Times New Roman" w:hAnsi="Times New Roman"/>
          <w:b w:val="1"/>
          <w:bCs w:val="1"/>
        </w:rPr>
      </w:pPr>
      <w:bookmarkStart w:colFirst="0" w:colLast="0" w:name="_heading=h.lwamna8082lj" w:id="0"/>
      <w:bookmarkEnd w:id="0"/>
      <w:r w:rsidDel="00000000" w:rsidR="00000000" w:rsidRPr="00000000">
        <w:rPr>
          <w:rFonts w:ascii="Times New Roman" w:cs="Times New Roman" w:eastAsia="Times New Roman" w:hAnsi="Times New Roman"/>
          <w:b w:val="1"/>
          <w:bCs w:val="1"/>
          <w:sz w:val="22"/>
          <w:szCs w:val="22"/>
          <w:rtl w:val="0"/>
        </w:rPr>
        <w:t xml:space="preserve">Descripción de la empresa</w:t>
      </w:r>
    </w:p>
    <w:p w:rsidR="00000000" w:rsidDel="00000000" w:rsidP="00000000" w:rsidRDefault="00000000" w:rsidRPr="00000000" w14:paraId="00000041">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heading=h.5segz4wol15p" w:id="1"/>
      <w:bookmarkEnd w:id="1"/>
      <w:r w:rsidDel="00000000" w:rsidR="00000000" w:rsidRPr="00000000">
        <w:rPr>
          <w:rFonts w:ascii="Times New Roman" w:cs="Times New Roman" w:eastAsia="Times New Roman" w:hAnsi="Times New Roman"/>
          <w:b w:val="1"/>
          <w:bCs w:val="1"/>
          <w:sz w:val="22"/>
          <w:szCs w:val="22"/>
          <w:rtl w:val="0"/>
        </w:rPr>
        <w:t xml:space="preserve">Identificación</w:t>
      </w:r>
    </w:p>
    <w:p w:rsidR="00000000" w:rsidDel="00000000" w:rsidP="00000000" w:rsidRDefault="00000000" w:rsidRPr="00000000" w14:paraId="00000042">
      <w:pPr>
        <w:ind w:left="708.6614173228347" w:right="-40.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Banco BBVA Perú es una sociedad anónima abierta constituida en 1951 y autorizada para operar como entidad bancaria bajo supervisión de la Superintendencia de Banca, Seguros y AFP. Su actividad corresponde a la banca múltiple: capta recursos, concede financiamiento, procesa pagos, administra inversiones y presta servicios financieros a personas, empresas e instituciones. La entidad opera con el RUC 20100130204 y tiene su sede principal en la avenida República de Panamá 3055, San Isidro, Lima (</w:t>
      </w:r>
      <w:r w:rsidDel="00000000" w:rsidR="00000000" w:rsidRPr="00000000">
        <w:rPr>
          <w:rFonts w:ascii="Times New Roman" w:cs="Times New Roman" w:eastAsia="Times New Roman" w:hAnsi="Times New Roman"/>
          <w:rtl w:val="0"/>
        </w:rPr>
        <w:t xml:space="preserve">Banco BBVA Perú, 2026g; BBVA Perú, s. f.</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3">
      <w:pPr>
        <w:ind w:left="708.6614173228347" w:right="-40.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propiedad se concentra en dos accionistas con participaciones equivalentes: BBVA Perú Holding S. A. C., vinculada al Grupo BBVA, y Holding Continental S. A., vinculada al Grupo Breca, cada una con 47.13 %; el 5.74 % restante se encuentra distribuido entre otros accionistas. Esta composición combina capacidades de un grupo financiero internacional con conocimiento y presencia empresarial local (</w:t>
      </w:r>
      <w:r w:rsidDel="00000000" w:rsidR="00000000" w:rsidRPr="00000000">
        <w:rPr>
          <w:rFonts w:ascii="Times New Roman" w:cs="Times New Roman" w:eastAsia="Times New Roman" w:hAnsi="Times New Roman"/>
          <w:rtl w:val="0"/>
        </w:rPr>
        <w:t xml:space="preserve">Banco BBVA Perú, 2026g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ind w:left="708.6614173228347"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1</w:t>
      </w:r>
    </w:p>
    <w:p w:rsidR="00000000" w:rsidDel="00000000" w:rsidP="00000000" w:rsidRDefault="00000000" w:rsidRPr="00000000" w14:paraId="00000046">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Ficha general de Banco BBVA Perú</w:t>
      </w:r>
    </w:p>
    <w:tbl>
      <w:tblPr>
        <w:tblStyle w:val="Table1"/>
        <w:tblW w:w="838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030"/>
        <w:tblGridChange w:id="0">
          <w:tblGrid>
            <w:gridCol w:w="2355"/>
            <w:gridCol w:w="6030"/>
          </w:tblGrid>
        </w:tblGridChange>
      </w:tblGrid>
      <w:tr>
        <w:trPr>
          <w:cantSplit w:val="0"/>
          <w:trHeight w:val="423.251408051408"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47">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Campo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48">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p>
        </w:tc>
      </w:tr>
      <w:tr>
        <w:trPr>
          <w:cantSplit w:val="0"/>
          <w:trHeight w:val="382.34266556527297"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49">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Razón social</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4A">
            <w:pPr>
              <w:spacing w:line="252.00000000000003" w:lineRule="auto"/>
              <w:ind w:right="-316.4173228346453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Banco BBVA Perú</w:t>
            </w:r>
          </w:p>
        </w:tc>
      </w:tr>
      <w:tr>
        <w:trPr>
          <w:cantSplit w:val="0"/>
          <w:trHeight w:val="382.34266556527297"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4B">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Sector</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4C">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Servicios financieros - banca múltiple</w:t>
            </w:r>
          </w:p>
        </w:tc>
      </w:tr>
      <w:tr>
        <w:trPr>
          <w:cantSplit w:val="0"/>
          <w:trHeight w:val="382.34266556527297"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4D">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Naturaleza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4E">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Sociedad anónima abierta, supervisada por la SBS</w:t>
            </w:r>
          </w:p>
        </w:tc>
      </w:tr>
      <w:tr>
        <w:trPr>
          <w:cantSplit w:val="0"/>
          <w:trHeight w:val="382.34266556527297"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4F">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RUC</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50">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20100130204</w:t>
            </w:r>
          </w:p>
        </w:tc>
      </w:tr>
      <w:tr>
        <w:trPr>
          <w:cantSplit w:val="0"/>
          <w:trHeight w:val="382.34266556527297"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1">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Año de constitución</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2">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1951</w:t>
            </w:r>
          </w:p>
        </w:tc>
      </w:tr>
      <w:tr>
        <w:trPr>
          <w:cantSplit w:val="0"/>
          <w:trHeight w:val="382.34266556527297"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53">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Sede principal</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54">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Av. República de Panamá 3055, San Isidro, Lima</w:t>
            </w:r>
          </w:p>
        </w:tc>
      </w:tr>
      <w:tr>
        <w:trPr>
          <w:cantSplit w:val="0"/>
          <w:trHeight w:val="382.34266556527297"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5">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Ámbito del informe</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6">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Operación bancaria en el mercado peruano</w:t>
            </w:r>
          </w:p>
        </w:tc>
      </w:tr>
    </w:tbl>
    <w:p w:rsidR="00000000" w:rsidDel="00000000" w:rsidP="00000000" w:rsidRDefault="00000000" w:rsidRPr="00000000" w14:paraId="00000057">
      <w:pPr>
        <w:spacing w:after="160" w:before="200" w:lineRule="auto"/>
        <w:ind w:left="72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Banco BBVA Perú (</w:t>
      </w:r>
      <w:r w:rsidDel="00000000" w:rsidR="00000000" w:rsidRPr="00000000">
        <w:rPr>
          <w:rFonts w:ascii="Times New Roman" w:cs="Times New Roman" w:eastAsia="Times New Roman" w:hAnsi="Times New Roman"/>
          <w:rtl w:val="0"/>
        </w:rPr>
        <w:t xml:space="preserve">2026g</w:t>
      </w:r>
      <w:r w:rsidDel="00000000" w:rsidR="00000000" w:rsidRPr="00000000">
        <w:rPr>
          <w:rFonts w:ascii="Times New Roman" w:cs="Times New Roman" w:eastAsia="Times New Roman" w:hAnsi="Times New Roman"/>
          <w:rtl w:val="0"/>
        </w:rPr>
        <w:t xml:space="preserve">) y BBVA Perú (s. f.).</w:t>
      </w:r>
    </w:p>
    <w:p w:rsidR="00000000" w:rsidDel="00000000" w:rsidP="00000000" w:rsidRDefault="00000000" w:rsidRPr="00000000" w14:paraId="00000058">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heading=h.iylw2lgitl77" w:id="2"/>
      <w:bookmarkEnd w:id="2"/>
      <w:r w:rsidDel="00000000" w:rsidR="00000000" w:rsidRPr="00000000">
        <w:rPr>
          <w:rFonts w:ascii="Times New Roman" w:cs="Times New Roman" w:eastAsia="Times New Roman" w:hAnsi="Times New Roman"/>
          <w:b w:val="1"/>
          <w:bCs w:val="1"/>
          <w:sz w:val="22"/>
          <w:szCs w:val="22"/>
          <w:rtl w:val="0"/>
        </w:rPr>
        <w:t xml:space="preserve">Tamaño y participación de mercado</w:t>
      </w:r>
    </w:p>
    <w:p w:rsidR="00000000" w:rsidDel="00000000" w:rsidP="00000000" w:rsidRDefault="00000000" w:rsidRPr="00000000" w14:paraId="00000059">
      <w:pPr>
        <w:spacing w:after="160" w:lineRule="auto"/>
        <w:ind w:left="708.6614173228347" w:right="-40.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su escala financiera, número de clientes, red de atención y dotación de personal, BBVA Perú puede clasificarse como una organización grande y sistémicamente relevante dentro de la banca peruana. Al 30 de junio de 2026 registró S/ 117,146 millones en activos y S/ 82,194 millones en colocaciones netas; en el primer semestre obtuvo una utilidad neta de S/ 1,465 millones, 32.3 % superior a la del mismo periodo de 2025 (</w:t>
      </w:r>
      <w:r w:rsidDel="00000000" w:rsidR="00000000" w:rsidRPr="00000000">
        <w:rPr>
          <w:rFonts w:ascii="Times New Roman" w:cs="Times New Roman" w:eastAsia="Times New Roman" w:hAnsi="Times New Roman"/>
          <w:rtl w:val="0"/>
        </w:rPr>
        <w:t xml:space="preserve">Banco BBVA Perú, 2026f, pp. 20-21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A">
      <w:pPr>
        <w:ind w:left="720" w:hanging="11.338582677165334"/>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Figura 1</w:t>
      </w:r>
    </w:p>
    <w:p w:rsidR="00000000" w:rsidDel="00000000" w:rsidP="00000000" w:rsidRDefault="00000000" w:rsidRPr="00000000" w14:paraId="0000005B">
      <w:pPr>
        <w:spacing w:after="100" w:lineRule="auto"/>
        <w:ind w:left="720" w:hanging="11.338582677165334"/>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Escala financiera de BBVA Perú al 30 de junio de 2026</w:t>
      </w:r>
    </w:p>
    <w:p w:rsidR="00000000" w:rsidDel="00000000" w:rsidP="00000000" w:rsidRDefault="00000000" w:rsidRPr="00000000" w14:paraId="0000005C">
      <w:pPr>
        <w:spacing w:after="40" w:lineRule="auto"/>
        <w:ind w:left="705"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348023" cy="2347913"/>
            <wp:effectExtent b="0" l="0" r="0" t="0"/>
            <wp:docPr id="900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48023"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160" w:before="40" w:lineRule="auto"/>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Los importes se expresan en miles de millones de soles. Elaboración propia con datos de Banco BBVA Perú (</w:t>
      </w:r>
      <w:r w:rsidDel="00000000" w:rsidR="00000000" w:rsidRPr="00000000">
        <w:rPr>
          <w:rFonts w:ascii="Times New Roman" w:cs="Times New Roman" w:eastAsia="Times New Roman" w:hAnsi="Times New Roman"/>
          <w:rtl w:val="0"/>
        </w:rPr>
        <w:t xml:space="preserve">2026f, p. 20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E">
      <w:pPr>
        <w:ind w:left="708.6614173228347"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2</w:t>
      </w:r>
    </w:p>
    <w:p w:rsidR="00000000" w:rsidDel="00000000" w:rsidP="00000000" w:rsidRDefault="00000000" w:rsidRPr="00000000" w14:paraId="0000005F">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Indicadores de dimensión y desempeño</w:t>
      </w:r>
    </w:p>
    <w:tbl>
      <w:tblPr>
        <w:tblStyle w:val="Table2"/>
        <w:tblW w:w="8400.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1830"/>
        <w:gridCol w:w="3930"/>
        <w:tblGridChange w:id="0">
          <w:tblGrid>
            <w:gridCol w:w="2640"/>
            <w:gridCol w:w="1830"/>
            <w:gridCol w:w="3930"/>
          </w:tblGrid>
        </w:tblGridChange>
      </w:tblGrid>
      <w:tr>
        <w:trPr>
          <w:cantSplit w:val="0"/>
          <w:trHeight w:val="405"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60">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Indicador</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61">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Valor</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62">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Periodo / lectura</w:t>
            </w:r>
          </w:p>
        </w:tc>
      </w:tr>
      <w:tr>
        <w:trPr>
          <w:cantSplit w:val="0"/>
          <w:trHeight w:val="360"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63">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Activo total</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64">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 117,146 millones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65">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Junio de 2026; +7.6 % interanual</w:t>
            </w:r>
          </w:p>
        </w:tc>
      </w:tr>
      <w:tr>
        <w:trPr>
          <w:cantSplit w:val="0"/>
          <w:trHeight w:val="360"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66">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Colocaciones netas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67">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 82,194 millones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68">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Junio de 2026; +10.4 % interanual</w:t>
            </w:r>
          </w:p>
        </w:tc>
      </w:tr>
      <w:tr>
        <w:trPr>
          <w:cantSplit w:val="0"/>
          <w:trHeight w:val="360"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69">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Obligaciones con el público</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6A">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 87,202 millones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6B">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Junio de 2026; +14.5 % interanual</w:t>
            </w:r>
          </w:p>
        </w:tc>
      </w:tr>
      <w:tr>
        <w:trPr>
          <w:cantSplit w:val="0"/>
          <w:trHeight w:val="360"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6C">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Patrimonio neto</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6D">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 15,217 millones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6E">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Junio de 2026; +12.1 % interanual</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6F">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Utilidad neta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70">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 1,465 millones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71">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Acumulada a junio de 2026; +32.3 % interanual</w:t>
            </w:r>
          </w:p>
        </w:tc>
      </w:tr>
      <w:tr>
        <w:trPr>
          <w:cantSplit w:val="0"/>
          <w:trHeight w:val="360"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72">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Clientes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73">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9,465,848</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74">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Cierre de 2025; personas y personas jurídicas</w:t>
            </w:r>
          </w:p>
        </w:tc>
      </w:tr>
      <w:tr>
        <w:trPr>
          <w:cantSplit w:val="0"/>
          <w:trHeight w:val="90"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75">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Posiciones estructurales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76">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7,092</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77">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Junio de 2026; 52.5 % mujeres y 47.5 % hombres</w:t>
            </w:r>
          </w:p>
        </w:tc>
      </w:tr>
    </w:tbl>
    <w:p w:rsidR="00000000" w:rsidDel="00000000" w:rsidP="00000000" w:rsidRDefault="00000000" w:rsidRPr="00000000" w14:paraId="00000078">
      <w:pPr>
        <w:spacing w:after="160" w:before="40" w:lineRule="auto"/>
        <w:ind w:left="1275.590551181102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Banco BBVA Perú (</w:t>
      </w:r>
      <w:r w:rsidDel="00000000" w:rsidR="00000000" w:rsidRPr="00000000">
        <w:rPr>
          <w:rFonts w:ascii="Times New Roman" w:cs="Times New Roman" w:eastAsia="Times New Roman" w:hAnsi="Times New Roman"/>
          <w:rtl w:val="0"/>
        </w:rPr>
        <w:t xml:space="preserve">2026f, pp. 6 y 20-21</w:t>
      </w:r>
      <w:r w:rsidDel="00000000" w:rsidR="00000000" w:rsidRPr="00000000">
        <w:rPr>
          <w:rFonts w:ascii="Times New Roman" w:cs="Times New Roman" w:eastAsia="Times New Roman" w:hAnsi="Times New Roman"/>
          <w:rtl w:val="0"/>
        </w:rPr>
        <w:t xml:space="preserve">) y Banco BBVA Perú (</w:t>
      </w:r>
      <w:r w:rsidDel="00000000" w:rsidR="00000000" w:rsidRPr="00000000">
        <w:rPr>
          <w:rFonts w:ascii="Times New Roman" w:cs="Times New Roman" w:eastAsia="Times New Roman" w:hAnsi="Times New Roman"/>
          <w:rtl w:val="0"/>
        </w:rPr>
        <w:t xml:space="preserve">2026g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9">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la participación de mercado, al cierre de 2025 BBVA Perú alcanzó una cuota de 22.09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en colocaciones vigentes y de 20.90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en depósitos totales. Lideró la banca de personas con 22.7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de las colocaciones y los préstamos de consumo con 19.7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y registró cuotas de 21.5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en el segmento pymes, 29.9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en gran empresa y 19.6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en corporativo (</w:t>
      </w:r>
      <w:r w:rsidDel="00000000" w:rsidR="00000000" w:rsidRPr="00000000">
        <w:rPr>
          <w:rFonts w:ascii="Times New Roman" w:cs="Times New Roman" w:eastAsia="Times New Roman" w:hAnsi="Times New Roman"/>
          <w:rtl w:val="0"/>
        </w:rPr>
        <w:t xml:space="preserve">Banco BBVA Perú, 2026g</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A">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heading=h.wlxm0vy54q4j" w:id="3"/>
      <w:bookmarkEnd w:id="3"/>
      <w:r w:rsidDel="00000000" w:rsidR="00000000" w:rsidRPr="00000000">
        <w:rPr>
          <w:rFonts w:ascii="Times New Roman" w:cs="Times New Roman" w:eastAsia="Times New Roman" w:hAnsi="Times New Roman"/>
          <w:b w:val="1"/>
          <w:bCs w:val="1"/>
          <w:sz w:val="22"/>
          <w:szCs w:val="22"/>
          <w:rtl w:val="0"/>
        </w:rPr>
        <w:t xml:space="preserve">Servicios y segmentos</w:t>
      </w:r>
    </w:p>
    <w:p w:rsidR="00000000" w:rsidDel="00000000" w:rsidP="00000000" w:rsidRDefault="00000000" w:rsidRPr="00000000" w14:paraId="0000007B">
      <w:pPr>
        <w:spacing w:after="160" w:lineRule="auto"/>
        <w:ind w:left="708.6614173228347" w:right="-40.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BBVA Perú opera como banco universal. Su portafolio cubre necesidades de administración cotidiana del dinero, ahorro, inversión, protección, financiamiento y gestión transaccional. En el segmento de personas ofrece cuentas, depósitos, tarjetas, préstamos de consumo, créditos hipotecarios y vehiculares, fondos mutuos, seguros y operaciones de cambio. Para empresas añade capital de trabajo, financiamiento estructurado, cash management, comercio exterior, pagos, planillas y servicios de mercado. En corporaciones e instituciones incorpora Global Transaction Banking, Global Markets y banca de inversión (</w:t>
      </w:r>
      <w:r w:rsidDel="00000000" w:rsidR="00000000" w:rsidRPr="00000000">
        <w:rPr>
          <w:rFonts w:ascii="Times New Roman" w:cs="Times New Roman" w:eastAsia="Times New Roman" w:hAnsi="Times New Roman"/>
          <w:rtl w:val="0"/>
        </w:rPr>
        <w:t xml:space="preserve">Banco BBVA Perú, 2026g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C">
      <w:pPr>
        <w:ind w:left="708.6614173228347"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3</w:t>
      </w:r>
    </w:p>
    <w:p w:rsidR="00000000" w:rsidDel="00000000" w:rsidP="00000000" w:rsidRDefault="00000000" w:rsidRPr="00000000" w14:paraId="0000007D">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Servicios agrupados por segmento y necesidad del cliente</w:t>
      </w:r>
    </w:p>
    <w:tbl>
      <w:tblPr>
        <w:tblStyle w:val="Table3"/>
        <w:tblW w:w="832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640"/>
        <w:gridCol w:w="3975"/>
        <w:tblGridChange w:id="0">
          <w:tblGrid>
            <w:gridCol w:w="1710"/>
            <w:gridCol w:w="2640"/>
            <w:gridCol w:w="3975"/>
          </w:tblGrid>
        </w:tblGridChange>
      </w:tblGrid>
      <w:tr>
        <w:trPr>
          <w:cantSplit w:val="0"/>
          <w:trHeight w:val="405"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7E">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Segmento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7F">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 principal</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80">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Servicios representativos</w:t>
            </w:r>
          </w:p>
        </w:tc>
      </w:tr>
      <w:tr>
        <w:trPr>
          <w:cantSplit w:val="0"/>
          <w:trHeight w:val="70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81">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Personas - mercado masivo</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82">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Recibir, custodiar, pagar y financiar necesidades personales.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83">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Cuentas, tarjetas, transferencias, Plin, préstamos de consumo, hipotecas, créditos vehiculares y seguros.</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84">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Personas de alto valor</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85">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Preservar y hacer crecer el patrimonio con asesoramiento.</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86">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Depósitos, fondos mutuos, inversiones, banca privada, seguros y soluciones cambiarias.</w:t>
            </w:r>
          </w:p>
        </w:tc>
      </w:tr>
      <w:tr>
        <w:trPr>
          <w:cantSplit w:val="0"/>
          <w:trHeight w:val="70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87">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Pymes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88">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Sostener liquidez, cobrar, pagar y financiar el crecimiento.</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89">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Cuentas empresa, capital de trabajo, recaudación, pagos, planillas, comercio exterior y Net Cash.</w:t>
            </w:r>
          </w:p>
        </w:tc>
      </w:tr>
      <w:tr>
        <w:trPr>
          <w:cantSplit w:val="0"/>
          <w:trHeight w:val="70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8A">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Empresas e instituciones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8B">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Gestionar tesorería y financiar operaciones de mayor escala.</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8C">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Cash management, financiamiento, comercio exterior, mercados, coberturas y soluciones sostenibles.</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8D">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Corporaciones / CIB</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8E">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Estructurar decisiones financieras complejas y transfronterizas.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8F">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Global Transaction Banking, Global Markets e Investment Banking &amp; Finance.</w:t>
            </w:r>
          </w:p>
        </w:tc>
      </w:tr>
    </w:tbl>
    <w:p w:rsidR="00000000" w:rsidDel="00000000" w:rsidP="00000000" w:rsidRDefault="00000000" w:rsidRPr="00000000" w14:paraId="00000090">
      <w:pPr>
        <w:spacing w:after="160" w:before="40" w:lineRule="auto"/>
        <w:ind w:left="9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la segmentación y oferta declaradas por Banco BBVA Perú (</w:t>
      </w:r>
      <w:r w:rsidDel="00000000" w:rsidR="00000000" w:rsidRPr="00000000">
        <w:rPr>
          <w:rFonts w:ascii="Times New Roman" w:cs="Times New Roman" w:eastAsia="Times New Roman" w:hAnsi="Times New Roman"/>
          <w:rtl w:val="0"/>
        </w:rPr>
        <w:t xml:space="preserve">2026g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1">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heading=h.qsbui2myxl3m" w:id="4"/>
      <w:bookmarkEnd w:id="4"/>
      <w:r w:rsidDel="00000000" w:rsidR="00000000" w:rsidRPr="00000000">
        <w:rPr>
          <w:rFonts w:ascii="Times New Roman" w:cs="Times New Roman" w:eastAsia="Times New Roman" w:hAnsi="Times New Roman"/>
          <w:b w:val="1"/>
          <w:bCs w:val="1"/>
          <w:sz w:val="22"/>
          <w:szCs w:val="22"/>
          <w:rtl w:val="0"/>
        </w:rPr>
        <w:t xml:space="preserve">Canales</w:t>
      </w:r>
    </w:p>
    <w:p w:rsidR="00000000" w:rsidDel="00000000" w:rsidP="00000000" w:rsidRDefault="00000000" w:rsidRPr="00000000" w14:paraId="00000092">
      <w:pPr>
        <w:spacing w:after="160" w:lineRule="auto"/>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de atención es omnicanal. La aplicación móvil es el principal canal transaccional, mientras la web, la red física, los cajeros, los agentes corresponsales y los canales asistidos cubren necesidades de autoservicio, asesoría o contingencia. Al cierre del segundo trimestre de 2026, la app concentró 85 % de las operaciones monetarias, superó los tres millones de usuarios activos y acumuló más de 350 millones de transacciones; las ventas digitales representaron 79.57 % de las ventas totales del banco (</w:t>
      </w:r>
      <w:r w:rsidDel="00000000" w:rsidR="00000000" w:rsidRPr="00000000">
        <w:rPr>
          <w:rFonts w:ascii="Times New Roman" w:cs="Times New Roman" w:eastAsia="Times New Roman" w:hAnsi="Times New Roman"/>
          <w:rtl w:val="0"/>
        </w:rPr>
        <w:t xml:space="preserve">Banco BBVA Perú, 2026f, p. 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3">
      <w:pPr>
        <w:spacing w:line="21.818181818181817"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 </w:t>
      </w:r>
    </w:p>
    <w:p w:rsidR="00000000" w:rsidDel="00000000" w:rsidP="00000000" w:rsidRDefault="00000000" w:rsidRPr="00000000" w14:paraId="00000094">
      <w:pPr>
        <w:ind w:left="708.6614173228347"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Figura 2</w:t>
      </w:r>
    </w:p>
    <w:p w:rsidR="00000000" w:rsidDel="00000000" w:rsidP="00000000" w:rsidRDefault="00000000" w:rsidRPr="00000000" w14:paraId="00000095">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Intensidad digital y penetración de ventas por producto</w:t>
      </w:r>
    </w:p>
    <w:p w:rsidR="00000000" w:rsidDel="00000000" w:rsidP="00000000" w:rsidRDefault="00000000" w:rsidRPr="00000000" w14:paraId="00000096">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842038" cy="2563992"/>
            <wp:effectExtent b="0" l="0" r="0" t="0"/>
            <wp:docPr id="900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842038" cy="2563992"/>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160" w:before="40" w:lineRule="auto"/>
        <w:ind w:left="708.66141732283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Las dos primeras barras corresponden a participación de operaciones y ventas; las cuatro restantes, a penetración digital por producto. Elaboración propia con datos de Banco BBVA Perú (</w:t>
      </w:r>
      <w:r w:rsidDel="00000000" w:rsidR="00000000" w:rsidRPr="00000000">
        <w:rPr>
          <w:rFonts w:ascii="Times New Roman" w:cs="Times New Roman" w:eastAsia="Times New Roman" w:hAnsi="Times New Roman"/>
          <w:rtl w:val="0"/>
        </w:rPr>
        <w:t xml:space="preserve">2026f, p. 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8">
      <w:pPr>
        <w:ind w:left="708.6614173228347"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4</w:t>
      </w:r>
    </w:p>
    <w:p w:rsidR="00000000" w:rsidDel="00000000" w:rsidP="00000000" w:rsidRDefault="00000000" w:rsidRPr="00000000" w14:paraId="00000099">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Canales y función dentro de la experiencia</w:t>
      </w:r>
    </w:p>
    <w:tbl>
      <w:tblPr>
        <w:tblStyle w:val="Table4"/>
        <w:tblW w:w="828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925"/>
        <w:gridCol w:w="3780"/>
        <w:tblGridChange w:id="0">
          <w:tblGrid>
            <w:gridCol w:w="1575"/>
            <w:gridCol w:w="2925"/>
            <w:gridCol w:w="3780"/>
          </w:tblGrid>
        </w:tblGridChange>
      </w:tblGrid>
      <w:tr>
        <w:trPr>
          <w:cantSplit w:val="0"/>
          <w:trHeight w:val="405"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9A">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Canal</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9B">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Función predominante</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9C">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Evidencia / alcance</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9D">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App BBVA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9E">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Autoservicio, pagos, contratación y seguimiento.</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9F">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85 % de operaciones monetarias; más de 3 millones de usuarios activos a junio de 2026.</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A0">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Banca por internet</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A1">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Operaciones y consultas desde navegador.</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A2">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Complementa la app y soporta operaciones que requieren mayor detalle.</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A3">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Plin y QR</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A4">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Pagos inmediatos e interoperables.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A5">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Plin fue la funcionalidad preferida de la app en el segundo trimestre de 2026.</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A6">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BBVA Net Cash</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A7">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Gestión financiera de empresas.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A8">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Pagos, tesorería, recaudación y consulta para clientes empresariales.</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A9">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Oficinas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AA">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Asesoría y resolución de operaciones complejas.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AB">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277 oficinas al cierre de 2025; sistema de citas digitales desplegado.</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AC">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ATM y Agentes Express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AD">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Disponibilidad física y cobertura de efectivo.</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AE">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1,988 cajeros y 7,489 agentes al cierre de 2025.</w:t>
            </w:r>
          </w:p>
        </w:tc>
      </w:tr>
      <w:tr>
        <w:trPr>
          <w:cantSplit w:val="0"/>
          <w:trHeight w:val="70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AF">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Blue / Blue Buddy</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B0">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Atención conversacional y apoyo a la red.</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B1">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Blue Buddy incorporó trazabilidad de reclamos y ofertas personalizadas; 90 % de adopción interna reportada en junio de 2026.</w:t>
            </w:r>
          </w:p>
        </w:tc>
      </w:tr>
    </w:tbl>
    <w:p w:rsidR="00000000" w:rsidDel="00000000" w:rsidP="00000000" w:rsidRDefault="00000000" w:rsidRPr="00000000" w14:paraId="000000B2">
      <w:pPr>
        <w:spacing w:after="160" w:before="40" w:lineRule="auto"/>
        <w:ind w:left="708.66141732283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Banco BBVA Perú (</w:t>
      </w:r>
      <w:r w:rsidDel="00000000" w:rsidR="00000000" w:rsidRPr="00000000">
        <w:rPr>
          <w:rFonts w:ascii="Times New Roman" w:cs="Times New Roman" w:eastAsia="Times New Roman" w:hAnsi="Times New Roman"/>
          <w:rtl w:val="0"/>
        </w:rPr>
        <w:t xml:space="preserve">2026f, pp. 3-4</w:t>
      </w:r>
      <w:r w:rsidDel="00000000" w:rsidR="00000000" w:rsidRPr="00000000">
        <w:rPr>
          <w:rFonts w:ascii="Times New Roman" w:cs="Times New Roman" w:eastAsia="Times New Roman" w:hAnsi="Times New Roman"/>
          <w:rtl w:val="0"/>
        </w:rPr>
        <w:t xml:space="preserve">) y Banco BBVA Perú (</w:t>
      </w:r>
      <w:r w:rsidDel="00000000" w:rsidR="00000000" w:rsidRPr="00000000">
        <w:rPr>
          <w:rFonts w:ascii="Times New Roman" w:cs="Times New Roman" w:eastAsia="Times New Roman" w:hAnsi="Times New Roman"/>
          <w:rtl w:val="0"/>
        </w:rPr>
        <w:t xml:space="preserve">2026g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3">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heading=h.5m6qhu33mcq7" w:id="5"/>
      <w:bookmarkEnd w:id="5"/>
      <w:r w:rsidDel="00000000" w:rsidR="00000000" w:rsidRPr="00000000">
        <w:rPr>
          <w:rFonts w:ascii="Times New Roman" w:cs="Times New Roman" w:eastAsia="Times New Roman" w:hAnsi="Times New Roman"/>
          <w:b w:val="1"/>
          <w:bCs w:val="1"/>
          <w:sz w:val="22"/>
          <w:szCs w:val="22"/>
          <w:rtl w:val="0"/>
        </w:rPr>
        <w:t xml:space="preserve">Tipos de clientes</w:t>
      </w:r>
    </w:p>
    <w:p w:rsidR="00000000" w:rsidDel="00000000" w:rsidP="00000000" w:rsidRDefault="00000000" w:rsidRPr="00000000" w14:paraId="000000B4">
      <w:pPr>
        <w:spacing w:after="160" w:lineRule="auto"/>
        <w:ind w:left="708.6614173228347" w:right="-40.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base de clientes es heterogénea en valor, comportamiento, complejidad regulatoria y necesidad de asesoramiento. En personas coexisten clientes de mercado masivo y patrimoniales; en negocios se distingue entre pymes, empresas, grandes empresas, corporaciones e instituciones. Esta segmentación exige propuestas diferenciadas, pero también una visión integrada del cliente que evite fragmentar su información entre productos y canales.</w:t>
      </w:r>
    </w:p>
    <w:p w:rsidR="00000000" w:rsidDel="00000000" w:rsidP="00000000" w:rsidRDefault="00000000" w:rsidRPr="00000000" w14:paraId="000000B5">
      <w:pPr>
        <w:ind w:left="708.6614173228347"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5</w:t>
      </w:r>
    </w:p>
    <w:p w:rsidR="00000000" w:rsidDel="00000000" w:rsidP="00000000" w:rsidRDefault="00000000" w:rsidRPr="00000000" w14:paraId="000000B6">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Segmentos de clientes considerados en el análisis</w:t>
      </w:r>
    </w:p>
    <w:tbl>
      <w:tblPr>
        <w:tblStyle w:val="Table5"/>
        <w:tblW w:w="832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370"/>
        <w:gridCol w:w="4185"/>
        <w:tblGridChange w:id="0">
          <w:tblGrid>
            <w:gridCol w:w="1770"/>
            <w:gridCol w:w="2370"/>
            <w:gridCol w:w="4185"/>
          </w:tblGrid>
        </w:tblGridChange>
      </w:tblGrid>
      <w:tr>
        <w:trPr>
          <w:cantSplit w:val="0"/>
          <w:trHeight w:val="405"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B7">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Macrosegmento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B8">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Subsegmentos</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B9">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Rasgos de servicio</w:t>
            </w:r>
          </w:p>
        </w:tc>
      </w:tr>
      <w:tr>
        <w:trPr>
          <w:cantSplit w:val="0"/>
          <w:trHeight w:val="501.9946289062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BA">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Personas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BB">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Mercado masivo y personas de alto valor.</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BC">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Alto volumen, autoservicio digital, personalización, asesoría patrimonial en los estratos de mayor valor.</w:t>
            </w:r>
          </w:p>
        </w:tc>
      </w:tr>
      <w:tr>
        <w:trPr>
          <w:cantSplit w:val="0"/>
          <w:trHeight w:val="55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BD">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Negocios y pymes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BE">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Emprendimientos, pymes y pymes de alto valor.</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BF">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Necesidad de rapidez, liquidez, recaudo, pagos y crédito con información empresarial diversa.</w:t>
            </w:r>
          </w:p>
        </w:tc>
      </w:tr>
      <w:tr>
        <w:trPr>
          <w:cantSplit w:val="0"/>
          <w:trHeight w:val="270"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C0">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Empresas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C1">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Empresarial y gran empresa.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C2">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Atención especializada, cash management, comercio exterior y financiamiento estructurado.</w:t>
            </w:r>
          </w:p>
        </w:tc>
      </w:tr>
      <w:tr>
        <w:trPr>
          <w:cantSplit w:val="0"/>
          <w:trHeight w:val="194.663085937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C3">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Corporaciones e instituciones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C4">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Corporativo, institucional y clientes CIB.</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C5">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Operaciones complejas, gestión de riesgos, mercados y cobertura internacional.</w:t>
            </w:r>
          </w:p>
        </w:tc>
      </w:tr>
    </w:tbl>
    <w:p w:rsidR="00000000" w:rsidDel="00000000" w:rsidP="00000000" w:rsidRDefault="00000000" w:rsidRPr="00000000" w14:paraId="000000C6">
      <w:pPr>
        <w:spacing w:after="160" w:before="40" w:lineRule="auto"/>
        <w:ind w:left="708.66141732283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Banco BBVA Perú (</w:t>
      </w:r>
      <w:r w:rsidDel="00000000" w:rsidR="00000000" w:rsidRPr="00000000">
        <w:rPr>
          <w:rFonts w:ascii="Times New Roman" w:cs="Times New Roman" w:eastAsia="Times New Roman" w:hAnsi="Times New Roman"/>
          <w:rtl w:val="0"/>
        </w:rPr>
        <w:t xml:space="preserve">2026g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7">
      <w:pPr>
        <w:spacing w:after="160" w:lineRule="auto"/>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memoria anual reporta 9,465,848 clientes al cierre de 2025, mientras que </w:t>
      </w:r>
      <w:r w:rsidDel="00000000" w:rsidR="00000000" w:rsidRPr="00000000">
        <w:rPr>
          <w:rFonts w:ascii="Times New Roman" w:cs="Times New Roman" w:eastAsia="Times New Roman" w:hAnsi="Times New Roman"/>
          <w:rtl w:val="0"/>
        </w:rPr>
        <w:t xml:space="preserve">el informe de gerencia informa</w:t>
      </w:r>
      <w:r w:rsidDel="00000000" w:rsidR="00000000" w:rsidRPr="00000000">
        <w:rPr>
          <w:rFonts w:ascii="Times New Roman" w:cs="Times New Roman" w:eastAsia="Times New Roman" w:hAnsi="Times New Roman"/>
          <w:rtl w:val="0"/>
        </w:rPr>
        <w:t xml:space="preserve"> más de tres millones de usuarios activos en la app a junio de 2026. Estas magnitudes no deben dividirse de manera directa: corresponden a fechas, universos y definiciones distintas, y la categoría de cliente total incluye personas jurídicas. En consecuencia, cualquier conclusión sobre activación o abandono digital requerirá una línea base homogénea y evidencia adicional.</w:t>
      </w:r>
    </w:p>
    <w:p w:rsidR="00000000" w:rsidDel="00000000" w:rsidP="00000000" w:rsidRDefault="00000000" w:rsidRPr="00000000" w14:paraId="000000C8">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heading=h.bl50acauatye" w:id="6"/>
      <w:bookmarkEnd w:id="6"/>
      <w:r w:rsidDel="00000000" w:rsidR="00000000" w:rsidRPr="00000000">
        <w:rPr>
          <w:rFonts w:ascii="Times New Roman" w:cs="Times New Roman" w:eastAsia="Times New Roman" w:hAnsi="Times New Roman"/>
          <w:b w:val="1"/>
          <w:bCs w:val="1"/>
          <w:sz w:val="22"/>
          <w:szCs w:val="22"/>
          <w:rtl w:val="0"/>
        </w:rPr>
        <w:t xml:space="preserve">Situación actual</w:t>
      </w:r>
    </w:p>
    <w:p w:rsidR="00000000" w:rsidDel="00000000" w:rsidP="00000000" w:rsidRDefault="00000000" w:rsidRPr="00000000" w14:paraId="000000C9">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situación actual del negocio refleja una sólida posición de rentabilidad y eficiencia operativa, contrastada por un desafío específico en la satisfacción del segmento Pyme. Asimismo, el entorno competitivo exige adaptación ante la disrupción de las billeteras digitales y la reciente interoperabilidad del sistema de pagos.</w:t>
      </w:r>
      <w:r w:rsidDel="00000000" w:rsidR="00000000" w:rsidRPr="00000000">
        <w:rPr>
          <w:rtl w:val="0"/>
        </w:rPr>
      </w:r>
    </w:p>
    <w:p w:rsidR="00000000" w:rsidDel="00000000" w:rsidP="00000000" w:rsidRDefault="00000000" w:rsidRPr="00000000" w14:paraId="000000CA">
      <w:pPr>
        <w:spacing w:after="1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 6</w:t>
      </w:r>
    </w:p>
    <w:p w:rsidR="00000000" w:rsidDel="00000000" w:rsidP="00000000" w:rsidRDefault="00000000" w:rsidRPr="00000000" w14:paraId="000000CB">
      <w:pPr>
        <w:spacing w:after="16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Dimensiones clave de la situación actual del negocio</w:t>
      </w:r>
    </w:p>
    <w:tbl>
      <w:tblPr>
        <w:tblStyle w:val="Table6"/>
        <w:tblW w:w="832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370"/>
        <w:gridCol w:w="4185"/>
        <w:tblGridChange w:id="0">
          <w:tblGrid>
            <w:gridCol w:w="1770"/>
            <w:gridCol w:w="2370"/>
            <w:gridCol w:w="4185"/>
          </w:tblGrid>
        </w:tblGridChange>
      </w:tblGrid>
      <w:tr>
        <w:trPr>
          <w:cantSplit w:val="0"/>
          <w:trHeight w:val="405"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CC">
            <w:pPr>
              <w:spacing w:after="160" w:lineRule="auto"/>
              <w:jc w:val="both"/>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Dimensión</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CD">
            <w:pPr>
              <w:spacing w:after="160" w:lineRule="auto"/>
              <w:jc w:val="both"/>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Métrica o enfoque</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CE">
            <w:pPr>
              <w:spacing w:after="160" w:lineRule="auto"/>
              <w:jc w:val="both"/>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 actual y lectura estratégica</w:t>
            </w:r>
          </w:p>
        </w:tc>
      </w:tr>
      <w:tr>
        <w:trPr>
          <w:cantSplit w:val="0"/>
          <w:trHeight w:val="501.9946289062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CF">
            <w:pPr>
              <w:spacing w:after="16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Desempeño y eficiencia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D0">
            <w:pPr>
              <w:spacing w:after="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Utilidad, ROE y ratio de eficiencia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D1">
            <w:pPr>
              <w:spacing w:after="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Rentabilidad en máximos con utilidad de S/ 2,391 millones y ROE de 17.21</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en 2025. El ratio de eficiencia cerró en 35.9</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posicionándose mejor que el promedio del sistema.</w:t>
            </w:r>
          </w:p>
        </w:tc>
      </w:tr>
      <w:tr>
        <w:trPr>
          <w:cantSplit w:val="0"/>
          <w:trHeight w:val="55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D2">
            <w:pPr>
              <w:spacing w:after="16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Riesgo crediticio</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D3">
            <w:pPr>
              <w:spacing w:after="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Calidad de cartera y morosidad</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D4">
            <w:pPr>
              <w:spacing w:after="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cartera de alto riesgo mejoró a 5.1</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con una cobertura del 95.0</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La morosidad cerró en 2.69</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a junio de 2026, 69 puntos básicos por debajo de junio de 2025, con una cobertura de 164</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y se ubica por debajo del 2.83</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del sistema bancario a mayo de 2026 (</w:t>
            </w:r>
            <w:r w:rsidDel="00000000" w:rsidR="00000000" w:rsidRPr="00000000">
              <w:rPr>
                <w:rFonts w:ascii="Times New Roman" w:cs="Times New Roman" w:eastAsia="Times New Roman" w:hAnsi="Times New Roman"/>
                <w:sz w:val="18"/>
                <w:szCs w:val="18"/>
                <w:rtl w:val="0"/>
              </w:rPr>
              <w:t xml:space="preserve">Banco BBVA Perú, 2026f, pp. 17 y 24</w:t>
            </w:r>
            <w:r w:rsidDel="00000000" w:rsidR="00000000" w:rsidRPr="00000000">
              <w:rPr>
                <w:rFonts w:ascii="Times New Roman" w:cs="Times New Roman" w:eastAsia="Times New Roman" w:hAnsi="Times New Roman"/>
                <w:sz w:val="18"/>
                <w:szCs w:val="18"/>
                <w:rtl w:val="0"/>
              </w:rPr>
              <w:t xml:space="preserve">); por ello ya no representa un frente abierto.</w:t>
            </w:r>
            <w:r w:rsidDel="00000000" w:rsidR="00000000" w:rsidRPr="00000000">
              <w:rPr>
                <w:rtl w:val="0"/>
              </w:rPr>
            </w:r>
          </w:p>
        </w:tc>
      </w:tr>
      <w:tr>
        <w:trPr>
          <w:cantSplit w:val="0"/>
          <w:trHeight w:val="270"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D5">
            <w:pPr>
              <w:spacing w:after="16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Composición y satisfacción</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D6">
            <w:pPr>
              <w:spacing w:after="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Cartera por segmento y NPS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D7">
            <w:pPr>
              <w:spacing w:after="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Cartera concentrada en banca corporativa/comercial (58.3</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frente a personas (41.7</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Existe una brecha crítica en satisfacción: NPS retail de 52.57</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frente a un NPS Pyme de 33.6</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sz w:val="18"/>
                <w:szCs w:val="18"/>
                <w:rtl w:val="0"/>
              </w:rPr>
              <w:t xml:space="preserve"> La brecha asciende a 18.97 puntos (el NPS Pyme equivale al 64</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del NPS retail) y sitúa al segmento Pyme 10.0 puntos por debajo de Banca de Empresas e Instituciones (NPS de 43.6</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Banco BBVA Perú, 2026g, pp. 26 y 29</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rHeight w:val="194.663085937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D8">
            <w:pPr>
              <w:spacing w:after="16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Sostenibilidad</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D9">
            <w:pPr>
              <w:spacing w:after="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Financiamiento e inclusión</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DA">
            <w:pPr>
              <w:spacing w:after="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Consolidada como línea de negocio con S/ 16.5 mil millones en colocaciones sostenibles, 100</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de electricidad renovable y S/ 80 millones destinados a inclusión financiera</w:t>
            </w:r>
          </w:p>
        </w:tc>
      </w:tr>
    </w:tbl>
    <w:p w:rsidR="00000000" w:rsidDel="00000000" w:rsidP="00000000" w:rsidRDefault="00000000" w:rsidRPr="00000000" w14:paraId="000000DB">
      <w:pPr>
        <w:spacing w:after="1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w:t>
      </w:r>
      <w:r w:rsidDel="00000000" w:rsidR="00000000" w:rsidRPr="00000000">
        <w:rPr>
          <w:rFonts w:ascii="Times New Roman" w:cs="Times New Roman" w:eastAsia="Times New Roman" w:hAnsi="Times New Roman"/>
          <w:rtl w:val="0"/>
        </w:rPr>
        <w:t xml:space="preserve">. Elaboración propia con base en la evaluación de los resultados financieros de </w:t>
      </w:r>
      <w:r w:rsidDel="00000000" w:rsidR="00000000" w:rsidRPr="00000000">
        <w:rPr>
          <w:rFonts w:ascii="Times New Roman" w:cs="Times New Roman" w:eastAsia="Times New Roman" w:hAnsi="Times New Roman"/>
          <w:rtl w:val="0"/>
        </w:rPr>
        <w:t xml:space="preserve">Banco BBVA Perú (</w:t>
      </w:r>
      <w:r w:rsidDel="00000000" w:rsidR="00000000" w:rsidRPr="00000000">
        <w:rPr>
          <w:rFonts w:ascii="Times New Roman" w:cs="Times New Roman" w:eastAsia="Times New Roman" w:hAnsi="Times New Roman"/>
          <w:rtl w:val="0"/>
        </w:rPr>
        <w:t xml:space="preserve">2026g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C">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brecha de satisfacción se operacionaliza con tres medidas: (i) la brecha absoluta entre los segmentos Retail y Pyme, de 18.97 puntos (52.57 - 33.6); (ii) la razón Pyme/Retail, de 0.64; y (iii) la distancia del segmento Pyme respecto de Banca de Empresas e Instituciones, de 10.0 puntos (43.6 - 33.6) (</w:t>
      </w:r>
      <w:r w:rsidDel="00000000" w:rsidR="00000000" w:rsidRPr="00000000">
        <w:rPr>
          <w:rFonts w:ascii="Times New Roman" w:cs="Times New Roman" w:eastAsia="Times New Roman" w:hAnsi="Times New Roman"/>
          <w:rtl w:val="0"/>
        </w:rPr>
        <w:t xml:space="preserve">Banco BBVA Perú, 2026g, pp. 26 y 29</w:t>
      </w:r>
      <w:sdt>
        <w:sdtPr>
          <w:id w:val="77571237"/>
          <w:tag w:val="goog_rdk_0"/>
        </w:sdtPr>
        <w:sdtContent>
          <w:r w:rsidDel="00000000" w:rsidR="00000000" w:rsidRPr="00000000">
            <w:rPr>
              <w:rFonts w:ascii="Gungsuh" w:cs="Gungsuh" w:eastAsia="Gungsuh" w:hAnsi="Gungsuh"/>
              <w:rtl w:val="0"/>
            </w:rPr>
            <w:t xml:space="preserve">). En las fuentes revisadas no se identifica un referente competitivo público para el NPS Pyme, por lo que la brecha interna es la medida verificable del dolor del segmento. Esta brecha se adopta como línea base de los objetivos OE1 y OE3 (Tabla 10), con la meta propuesta de reducirla a no más de 9.6 puntos (NPS Pyme ≥ 43.0</w:t>
          </w:r>
        </w:sdtContent>
      </w:sdt>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en 18 meses, y constituye el punto de partida para sustentar los dolores de negocio y las iniciativas de TI de </w:t>
      </w:r>
      <w:r w:rsidDel="00000000" w:rsidR="00000000" w:rsidRPr="00000000">
        <w:rPr>
          <w:rFonts w:ascii="Times New Roman" w:cs="Times New Roman" w:eastAsia="Times New Roman" w:hAnsi="Times New Roman"/>
          <w:rtl w:val="0"/>
        </w:rPr>
        <w:t xml:space="preserve">los siguientes avances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DD">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al contexto competitivo, el entorno en el que opera BBVA Perú muestra una marcada dualidad entre un sistema bancario concentrado y un escenario transaccional altamente disruptivo. Actualmente, la mayor exigencia competitiva no proviene de la banca múltiple tradicional, sino de la rápida evolución de las billeteras digitales y las recientes normativas de interoperabilidad en los medios de pago.</w:t>
      </w:r>
    </w:p>
    <w:p w:rsidR="00000000" w:rsidDel="00000000" w:rsidP="00000000" w:rsidRDefault="00000000" w:rsidRPr="00000000" w14:paraId="000000DE">
      <w:pPr>
        <w:spacing w:after="1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 7</w:t>
      </w:r>
    </w:p>
    <w:p w:rsidR="00000000" w:rsidDel="00000000" w:rsidP="00000000" w:rsidRDefault="00000000" w:rsidRPr="00000000" w14:paraId="000000DF">
      <w:pPr>
        <w:spacing w:after="16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Dinámica del entorno competitivo y disrupción digital</w:t>
      </w:r>
    </w:p>
    <w:tbl>
      <w:tblPr>
        <w:tblStyle w:val="Table7"/>
        <w:tblW w:w="832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370"/>
        <w:gridCol w:w="4185"/>
        <w:tblGridChange w:id="0">
          <w:tblGrid>
            <w:gridCol w:w="1770"/>
            <w:gridCol w:w="2370"/>
            <w:gridCol w:w="4185"/>
          </w:tblGrid>
        </w:tblGridChange>
      </w:tblGrid>
      <w:tr>
        <w:trPr>
          <w:cantSplit w:val="0"/>
          <w:trHeight w:val="405"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E0">
            <w:pPr>
              <w:spacing w:after="160" w:lineRule="auto"/>
              <w:jc w:val="both"/>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Factor competitivo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E1">
            <w:pPr>
              <w:spacing w:after="160" w:lineRule="auto"/>
              <w:jc w:val="both"/>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Situación del mercado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E2">
            <w:pPr>
              <w:spacing w:after="160" w:lineRule="auto"/>
              <w:jc w:val="both"/>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Impacto estratégico</w:t>
            </w:r>
          </w:p>
        </w:tc>
      </w:tr>
      <w:tr>
        <w:trPr>
          <w:cantSplit w:val="0"/>
          <w:trHeight w:val="501.9946289062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3">
            <w:pPr>
              <w:spacing w:after="16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Concentración bancaria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4">
            <w:pPr>
              <w:spacing w:after="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Cuatro bancos concentran el 82.3</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de los créditos directos del sistema financiero peruano.</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5">
            <w:pPr>
              <w:spacing w:after="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Mantiene el dominio de las entidades líderes tradicionales en los segmentos de financiamiento clásico.</w:t>
            </w:r>
          </w:p>
        </w:tc>
      </w:tr>
      <w:tr>
        <w:trPr>
          <w:cantSplit w:val="0"/>
          <w:trHeight w:val="55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E6">
            <w:pPr>
              <w:spacing w:after="16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Disrupción por billeteras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E7">
            <w:pPr>
              <w:spacing w:after="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Yape lidera el mercado con 19.1 millones de usuarios totales y 15.9 millones activos al mes; BBVA compite a través de Plin sin un activo equivalente propio.</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E8">
            <w:pPr>
              <w:spacing w:after="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Desplaza gran parte de la transaccionalidad hacia canales externos a la app bancaria tradicional.</w:t>
            </w:r>
          </w:p>
        </w:tc>
      </w:tr>
      <w:tr>
        <w:trPr>
          <w:cantSplit w:val="0"/>
          <w:trHeight w:val="270"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9">
            <w:pPr>
              <w:spacing w:after="16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Interoperabilidad (BCRP)</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A">
            <w:pPr>
              <w:spacing w:after="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normativa del BCRP permite transferencias inmediatas y fluidas entre distintas entidades y billeteras digitales.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B">
            <w:pPr>
              <w:spacing w:after="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Reduce significativamente las barreras de cambio para el usuario y erosiona el efecto de red de los bancos más grandes.</w:t>
            </w:r>
          </w:p>
        </w:tc>
      </w:tr>
    </w:tbl>
    <w:p w:rsidR="00000000" w:rsidDel="00000000" w:rsidP="00000000" w:rsidRDefault="00000000" w:rsidRPr="00000000" w14:paraId="000000EC">
      <w:pPr>
        <w:spacing w:after="16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w:t>
      </w:r>
      <w:r w:rsidDel="00000000" w:rsidR="00000000" w:rsidRPr="00000000">
        <w:rPr>
          <w:rFonts w:ascii="Times New Roman" w:cs="Times New Roman" w:eastAsia="Times New Roman" w:hAnsi="Times New Roman"/>
          <w:rtl w:val="0"/>
        </w:rPr>
        <w:t xml:space="preserve">. Elaboración propia con base en datos del sistema financiero y el desarrollo del ecosistema nacional de pagos.</w:t>
      </w:r>
    </w:p>
    <w:p w:rsidR="00000000" w:rsidDel="00000000" w:rsidP="00000000" w:rsidRDefault="00000000" w:rsidRPr="00000000" w14:paraId="000000ED">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heading=h.arzh8ynygnfq" w:id="7"/>
      <w:bookmarkEnd w:id="7"/>
      <w:r w:rsidDel="00000000" w:rsidR="00000000" w:rsidRPr="00000000">
        <w:rPr>
          <w:rFonts w:ascii="Times New Roman" w:cs="Times New Roman" w:eastAsia="Times New Roman" w:hAnsi="Times New Roman"/>
          <w:b w:val="1"/>
          <w:bCs w:val="1"/>
          <w:sz w:val="22"/>
          <w:szCs w:val="22"/>
          <w:rtl w:val="0"/>
        </w:rPr>
        <w:t xml:space="preserve">Sistemas existentes</w:t>
      </w:r>
    </w:p>
    <w:p w:rsidR="00000000" w:rsidDel="00000000" w:rsidP="00000000" w:rsidRDefault="00000000" w:rsidRPr="00000000" w14:paraId="000000EE">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ecosistema tecnológico de Banco BBVA Perú refleja una estrategia orientada hacia la adopción de canales digitales, la explotación de datos y la implementación de Inteligencia Artificial (IA) a nivel operativo y corporativo. Si bien la entidad cuenta con soluciones globales heredadas de su matriz, mantiene componentes locales integrados para su transaccionalidad.</w:t>
      </w:r>
    </w:p>
    <w:p w:rsidR="00000000" w:rsidDel="00000000" w:rsidP="00000000" w:rsidRDefault="00000000" w:rsidRPr="00000000" w14:paraId="000000EF">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detalla el inventario de los principales sistemas y plataformas identificados en la operación del banco:</w:t>
      </w:r>
    </w:p>
    <w:p w:rsidR="00000000" w:rsidDel="00000000" w:rsidP="00000000" w:rsidRDefault="00000000" w:rsidRPr="00000000" w14:paraId="000000F0">
      <w:pPr>
        <w:spacing w:after="1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 8</w:t>
      </w:r>
    </w:p>
    <w:p w:rsidR="00000000" w:rsidDel="00000000" w:rsidP="00000000" w:rsidRDefault="00000000" w:rsidRPr="00000000" w14:paraId="000000F1">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Principales sistemas de información y plataformas tecnológicas</w:t>
      </w:r>
      <w:r w:rsidDel="00000000" w:rsidR="00000000" w:rsidRPr="00000000">
        <w:rPr>
          <w:rtl w:val="0"/>
        </w:rPr>
      </w:r>
    </w:p>
    <w:tbl>
      <w:tblPr>
        <w:tblStyle w:val="Table8"/>
        <w:tblW w:w="814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470"/>
        <w:gridCol w:w="4860"/>
        <w:tblGridChange w:id="0">
          <w:tblGrid>
            <w:gridCol w:w="1815"/>
            <w:gridCol w:w="1470"/>
            <w:gridCol w:w="4860"/>
          </w:tblGrid>
        </w:tblGridChange>
      </w:tblGrid>
      <w:tr>
        <w:trPr>
          <w:cantSplit w:val="0"/>
          <w:trHeight w:val="570" w:hRule="atLeast"/>
          <w:tblHeader w:val="1"/>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F2">
            <w:pPr>
              <w:spacing w:after="160" w:lineRule="auto"/>
              <w:jc w:val="both"/>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Capa / Dominio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F3">
            <w:pPr>
              <w:spacing w:after="160" w:lineRule="auto"/>
              <w:jc w:val="both"/>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Sistema o elemento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F4">
            <w:pPr>
              <w:spacing w:after="160" w:lineRule="auto"/>
              <w:jc w:val="both"/>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 y alcance</w:t>
            </w:r>
          </w:p>
        </w:tc>
      </w:tr>
      <w:tr>
        <w:trPr>
          <w:cantSplit w:val="0"/>
          <w:trHeight w:val="103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F5">
            <w:pPr>
              <w:spacing w:after="16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Datos e Inteligencia Artificial</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F6">
            <w:pPr>
              <w:spacing w:after="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ADA (Analytics, Data, AI)</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F7">
            <w:pPr>
              <w:spacing w:after="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Plataforma global del Grupo BBVA, desplegada en Perú en 2025. Habilita modelos analíticos complejos y agiliza la toma de decisiones.</w:t>
            </w:r>
          </w:p>
        </w:tc>
      </w:tr>
      <w:tr>
        <w:trPr>
          <w:cantSplit w:val="0"/>
          <w:trHeight w:val="103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F8">
            <w:pPr>
              <w:spacing w:after="16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Productividad interna</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F9">
            <w:pPr>
              <w:spacing w:after="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Google Workspace con Gemini</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FA">
            <w:pPr>
              <w:spacing w:after="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Herramienta de IA generativa para colaboradores en uso generalizado, orientada a la mejora de la eficiencia operativa.</w:t>
            </w:r>
          </w:p>
        </w:tc>
      </w:tr>
      <w:tr>
        <w:trPr>
          <w:cantSplit w:val="0"/>
          <w:trHeight w:val="103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FB">
            <w:pPr>
              <w:spacing w:after="16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Canal móvil (Retail)</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FC">
            <w:pPr>
              <w:spacing w:after="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 BBVA Perú y Asistente Blue</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FD">
            <w:pPr>
              <w:spacing w:after="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Eje principal de interacción del cliente masivo; procesa más del 81</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de las operaciones monetarias e integra al asistente virtual Blue.</w:t>
            </w:r>
          </w:p>
        </w:tc>
      </w:tr>
      <w:tr>
        <w:trPr>
          <w:cantSplit w:val="0"/>
          <w:trHeight w:val="103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FE">
            <w:pPr>
              <w:spacing w:after="16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Banca Empresas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FF">
            <w:pPr>
              <w:spacing w:after="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BBVA Net Cash</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00">
            <w:pPr>
              <w:spacing w:after="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Plataforma especializada de </w:t>
            </w:r>
            <w:r w:rsidDel="00000000" w:rsidR="00000000" w:rsidRPr="00000000">
              <w:rPr>
                <w:rFonts w:ascii="Times New Roman" w:cs="Times New Roman" w:eastAsia="Times New Roman" w:hAnsi="Times New Roman"/>
                <w:i w:val="1"/>
                <w:iCs w:val="1"/>
                <w:sz w:val="18"/>
                <w:szCs w:val="18"/>
                <w:rtl w:val="0"/>
              </w:rPr>
              <w:t xml:space="preserve">cash management</w:t>
            </w:r>
            <w:r w:rsidDel="00000000" w:rsidR="00000000" w:rsidRPr="00000000">
              <w:rPr>
                <w:rFonts w:ascii="Times New Roman" w:cs="Times New Roman" w:eastAsia="Times New Roman" w:hAnsi="Times New Roman"/>
                <w:sz w:val="18"/>
                <w:szCs w:val="18"/>
                <w:rtl w:val="0"/>
              </w:rPr>
              <w:t xml:space="preserve"> para la gestión transaccional y liquidez de clientes jurídicos.</w:t>
            </w:r>
          </w:p>
        </w:tc>
      </w:tr>
      <w:tr>
        <w:trPr>
          <w:cantSplit w:val="0"/>
          <w:trHeight w:val="103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01">
            <w:pPr>
              <w:spacing w:after="16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Pagos y transferencias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02">
            <w:pPr>
              <w:spacing w:after="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Pagos al Toque y QR Plin</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03">
            <w:pPr>
              <w:spacing w:after="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Ecosistema para transferencias instantáneas e interoperables, soportando altos volúmenes de transacciones digitales.</w:t>
            </w:r>
          </w:p>
        </w:tc>
      </w:tr>
      <w:tr>
        <w:trPr>
          <w:cantSplit w:val="0"/>
          <w:trHeight w:val="103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04">
            <w:pPr>
              <w:spacing w:after="16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Onboarding e Inversiones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05">
            <w:pPr>
              <w:spacing w:after="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Apertura digital y plataformas de inversión</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06">
            <w:pPr>
              <w:spacing w:after="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Sistema de alta de cliente en 4 minutos. Además, integra la comercialización de fondos mutuos y asesoría de inversión asistida por IA en la app.</w:t>
            </w:r>
          </w:p>
        </w:tc>
      </w:tr>
    </w:tbl>
    <w:p w:rsidR="00000000" w:rsidDel="00000000" w:rsidP="00000000" w:rsidRDefault="00000000" w:rsidRPr="00000000" w14:paraId="00000107">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w:t>
      </w:r>
      <w:r w:rsidDel="00000000" w:rsidR="00000000" w:rsidRPr="00000000">
        <w:rPr>
          <w:rFonts w:ascii="Times New Roman" w:cs="Times New Roman" w:eastAsia="Times New Roman" w:hAnsi="Times New Roman"/>
          <w:rtl w:val="0"/>
        </w:rPr>
        <w:t xml:space="preserve">. Elaboración propia con base en los sistemas y capacidades digitales declarados por la entidad financiera.</w:t>
      </w:r>
    </w:p>
    <w:p w:rsidR="00000000" w:rsidDel="00000000" w:rsidP="00000000" w:rsidRDefault="00000000" w:rsidRPr="00000000" w14:paraId="00000108">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Supuesto metodológico sobre la arquitectura transaccional:</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No se identifica información pública oficial sobre el </w:t>
      </w:r>
      <w:r w:rsidDel="00000000" w:rsidR="00000000" w:rsidRPr="00000000">
        <w:rPr>
          <w:rFonts w:ascii="Times New Roman" w:cs="Times New Roman" w:eastAsia="Times New Roman" w:hAnsi="Times New Roman"/>
          <w:i w:val="1"/>
          <w:iCs w:val="1"/>
          <w:rtl w:val="0"/>
        </w:rPr>
        <w:t xml:space="preserve">core</w:t>
      </w:r>
      <w:r w:rsidDel="00000000" w:rsidR="00000000" w:rsidRPr="00000000">
        <w:rPr>
          <w:rFonts w:ascii="Times New Roman" w:cs="Times New Roman" w:eastAsia="Times New Roman" w:hAnsi="Times New Roman"/>
          <w:rtl w:val="0"/>
        </w:rPr>
        <w:t xml:space="preserve"> bancario, el motor de decisión crediticia, el CRM ni la plataforma central de prevención de fraude del banco. Para efectos del presente trabajo, se asume una arquitectura de </w:t>
      </w:r>
      <w:r w:rsidDel="00000000" w:rsidR="00000000" w:rsidRPr="00000000">
        <w:rPr>
          <w:rFonts w:ascii="Times New Roman" w:cs="Times New Roman" w:eastAsia="Times New Roman" w:hAnsi="Times New Roman"/>
          <w:i w:val="1"/>
          <w:iCs w:val="1"/>
          <w:rtl w:val="0"/>
        </w:rPr>
        <w:t xml:space="preserve">core</w:t>
      </w:r>
      <w:r w:rsidDel="00000000" w:rsidR="00000000" w:rsidRPr="00000000">
        <w:rPr>
          <w:rFonts w:ascii="Times New Roman" w:cs="Times New Roman" w:eastAsia="Times New Roman" w:hAnsi="Times New Roman"/>
          <w:rtl w:val="0"/>
        </w:rPr>
        <w:t xml:space="preserve"> transaccional moderno con una capa de servicios (API) e integración directa a la plataforma global de datos ADA.</w:t>
      </w:r>
    </w:p>
    <w:p w:rsidR="00000000" w:rsidDel="00000000" w:rsidP="00000000" w:rsidRDefault="00000000" w:rsidRPr="00000000" w14:paraId="00000109">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heading=h.fu9q99tytcua" w:id="8"/>
      <w:bookmarkEnd w:id="8"/>
      <w:r w:rsidDel="00000000" w:rsidR="00000000" w:rsidRPr="00000000">
        <w:rPr>
          <w:rFonts w:ascii="Times New Roman" w:cs="Times New Roman" w:eastAsia="Times New Roman" w:hAnsi="Times New Roman"/>
          <w:b w:val="1"/>
          <w:bCs w:val="1"/>
          <w:sz w:val="22"/>
          <w:szCs w:val="22"/>
          <w:rtl w:val="0"/>
        </w:rPr>
        <w:t xml:space="preserve">Business Model Canvas</w:t>
      </w:r>
    </w:p>
    <w:p w:rsidR="00000000" w:rsidDel="00000000" w:rsidP="00000000" w:rsidRDefault="00000000" w:rsidRPr="00000000" w14:paraId="0000010A">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Business Model Canvas permite sintetizar cómo la organización crea, entrega y captura valor mediante nueve bloques interrelacionados (</w:t>
      </w:r>
      <w:r w:rsidDel="00000000" w:rsidR="00000000" w:rsidRPr="00000000">
        <w:rPr>
          <w:rFonts w:ascii="Times New Roman" w:cs="Times New Roman" w:eastAsia="Times New Roman" w:hAnsi="Times New Roman"/>
          <w:rtl w:val="0"/>
        </w:rPr>
        <w:t xml:space="preserve">Osterwalder y Pigneur</w:t>
      </w:r>
      <w:r w:rsidDel="00000000" w:rsidR="00000000" w:rsidRPr="00000000">
        <w:rPr>
          <w:rFonts w:ascii="Times New Roman" w:cs="Times New Roman" w:eastAsia="Times New Roman" w:hAnsi="Times New Roman"/>
          <w:rtl w:val="0"/>
        </w:rPr>
        <w:t xml:space="preserve">, 2010). En este caso, el elemento articulador es una propuesta de banca universal que combina escala, confianza regulatoria, cobertura omnicanal, capacidades globales y personalización basada en datos.</w:t>
      </w:r>
    </w:p>
    <w:p w:rsidR="00000000" w:rsidDel="00000000" w:rsidP="00000000" w:rsidRDefault="00000000" w:rsidRPr="00000000" w14:paraId="0000010B">
      <w:pPr>
        <w:ind w:left="720"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9</w:t>
      </w:r>
    </w:p>
    <w:p w:rsidR="00000000" w:rsidDel="00000000" w:rsidP="00000000" w:rsidRDefault="00000000" w:rsidRPr="00000000" w14:paraId="0000010C">
      <w:pPr>
        <w:spacing w:after="10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Business Model Canvas de Banco BBVA Perú</w:t>
      </w:r>
    </w:p>
    <w:tbl>
      <w:tblPr>
        <w:tblStyle w:val="Table9"/>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5250"/>
        <w:tblGridChange w:id="0">
          <w:tblGrid>
            <w:gridCol w:w="3060"/>
            <w:gridCol w:w="5250"/>
          </w:tblGrid>
        </w:tblGridChange>
      </w:tblGrid>
      <w:tr>
        <w:trPr>
          <w:cantSplit w:val="0"/>
          <w:tblHeader w:val="1"/>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10D">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Bloque</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10E">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Contenido aplicado a BBVA Perú</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0F">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Segmentos de clientes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0">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Personas de mercado masivo y alto valor; pymes; empresas; grandes empresas; corporaciones; instituciones y clientes CIB.</w:t>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11">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Propuesta de valor</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12">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Servicios financieros seguros y accesibles, resolución digital de necesidades cotidianas, asesoramiento especializado, cobertura física y capacidades de un grupo global.</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3">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Canales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4">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 web, Plin/QR, Net Cash, oficinas, cajeros, Agentes Express, contact center y asistentes conversacionales.</w:t>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15">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Relación con clientes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16">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Autoservicio digital, personalización, gestores especializados, atención asistida, citas y gestión de satisfacción y reclamos.</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7">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Fuentes de ingresos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8">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Margen financiero; comisiones por pagos, tarjetas y servicios; gestión de activos; seguros; mercados; banca de inversión y soluciones transaccionales.</w:t>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19">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Recursos clave</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1A">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Licencia, capital, marca, base de clientes, talento, red física, core transaccional, canales, datos, modelos de riesgo y plataforma ADA.</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B">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Actividades clave</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C">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Captación; originación y administración de crédito; pagos; inversiones; gestión de riesgos; atención; cumplimiento; datos, tecnología y ciberseguridad.</w:t>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1D">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Socios clave</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1E">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Grupo BBVA, Grupo Breca, redes y esquemas de pago, corresponsales, proveedores tecnológicos, centrales de riesgo y organismos del ecosistema financiero.</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F">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Estructura de costos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20">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Personal, red física, tecnología y nube, seguridad, riesgo de crédito, fondeo, cumplimiento, proveedores y operación continua.</w:t>
            </w:r>
          </w:p>
        </w:tc>
      </w:tr>
    </w:tbl>
    <w:p w:rsidR="00000000" w:rsidDel="00000000" w:rsidP="00000000" w:rsidRDefault="00000000" w:rsidRPr="00000000" w14:paraId="00000121">
      <w:pPr>
        <w:spacing w:after="160" w:before="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según el modelo de Osterwalder y Pigneur (2010), con evidencia de Banco BBVA Perú (</w:t>
      </w:r>
      <w:r w:rsidDel="00000000" w:rsidR="00000000" w:rsidRPr="00000000">
        <w:rPr>
          <w:rFonts w:ascii="Times New Roman" w:cs="Times New Roman" w:eastAsia="Times New Roman" w:hAnsi="Times New Roman"/>
          <w:rtl w:val="0"/>
        </w:rPr>
        <w:t xml:space="preserve">2026f, 2026g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2">
      <w:pPr>
        <w:pStyle w:val="Heading1"/>
        <w:numPr>
          <w:ilvl w:val="0"/>
          <w:numId w:val="1"/>
        </w:numPr>
        <w:ind w:left="566.9291338582675" w:hanging="360"/>
        <w:rPr>
          <w:rFonts w:ascii="Times New Roman" w:cs="Times New Roman" w:eastAsia="Times New Roman" w:hAnsi="Times New Roman"/>
          <w:b w:val="1"/>
          <w:bCs w:val="1"/>
        </w:rPr>
      </w:pPr>
      <w:bookmarkStart w:colFirst="0" w:colLast="0" w:name="_heading=h.6h3s9e7kdgtf" w:id="9"/>
      <w:bookmarkEnd w:id="9"/>
      <w:r w:rsidDel="00000000" w:rsidR="00000000" w:rsidRPr="00000000">
        <w:rPr>
          <w:rFonts w:ascii="Times New Roman" w:cs="Times New Roman" w:eastAsia="Times New Roman" w:hAnsi="Times New Roman"/>
          <w:b w:val="1"/>
          <w:bCs w:val="1"/>
          <w:sz w:val="22"/>
          <w:szCs w:val="22"/>
          <w:rtl w:val="0"/>
        </w:rPr>
        <w:t xml:space="preserve">Objetivos estratégicos del negocio y procesos críticos</w:t>
      </w:r>
    </w:p>
    <w:p w:rsidR="00000000" w:rsidDel="00000000" w:rsidP="00000000" w:rsidRDefault="00000000" w:rsidRPr="00000000" w14:paraId="00000123">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heading=h.fee4gcctu7wj" w:id="10"/>
      <w:bookmarkEnd w:id="10"/>
      <w:r w:rsidDel="00000000" w:rsidR="00000000" w:rsidRPr="00000000">
        <w:rPr>
          <w:rFonts w:ascii="Times New Roman" w:cs="Times New Roman" w:eastAsia="Times New Roman" w:hAnsi="Times New Roman"/>
          <w:b w:val="1"/>
          <w:bCs w:val="1"/>
          <w:sz w:val="22"/>
          <w:szCs w:val="22"/>
          <w:rtl w:val="0"/>
        </w:rPr>
        <w:t xml:space="preserve">Objetivos estratégicos</w:t>
      </w:r>
    </w:p>
    <w:p w:rsidR="00000000" w:rsidDel="00000000" w:rsidP="00000000" w:rsidRDefault="00000000" w:rsidRPr="00000000" w14:paraId="00000124">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ciclo 2025-2029, BBVA organiza su estrategia alrededor de seis prioridades. El informe las adopta como marco corporativo y las traduce a la realidad peruana mediante descripciones operativas, indicadores candidatos y capacidades necesarias. Esta traducción es relevante porque un objetivo adquiere utilidad para la gestión de sistemas cuando puede relacionarse con procesos, información, responsables y resultados verificables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BBVA, 2025b</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Para que cada objetivo sea medible con precisión, la Tabla 10 incorpora la línea base numérica de BBVA Perú y una meta cuantitativa a 18 meses por objetivo, de modo que su avance pueda verificarse con datos públicos del banco.</w:t>
      </w:r>
      <w:r w:rsidDel="00000000" w:rsidR="00000000" w:rsidRPr="00000000">
        <w:rPr>
          <w:rtl w:val="0"/>
        </w:rPr>
      </w:r>
    </w:p>
    <w:p w:rsidR="00000000" w:rsidDel="00000000" w:rsidP="00000000" w:rsidRDefault="00000000" w:rsidRPr="00000000" w14:paraId="00000125">
      <w:pPr>
        <w:ind w:left="720"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10</w:t>
      </w:r>
    </w:p>
    <w:p w:rsidR="00000000" w:rsidDel="00000000" w:rsidP="00000000" w:rsidRDefault="00000000" w:rsidRPr="00000000" w14:paraId="00000126">
      <w:pPr>
        <w:spacing w:after="10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Objetivos estratégicos, indicadores, línea base, metas y capacidades requeridas</w:t>
      </w:r>
      <w:r w:rsidDel="00000000" w:rsidR="00000000" w:rsidRPr="00000000">
        <w:rPr>
          <w:rtl w:val="0"/>
        </w:rPr>
      </w:r>
    </w:p>
    <w:tbl>
      <w:tblPr>
        <w:tblStyle w:val="Table10"/>
        <w:tblW w:w="829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0"/>
        <w:gridCol w:w="1650"/>
        <w:gridCol w:w="1900"/>
        <w:gridCol w:w="1900"/>
        <w:gridCol w:w="1595"/>
        <w:tblGridChange w:id="0">
          <w:tblGrid>
            <w:gridCol w:w="1250"/>
            <w:gridCol w:w="1650"/>
            <w:gridCol w:w="1900"/>
            <w:gridCol w:w="1900"/>
            <w:gridCol w:w="1595"/>
          </w:tblGrid>
        </w:tblGridChange>
      </w:tblGrid>
      <w:tr>
        <w:trPr>
          <w:cantSplit w:val="0"/>
          <w:tblHeader w:val="1"/>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127">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Objetivo estratégico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128">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 operativa</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129">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Indicadores candidatos y capacidades</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12A">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Línea base (BBVA Perú)</w:t>
            </w:r>
            <w:r w:rsidDel="00000000" w:rsidR="00000000" w:rsidRPr="00000000">
              <w:rPr>
                <w:rtl w:val="0"/>
              </w:rPr>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12B">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Meta cuantitativa a 18 meses (propuesta)</w:t>
            </w:r>
            <w:r w:rsidDel="00000000" w:rsidR="00000000" w:rsidRPr="00000000">
              <w:rPr>
                <w:rtl w:val="0"/>
              </w:rPr>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2C">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OE1. “Incorporar radicalmente la perspectiva del cliente”</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2D">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Rediseñar journeys y decisiones desde las necesidades del cliente; asegurar una experiencia coherente, disponible y contextual en todos los canales.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2E">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Indicadores: NPS, resolución en primer contacto, tiempo de ciclo, conversión y abandono. Capacidades: visión 360°, analítica de journeys, personalización, orquestación omnicanal y voz del cliente.</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2F">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NPS Retail 52.57</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y NPS Pyme 33.6</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en 2025; brecha de 18.97 puntos (</w:t>
            </w:r>
            <w:r w:rsidDel="00000000" w:rsidR="00000000" w:rsidRPr="00000000">
              <w:rPr>
                <w:rFonts w:ascii="Times New Roman" w:cs="Times New Roman" w:eastAsia="Times New Roman" w:hAnsi="Times New Roman"/>
                <w:sz w:val="18"/>
                <w:szCs w:val="18"/>
                <w:rtl w:val="0"/>
              </w:rPr>
              <w:t xml:space="preserve">Banco BBVA Perú, 2026g, p. 26</w:t>
            </w:r>
            <w:r w:rsidDel="00000000" w:rsidR="00000000" w:rsidRPr="00000000">
              <w:rPr>
                <w:rFonts w:ascii="Times New Roman" w:cs="Times New Roman" w:eastAsia="Times New Roman" w:hAnsi="Times New Roman"/>
                <w:sz w:val="18"/>
                <w:szCs w:val="18"/>
                <w:rtl w:val="0"/>
              </w:rPr>
              <w:t xml:space="preserve">). La entidad no publica la resolución en primer contacto, el tiempo de ciclo, la conversión ni el abandono.</w:t>
            </w:r>
            <w:r w:rsidDel="00000000" w:rsidR="00000000" w:rsidRPr="00000000">
              <w:rPr>
                <w:rtl w:val="0"/>
              </w:rPr>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30">
            <w:pPr>
              <w:spacing w:line="252.00000000000003" w:lineRule="auto"/>
              <w:rPr>
                <w:rFonts w:ascii="Times New Roman" w:cs="Times New Roman" w:eastAsia="Times New Roman" w:hAnsi="Times New Roman"/>
                <w:sz w:val="18"/>
                <w:szCs w:val="18"/>
              </w:rPr>
            </w:pPr>
            <w:sdt>
              <w:sdtPr>
                <w:id w:val="1806605523"/>
                <w:tag w:val="goog_rdk_1"/>
              </w:sdtPr>
              <w:sdtContent>
                <w:r w:rsidDel="00000000" w:rsidR="00000000" w:rsidRPr="00000000">
                  <w:rPr>
                    <w:rFonts w:ascii="Gungsuh" w:cs="Gungsuh" w:eastAsia="Gungsuh" w:hAnsi="Gungsuh"/>
                    <w:sz w:val="18"/>
                    <w:szCs w:val="18"/>
                    <w:rtl w:val="0"/>
                  </w:rPr>
                  <w:t xml:space="preserve">NPS Pyme ≥ 43.0</w:t>
                </w:r>
              </w:sdtContent>
            </w:sdt>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a 18 meses (nivel actual de Banca de Empresas e Instituciones, 43.6</w:t>
            </w:r>
            <w:r w:rsidDel="00000000" w:rsidR="00000000" w:rsidRPr="00000000">
              <w:rPr>
                <w:rFonts w:ascii="Times New Roman" w:cs="Times New Roman" w:eastAsia="Times New Roman" w:hAnsi="Times New Roman"/>
                <w:sz w:val="18"/>
                <w:szCs w:val="18"/>
                <w:rtl w:val="0"/>
              </w:rPr>
              <w:t xml:space="preserve"> %</w:t>
            </w:r>
            <w:sdt>
              <w:sdtPr>
                <w:id w:val="1270358838"/>
                <w:tag w:val="goog_rdk_2"/>
              </w:sdtPr>
              <w:sdtContent>
                <w:r w:rsidDel="00000000" w:rsidR="00000000" w:rsidRPr="00000000">
                  <w:rPr>
                    <w:rFonts w:ascii="Gungsuh" w:cs="Gungsuh" w:eastAsia="Gungsuh" w:hAnsi="Gungsuh"/>
                    <w:sz w:val="18"/>
                    <w:szCs w:val="18"/>
                    <w:rtl w:val="0"/>
                  </w:rPr>
                  <w:t xml:space="preserve">), con brecha frente a Retail ≤ 9.6 puntos, y NPS Retail ≥ 52.57</w:t>
                </w:r>
              </w:sdtContent>
            </w:sdt>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Instrumentar los demás indicadores en los primeros 6 meses.</w:t>
            </w:r>
            <w:r w:rsidDel="00000000" w:rsidR="00000000" w:rsidRPr="00000000">
              <w:rPr>
                <w:rtl w:val="0"/>
              </w:rPr>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31">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OE2. “Impulsar la sostenibilidad como motor de crecimiento”</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32">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Integrar criterios ambientales y sociales en la propuesta, la originación, el riesgo, el asesoramiento y el seguimiento, no solo en el reporte.</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33">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Indicadores: negocio sostenible movilizado, cartera elegible, tiempo de evaluación y calidad del dato ESG. Capacidades: taxonomía, trazabilidad, datos ESG, reglas de elegibilidad y reporting.</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34">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Colocaciones sostenibles cercanas a S/ 16.5 mil millones y 115</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de cumplimiento de la meta de facturación sostenible en 2025 (</w:t>
            </w:r>
            <w:r w:rsidDel="00000000" w:rsidR="00000000" w:rsidRPr="00000000">
              <w:rPr>
                <w:rFonts w:ascii="Times New Roman" w:cs="Times New Roman" w:eastAsia="Times New Roman" w:hAnsi="Times New Roman"/>
                <w:sz w:val="18"/>
                <w:szCs w:val="18"/>
                <w:rtl w:val="0"/>
              </w:rPr>
              <w:t xml:space="preserve">Banco BBVA Perú, 2026g</w:t>
            </w:r>
            <w:r w:rsidDel="00000000" w:rsidR="00000000" w:rsidRPr="00000000">
              <w:rPr>
                <w:rFonts w:ascii="Times New Roman" w:cs="Times New Roman" w:eastAsia="Times New Roman" w:hAnsi="Times New Roman"/>
                <w:sz w:val="18"/>
                <w:szCs w:val="18"/>
                <w:rtl w:val="0"/>
              </w:rPr>
              <w:t xml:space="preserve">); facturación sostenible movilizada de S/ 8,989 millones al </w:t>
            </w:r>
            <w:r w:rsidDel="00000000" w:rsidR="00000000" w:rsidRPr="00000000">
              <w:rPr>
                <w:rFonts w:ascii="Times New Roman" w:cs="Times New Roman" w:eastAsia="Times New Roman" w:hAnsi="Times New Roman"/>
                <w:sz w:val="18"/>
                <w:szCs w:val="18"/>
                <w:rtl w:val="0"/>
              </w:rPr>
              <w:t xml:space="preserve">1S2026</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Banco BBVA Perú, 2026f</w:t>
            </w:r>
            <w:r w:rsidDel="00000000" w:rsidR="00000000" w:rsidRPr="00000000">
              <w:rPr>
                <w:rFonts w:ascii="Times New Roman" w:cs="Times New Roman" w:eastAsia="Times New Roman" w:hAnsi="Times New Roman"/>
                <w:sz w:val="18"/>
                <w:szCs w:val="18"/>
                <w:rtl w:val="0"/>
              </w:rPr>
              <w:t xml:space="preserve">). La entidad no publica el tiempo de evaluación ni la calidad del dato ESG.</w:t>
            </w:r>
            <w:r w:rsidDel="00000000" w:rsidR="00000000" w:rsidRPr="00000000">
              <w:rPr>
                <w:rtl w:val="0"/>
              </w:rPr>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35">
            <w:pPr>
              <w:spacing w:line="252.00000000000003" w:lineRule="auto"/>
              <w:rPr>
                <w:rFonts w:ascii="Times New Roman" w:cs="Times New Roman" w:eastAsia="Times New Roman" w:hAnsi="Times New Roman"/>
                <w:sz w:val="18"/>
                <w:szCs w:val="18"/>
              </w:rPr>
            </w:pPr>
            <w:sdt>
              <w:sdtPr>
                <w:id w:val="483157620"/>
                <w:tag w:val="goog_rdk_3"/>
              </w:sdtPr>
              <w:sdtContent>
                <w:r w:rsidDel="00000000" w:rsidR="00000000" w:rsidRPr="00000000">
                  <w:rPr>
                    <w:rFonts w:ascii="Gungsuh" w:cs="Gungsuh" w:eastAsia="Gungsuh" w:hAnsi="Gungsuh"/>
                    <w:sz w:val="18"/>
                    <w:szCs w:val="18"/>
                    <w:rtl w:val="0"/>
                  </w:rPr>
                  <w:t xml:space="preserve">Colocaciones sostenibles ≥ S/ 20 mil millones (≈ +21</w:t>
                </w:r>
              </w:sdtContent>
            </w:sdt>
            <w:r w:rsidDel="00000000" w:rsidR="00000000" w:rsidRPr="00000000">
              <w:rPr>
                <w:rFonts w:ascii="Times New Roman" w:cs="Times New Roman" w:eastAsia="Times New Roman" w:hAnsi="Times New Roman"/>
                <w:sz w:val="18"/>
                <w:szCs w:val="18"/>
                <w:rtl w:val="0"/>
              </w:rPr>
              <w:t xml:space="preserve"> %</w:t>
            </w:r>
            <w:sdt>
              <w:sdtPr>
                <w:id w:val="-906235383"/>
                <w:tag w:val="goog_rdk_4"/>
              </w:sdtPr>
              <w:sdtContent>
                <w:r w:rsidDel="00000000" w:rsidR="00000000" w:rsidRPr="00000000">
                  <w:rPr>
                    <w:rFonts w:ascii="Gungsuh" w:cs="Gungsuh" w:eastAsia="Gungsuh" w:hAnsi="Gungsuh"/>
                    <w:sz w:val="18"/>
                    <w:szCs w:val="18"/>
                    <w:rtl w:val="0"/>
                  </w:rPr>
                  <w:t xml:space="preserve">) y cumplimiento ≥ 100</w:t>
                </w:r>
              </w:sdtContent>
            </w:sdt>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de la meta anual de facturación sostenible a 18 meses. Instrumentar tiempo de evaluación y calidad del dato ESG en los primeros 6 meses.</w:t>
            </w:r>
            <w:r w:rsidDel="00000000" w:rsidR="00000000" w:rsidRPr="00000000">
              <w:rPr>
                <w:rtl w:val="0"/>
              </w:rPr>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36">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OE3. “Crecer en todos los segmentos de empresas”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37">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Expandir la relación con pymes, empresas, instituciones y corporaciones mediante asesoramiento, rapidez de respuesta y soluciones transaccionales integrales.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38">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Indicadores: cuota, clientes activos, vinculación, ingresos transaccionales, conversión y tiempo de aprobación. Capacidades: onboarding empresarial, cash management, scoring, integración y visión sectorial.</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39">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Cuota de colocaciones vigentes 22.09</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y de depósitos 20.90</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en 2025; cuota en pymes 21.5</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gran empresa 29.9</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y corporativo 19.6</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Banco BBVA Perú, 2026g</w:t>
            </w:r>
            <w:r w:rsidDel="00000000" w:rsidR="00000000" w:rsidRPr="00000000">
              <w:rPr>
                <w:rFonts w:ascii="Times New Roman" w:cs="Times New Roman" w:eastAsia="Times New Roman" w:hAnsi="Times New Roman"/>
                <w:sz w:val="18"/>
                <w:szCs w:val="18"/>
                <w:rtl w:val="0"/>
              </w:rPr>
              <w:t xml:space="preserve">). La entidad no publica clientes activos, vinculación ni tiempo de aprobación; como referencia, reporta 9,465,848 clientes en 2025, de los cuales 680,507 son personas jurídicas (Banco BBVA Perú, 2026g, p. 12).</w:t>
            </w:r>
            <w:r w:rsidDel="00000000" w:rsidR="00000000" w:rsidRPr="00000000">
              <w:rPr>
                <w:rtl w:val="0"/>
              </w:rPr>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3A">
            <w:pPr>
              <w:spacing w:line="252.00000000000003" w:lineRule="auto"/>
              <w:rPr>
                <w:rFonts w:ascii="Times New Roman" w:cs="Times New Roman" w:eastAsia="Times New Roman" w:hAnsi="Times New Roman"/>
                <w:sz w:val="18"/>
                <w:szCs w:val="18"/>
              </w:rPr>
            </w:pPr>
            <w:sdt>
              <w:sdtPr>
                <w:id w:val="-1002482478"/>
                <w:tag w:val="goog_rdk_5"/>
              </w:sdtPr>
              <w:sdtContent>
                <w:r w:rsidDel="00000000" w:rsidR="00000000" w:rsidRPr="00000000">
                  <w:rPr>
                    <w:rFonts w:ascii="Gungsuh" w:cs="Gungsuh" w:eastAsia="Gungsuh" w:hAnsi="Gungsuh"/>
                    <w:sz w:val="18"/>
                    <w:szCs w:val="18"/>
                    <w:rtl w:val="0"/>
                  </w:rPr>
                  <w:t xml:space="preserve">Cuota de colocaciones vigentes ≥ 22.5</w:t>
                </w:r>
              </w:sdtContent>
            </w:sdt>
            <w:r w:rsidDel="00000000" w:rsidR="00000000" w:rsidRPr="00000000">
              <w:rPr>
                <w:rFonts w:ascii="Times New Roman" w:cs="Times New Roman" w:eastAsia="Times New Roman" w:hAnsi="Times New Roman"/>
                <w:sz w:val="18"/>
                <w:szCs w:val="18"/>
                <w:rtl w:val="0"/>
              </w:rPr>
              <w:t xml:space="preserve"> %</w:t>
            </w:r>
            <w:sdt>
              <w:sdtPr>
                <w:id w:val="1525158033"/>
                <w:tag w:val="goog_rdk_6"/>
              </w:sdtPr>
              <w:sdtContent>
                <w:r w:rsidDel="00000000" w:rsidR="00000000" w:rsidRPr="00000000">
                  <w:rPr>
                    <w:rFonts w:ascii="Gungsuh" w:cs="Gungsuh" w:eastAsia="Gungsuh" w:hAnsi="Gungsuh"/>
                    <w:sz w:val="18"/>
                    <w:szCs w:val="18"/>
                    <w:rtl w:val="0"/>
                  </w:rPr>
                  <w:t xml:space="preserve"> (+0.4 puntos) y cuota en pymes ≥ 22.5</w:t>
                </w:r>
              </w:sdtContent>
            </w:sdt>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(+1.0 punto) a 18 meses. Instrumentar tiempo de aprobación en los primeros 6 meses.</w:t>
            </w:r>
            <w:r w:rsidDel="00000000" w:rsidR="00000000" w:rsidRPr="00000000">
              <w:rPr>
                <w:rtl w:val="0"/>
              </w:rPr>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3B">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OE4. “Promover una mentalidad de creación de valor y capital</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3C">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Orientar crecimiento, precios y asignación de recursos a rentabilidad ajustada por riesgo y uso eficiente del capital.</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3D">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Indicadores: ROE, RORWA, eficiencia, costo de riesgo y rentabilidad por cliente/producto. Capacidades: rentabilidad granular, pricing, modelos de riesgo, automatización y gestión de portafolio.</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3E">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ROE 17.21</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(2025) y 18.7</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2T2026</w:t>
            </w:r>
            <w:r w:rsidDel="00000000" w:rsidR="00000000" w:rsidRPr="00000000">
              <w:rPr>
                <w:rFonts w:ascii="Times New Roman" w:cs="Times New Roman" w:eastAsia="Times New Roman" w:hAnsi="Times New Roman"/>
                <w:sz w:val="18"/>
                <w:szCs w:val="18"/>
                <w:rtl w:val="0"/>
              </w:rPr>
              <w:t xml:space="preserve">), frente a 20.1</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del sistema; ratio de eficiencia 35.9</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(2025) y 40.0</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2T2026</w:t>
            </w:r>
            <w:r w:rsidDel="00000000" w:rsidR="00000000" w:rsidRPr="00000000">
              <w:rPr>
                <w:rFonts w:ascii="Times New Roman" w:cs="Times New Roman" w:eastAsia="Times New Roman" w:hAnsi="Times New Roman"/>
                <w:sz w:val="18"/>
                <w:szCs w:val="18"/>
                <w:rtl w:val="0"/>
              </w:rPr>
              <w:t xml:space="preserve">); mora 2.69</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al </w:t>
            </w:r>
            <w:r w:rsidDel="00000000" w:rsidR="00000000" w:rsidRPr="00000000">
              <w:rPr>
                <w:rFonts w:ascii="Times New Roman" w:cs="Times New Roman" w:eastAsia="Times New Roman" w:hAnsi="Times New Roman"/>
                <w:sz w:val="18"/>
                <w:szCs w:val="18"/>
                <w:rtl w:val="0"/>
              </w:rPr>
              <w:t xml:space="preserve">2T2026</w:t>
            </w:r>
            <w:r w:rsidDel="00000000" w:rsidR="00000000" w:rsidRPr="00000000">
              <w:rPr>
                <w:rFonts w:ascii="Times New Roman" w:cs="Times New Roman" w:eastAsia="Times New Roman" w:hAnsi="Times New Roman"/>
                <w:sz w:val="18"/>
                <w:szCs w:val="18"/>
                <w:rtl w:val="0"/>
              </w:rPr>
              <w:t xml:space="preserve"> frente a 2.83</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del sistema a mayo de 2026 (</w:t>
            </w:r>
            <w:r w:rsidDel="00000000" w:rsidR="00000000" w:rsidRPr="00000000">
              <w:rPr>
                <w:rFonts w:ascii="Times New Roman" w:cs="Times New Roman" w:eastAsia="Times New Roman" w:hAnsi="Times New Roman"/>
                <w:sz w:val="18"/>
                <w:szCs w:val="18"/>
                <w:rtl w:val="0"/>
              </w:rPr>
              <w:t xml:space="preserve">Banco BBVA Perú, 2026f, pp. 17 y 24; 2026g</w:t>
            </w:r>
            <w:r w:rsidDel="00000000" w:rsidR="00000000" w:rsidRPr="00000000">
              <w:rPr>
                <w:rFonts w:ascii="Times New Roman" w:cs="Times New Roman" w:eastAsia="Times New Roman" w:hAnsi="Times New Roman"/>
                <w:sz w:val="18"/>
                <w:szCs w:val="18"/>
                <w:rtl w:val="0"/>
              </w:rPr>
              <w:t xml:space="preserve">). La entidad no publica el RORWA ni el costo de riesgo.</w:t>
            </w:r>
            <w:r w:rsidDel="00000000" w:rsidR="00000000" w:rsidRPr="00000000">
              <w:rPr>
                <w:rtl w:val="0"/>
              </w:rPr>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3F">
            <w:pPr>
              <w:spacing w:line="252.00000000000003" w:lineRule="auto"/>
              <w:rPr>
                <w:rFonts w:ascii="Times New Roman" w:cs="Times New Roman" w:eastAsia="Times New Roman" w:hAnsi="Times New Roman"/>
                <w:sz w:val="18"/>
                <w:szCs w:val="18"/>
              </w:rPr>
            </w:pPr>
            <w:sdt>
              <w:sdtPr>
                <w:id w:val="1153664836"/>
                <w:tag w:val="goog_rdk_7"/>
              </w:sdtPr>
              <w:sdtContent>
                <w:r w:rsidDel="00000000" w:rsidR="00000000" w:rsidRPr="00000000">
                  <w:rPr>
                    <w:rFonts w:ascii="Gungsuh" w:cs="Gungsuh" w:eastAsia="Gungsuh" w:hAnsi="Gungsuh"/>
                    <w:sz w:val="18"/>
                    <w:szCs w:val="18"/>
                    <w:rtl w:val="0"/>
                  </w:rPr>
                  <w:t xml:space="preserve">ROE ≥ 19.5</w:t>
                </w:r>
              </w:sdtContent>
            </w:sdt>
            <w:r w:rsidDel="00000000" w:rsidR="00000000" w:rsidRPr="00000000">
              <w:rPr>
                <w:rFonts w:ascii="Times New Roman" w:cs="Times New Roman" w:eastAsia="Times New Roman" w:hAnsi="Times New Roman"/>
                <w:sz w:val="18"/>
                <w:szCs w:val="18"/>
                <w:rtl w:val="0"/>
              </w:rPr>
              <w:t xml:space="preserve"> %</w:t>
            </w:r>
            <w:sdt>
              <w:sdtPr>
                <w:id w:val="-78287083"/>
                <w:tag w:val="goog_rdk_8"/>
              </w:sdtPr>
              <w:sdtContent>
                <w:r w:rsidDel="00000000" w:rsidR="00000000" w:rsidRPr="00000000">
                  <w:rPr>
                    <w:rFonts w:ascii="Gungsuh" w:cs="Gungsuh" w:eastAsia="Gungsuh" w:hAnsi="Gungsuh"/>
                    <w:sz w:val="18"/>
                    <w:szCs w:val="18"/>
                    <w:rtl w:val="0"/>
                  </w:rPr>
                  <w:t xml:space="preserve"> (reduce en más de la mitad la brecha de 1.4 puntos con el sistema), ratio de eficiencia ≤ 40.0</w:t>
                </w:r>
              </w:sdtContent>
            </w:sdt>
            <w:r w:rsidDel="00000000" w:rsidR="00000000" w:rsidRPr="00000000">
              <w:rPr>
                <w:rFonts w:ascii="Times New Roman" w:cs="Times New Roman" w:eastAsia="Times New Roman" w:hAnsi="Times New Roman"/>
                <w:sz w:val="18"/>
                <w:szCs w:val="18"/>
                <w:rtl w:val="0"/>
              </w:rPr>
              <w:t xml:space="preserve"> %</w:t>
            </w:r>
            <w:sdt>
              <w:sdtPr>
                <w:id w:val="25712132"/>
                <w:tag w:val="goog_rdk_9"/>
              </w:sdtPr>
              <w:sdtContent>
                <w:r w:rsidDel="00000000" w:rsidR="00000000" w:rsidRPr="00000000">
                  <w:rPr>
                    <w:rFonts w:ascii="Gungsuh" w:cs="Gungsuh" w:eastAsia="Gungsuh" w:hAnsi="Gungsuh"/>
                    <w:sz w:val="18"/>
                    <w:szCs w:val="18"/>
                    <w:rtl w:val="0"/>
                  </w:rPr>
                  <w:t xml:space="preserve"> y mora ≤ 2.69</w:t>
                </w:r>
              </w:sdtContent>
            </w:sdt>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a 18 meses. Instrumentar RORWA y costo de riesgo en los primeros 6 meses.</w:t>
            </w:r>
            <w:r w:rsidDel="00000000" w:rsidR="00000000" w:rsidRPr="00000000">
              <w:rPr>
                <w:rtl w:val="0"/>
              </w:rPr>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40">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OE5. “Maximizar IA, innovación, datos y tecnologías Next Gen”</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41">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Escalar datos e IA desde pilotos hacia decisiones, interacciones y automatizaciones gobernadas a lo largo de la cadena de valor.</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42">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Indicadores: casos en producción, adopción, tiempo de despliegue, calidad de datos, impacto económico y desempeño de modelos. Capacidades: ADA, MLOps, API, datos gobernados, seguridad y observabilidad.</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43">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Ventas digitales 79.57</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y más de 3 millones de usuarios activos en la app (</w:t>
            </w:r>
            <w:r w:rsidDel="00000000" w:rsidR="00000000" w:rsidRPr="00000000">
              <w:rPr>
                <w:rFonts w:ascii="Times New Roman" w:cs="Times New Roman" w:eastAsia="Times New Roman" w:hAnsi="Times New Roman"/>
                <w:sz w:val="18"/>
                <w:szCs w:val="18"/>
                <w:rtl w:val="0"/>
              </w:rPr>
              <w:t xml:space="preserve">2T2026</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Banco BBVA Perú, 2026f</w:t>
            </w:r>
            <w:r w:rsidDel="00000000" w:rsidR="00000000" w:rsidRPr="00000000">
              <w:rPr>
                <w:rFonts w:ascii="Times New Roman" w:cs="Times New Roman" w:eastAsia="Times New Roman" w:hAnsi="Times New Roman"/>
                <w:sz w:val="18"/>
                <w:szCs w:val="18"/>
                <w:rtl w:val="0"/>
              </w:rPr>
              <w:t xml:space="preserve">); más del 81</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de las operaciones realizadas por la app y despliegue de ADA en 2025 (</w:t>
            </w:r>
            <w:r w:rsidDel="00000000" w:rsidR="00000000" w:rsidRPr="00000000">
              <w:rPr>
                <w:rFonts w:ascii="Times New Roman" w:cs="Times New Roman" w:eastAsia="Times New Roman" w:hAnsi="Times New Roman"/>
                <w:sz w:val="18"/>
                <w:szCs w:val="18"/>
                <w:rtl w:val="0"/>
              </w:rPr>
              <w:t xml:space="preserve">Banco BBVA Perú, 2026g</w:t>
            </w:r>
            <w:r w:rsidDel="00000000" w:rsidR="00000000" w:rsidRPr="00000000">
              <w:rPr>
                <w:rFonts w:ascii="Times New Roman" w:cs="Times New Roman" w:eastAsia="Times New Roman" w:hAnsi="Times New Roman"/>
                <w:sz w:val="18"/>
                <w:szCs w:val="18"/>
                <w:rtl w:val="0"/>
              </w:rPr>
              <w:t xml:space="preserve">). La entidad no publica el número de casos de IA en producción ni su tiempo de despliegue.</w:t>
            </w:r>
            <w:r w:rsidDel="00000000" w:rsidR="00000000" w:rsidRPr="00000000">
              <w:rPr>
                <w:rtl w:val="0"/>
              </w:rPr>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44">
            <w:pPr>
              <w:spacing w:line="252.00000000000003" w:lineRule="auto"/>
              <w:rPr>
                <w:rFonts w:ascii="Times New Roman" w:cs="Times New Roman" w:eastAsia="Times New Roman" w:hAnsi="Times New Roman"/>
                <w:sz w:val="18"/>
                <w:szCs w:val="18"/>
              </w:rPr>
            </w:pPr>
            <w:sdt>
              <w:sdtPr>
                <w:id w:val="900710479"/>
                <w:tag w:val="goog_rdk_10"/>
              </w:sdtPr>
              <w:sdtContent>
                <w:r w:rsidDel="00000000" w:rsidR="00000000" w:rsidRPr="00000000">
                  <w:rPr>
                    <w:rFonts w:ascii="Gungsuh" w:cs="Gungsuh" w:eastAsia="Gungsuh" w:hAnsi="Gungsuh"/>
                    <w:sz w:val="18"/>
                    <w:szCs w:val="18"/>
                    <w:rtl w:val="0"/>
                  </w:rPr>
                  <w:t xml:space="preserve">Ventas digitales ≥ 85</w:t>
                </w:r>
              </w:sdtContent>
            </w:sdt>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(+5.4 puntos) y al menos tres casos de IA priorizados en producción con impacto económico medido a 18 meses. Definir la línea base de casos y de tiempo de despliegue en los primeros 6 meses.</w:t>
            </w:r>
            <w:r w:rsidDel="00000000" w:rsidR="00000000" w:rsidRPr="00000000">
              <w:rPr>
                <w:rtl w:val="0"/>
              </w:rPr>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45">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OE6. “Fortalecer nuestra empatía, triunfar como un equipo ganador”</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46">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Mejorar los procesos internos de la empresa, para maximizar el bienestar de los empleados y aumentar las capacidades digitales internas.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47">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Indicadores: Nivel de productividad, tiempo de mejora de implementación de automatizaciones, calidad de datos y desempeño de la estrategia de mejora.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48">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Índice de compromiso de colaboradores 93/100 en 2025 (</w:t>
            </w:r>
            <w:r w:rsidDel="00000000" w:rsidR="00000000" w:rsidRPr="00000000">
              <w:rPr>
                <w:rFonts w:ascii="Times New Roman" w:cs="Times New Roman" w:eastAsia="Times New Roman" w:hAnsi="Times New Roman"/>
                <w:sz w:val="18"/>
                <w:szCs w:val="18"/>
                <w:rtl w:val="0"/>
              </w:rPr>
              <w:t xml:space="preserve">Banco BBVA Perú, 2026g, p. 12</w:t>
            </w:r>
            <w:r w:rsidDel="00000000" w:rsidR="00000000" w:rsidRPr="00000000">
              <w:rPr>
                <w:rFonts w:ascii="Times New Roman" w:cs="Times New Roman" w:eastAsia="Times New Roman" w:hAnsi="Times New Roman"/>
                <w:sz w:val="18"/>
                <w:szCs w:val="18"/>
                <w:rtl w:val="0"/>
              </w:rPr>
              <w:t xml:space="preserve">) y adopción interna de Blue Buddy del 90</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en junio de 2026 (</w:t>
            </w:r>
            <w:r w:rsidDel="00000000" w:rsidR="00000000" w:rsidRPr="00000000">
              <w:rPr>
                <w:rFonts w:ascii="Times New Roman" w:cs="Times New Roman" w:eastAsia="Times New Roman" w:hAnsi="Times New Roman"/>
                <w:sz w:val="18"/>
                <w:szCs w:val="18"/>
                <w:rtl w:val="0"/>
              </w:rPr>
              <w:t xml:space="preserve">Banco BBVA Perú, 2026f</w:t>
            </w:r>
            <w:r w:rsidDel="00000000" w:rsidR="00000000" w:rsidRPr="00000000">
              <w:rPr>
                <w:rFonts w:ascii="Times New Roman" w:cs="Times New Roman" w:eastAsia="Times New Roman" w:hAnsi="Times New Roman"/>
                <w:sz w:val="18"/>
                <w:szCs w:val="18"/>
                <w:rtl w:val="0"/>
              </w:rPr>
              <w:t xml:space="preserve">). La entidad no publica indicadores de productividad, de tiempo de implementación de automatizaciones ni de calidad de datos.</w:t>
            </w:r>
            <w:r w:rsidDel="00000000" w:rsidR="00000000" w:rsidRPr="00000000">
              <w:rPr>
                <w:rtl w:val="0"/>
              </w:rPr>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49">
            <w:pPr>
              <w:spacing w:line="252.00000000000003" w:lineRule="auto"/>
              <w:rPr>
                <w:rFonts w:ascii="Times New Roman" w:cs="Times New Roman" w:eastAsia="Times New Roman" w:hAnsi="Times New Roman"/>
                <w:sz w:val="18"/>
                <w:szCs w:val="18"/>
              </w:rPr>
            </w:pPr>
            <w:sdt>
              <w:sdtPr>
                <w:id w:val="-1301864685"/>
                <w:tag w:val="goog_rdk_11"/>
              </w:sdtPr>
              <w:sdtContent>
                <w:r w:rsidDel="00000000" w:rsidR="00000000" w:rsidRPr="00000000">
                  <w:rPr>
                    <w:rFonts w:ascii="Gungsuh" w:cs="Gungsuh" w:eastAsia="Gungsuh" w:hAnsi="Gungsuh"/>
                    <w:sz w:val="18"/>
                    <w:szCs w:val="18"/>
                    <w:rtl w:val="0"/>
                  </w:rPr>
                  <w:t xml:space="preserve">Índice de compromiso ≥ 93/100 y adopción interna de Blue Buddy ≥ 95</w:t>
                </w:r>
              </w:sdtContent>
            </w:sdt>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a 18 meses. Definir la línea base de productividad y de automatizaciones en los primeros 6 meses.</w:t>
            </w:r>
            <w:r w:rsidDel="00000000" w:rsidR="00000000" w:rsidRPr="00000000">
              <w:rPr>
                <w:rtl w:val="0"/>
              </w:rPr>
            </w:r>
          </w:p>
        </w:tc>
      </w:tr>
    </w:tbl>
    <w:p w:rsidR="00000000" w:rsidDel="00000000" w:rsidP="00000000" w:rsidRDefault="00000000" w:rsidRPr="00000000" w14:paraId="0000014A">
      <w:pPr>
        <w:spacing w:after="160" w:before="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Banco BBVA Perú (</w:t>
      </w:r>
      <w:r w:rsidDel="00000000" w:rsidR="00000000" w:rsidRPr="00000000">
        <w:rPr>
          <w:rFonts w:ascii="Times New Roman" w:cs="Times New Roman" w:eastAsia="Times New Roman" w:hAnsi="Times New Roman"/>
          <w:rtl w:val="0"/>
        </w:rPr>
        <w:t xml:space="preserve">2026f, 2026g</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rtl w:val="0"/>
        </w:rPr>
        <w:t xml:space="preserve">BBVA (</w:t>
      </w:r>
      <w:r w:rsidDel="00000000" w:rsidR="00000000" w:rsidRPr="00000000">
        <w:rPr>
          <w:rFonts w:ascii="Times New Roman" w:cs="Times New Roman" w:eastAsia="Times New Roman" w:hAnsi="Times New Roman"/>
          <w:rtl w:val="0"/>
        </w:rPr>
        <w:t xml:space="preserve">2025b</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Las líneas base corresponden a datos públicos del periodo indicado; las metas a 18 meses son propuestas del equipo, pendientes de validación con la entidad. Los indicadores que la entidad no publica se declaran de forma expresa en la columna de línea base y deberán instrumentarse como parte de la meta.</w:t>
      </w:r>
      <w:r w:rsidDel="00000000" w:rsidR="00000000" w:rsidRPr="00000000">
        <w:rPr>
          <w:rtl w:val="0"/>
        </w:rPr>
      </w:r>
    </w:p>
    <w:p w:rsidR="00000000" w:rsidDel="00000000" w:rsidP="00000000" w:rsidRDefault="00000000" w:rsidRPr="00000000" w14:paraId="0000014B">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heading=h.2tn93we0fgn9" w:id="11"/>
      <w:bookmarkEnd w:id="11"/>
      <w:r w:rsidDel="00000000" w:rsidR="00000000" w:rsidRPr="00000000">
        <w:rPr>
          <w:rFonts w:ascii="Times New Roman" w:cs="Times New Roman" w:eastAsia="Times New Roman" w:hAnsi="Times New Roman"/>
          <w:b w:val="1"/>
          <w:bCs w:val="1"/>
          <w:sz w:val="22"/>
          <w:szCs w:val="22"/>
          <w:rtl w:val="0"/>
        </w:rPr>
        <w:t xml:space="preserve">Inventarios de procesos</w:t>
      </w:r>
    </w:p>
    <w:p w:rsidR="00000000" w:rsidDel="00000000" w:rsidP="00000000" w:rsidRDefault="00000000" w:rsidRPr="00000000" w14:paraId="0000014C">
      <w:pPr>
        <w:spacing w:before="200" w:lineRule="auto"/>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operación tecnológica del Banco combina plataformas transaccionales de alta disponibilidad, canales digitales que concentran la mayor parte de la actividad del cliente y una capa de datos y analítica en despliegue. A ello se suman procesos de control cuya forma responde a la regulación prudencial más que a decisiones internas, lo que permite especificarlos con mayor precisión que al resto.</w:t>
      </w:r>
      <w:r w:rsidDel="00000000" w:rsidR="00000000" w:rsidRPr="00000000">
        <w:rPr>
          <w:rFonts w:ascii="Times New Roman" w:cs="Times New Roman" w:eastAsia="Times New Roman" w:hAnsi="Times New Roman"/>
          <w:rtl w:val="0"/>
        </w:rPr>
        <w:t xml:space="preserve"> El inventario se complementa con los macroprocesos del negocio bancario (originación de crédito, captación, medios de pago, servicio al cliente y cobranzas), que son los que atraviesan los recorridos del cliente.</w:t>
      </w:r>
      <w:r w:rsidDel="00000000" w:rsidR="00000000" w:rsidRPr="00000000">
        <w:rPr>
          <w:rtl w:val="0"/>
        </w:rPr>
      </w:r>
    </w:p>
    <w:p w:rsidR="00000000" w:rsidDel="00000000" w:rsidP="00000000" w:rsidRDefault="00000000" w:rsidRPr="00000000" w14:paraId="0000014D">
      <w:pPr>
        <w:spacing w:before="200" w:lineRule="auto"/>
        <w:ind w:left="720"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11</w:t>
      </w:r>
    </w:p>
    <w:p w:rsidR="00000000" w:rsidDel="00000000" w:rsidP="00000000" w:rsidRDefault="00000000" w:rsidRPr="00000000" w14:paraId="0000014E">
      <w:pPr>
        <w:spacing w:after="10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Inventario de procesos</w:t>
      </w:r>
      <w:r w:rsidDel="00000000" w:rsidR="00000000" w:rsidRPr="00000000">
        <w:rPr>
          <w:rtl w:val="0"/>
        </w:rPr>
      </w:r>
    </w:p>
    <w:tbl>
      <w:tblPr>
        <w:tblStyle w:val="Table11"/>
        <w:tblW w:w="8376.377952755905"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3.8488766885794"/>
        <w:gridCol w:w="3016.2645380336635"/>
        <w:gridCol w:w="3016.2645380336635"/>
        <w:tblGridChange w:id="0">
          <w:tblGrid>
            <w:gridCol w:w="2343.8488766885794"/>
            <w:gridCol w:w="3016.2645380336635"/>
            <w:gridCol w:w="3016.2645380336635"/>
          </w:tblGrid>
        </w:tblGridChange>
      </w:tblGrid>
      <w:tr>
        <w:trPr>
          <w:cantSplit w:val="0"/>
          <w:tblHeader w:val="1"/>
        </w:trPr>
        <w:tc>
          <w:tcPr>
            <w:tcBorders>
              <w:top w:color="d7dee4" w:space="0" w:sz="8" w:val="single"/>
              <w:left w:color="d7dee4" w:space="0" w:sz="8" w:val="single"/>
              <w:bottom w:color="d7dee4" w:space="0" w:sz="8" w:val="single"/>
              <w:right w:color="d7dee4" w:space="0" w:sz="8" w:val="single"/>
            </w:tcBorders>
            <w:shd w:fill="004481"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afbfc"/>
                <w:sz w:val="18"/>
                <w:szCs w:val="18"/>
              </w:rPr>
            </w:pPr>
            <w:r w:rsidDel="00000000" w:rsidR="00000000" w:rsidRPr="00000000">
              <w:rPr>
                <w:rFonts w:ascii="Times New Roman" w:cs="Times New Roman" w:eastAsia="Times New Roman" w:hAnsi="Times New Roman"/>
                <w:b w:val="1"/>
                <w:bCs w:val="1"/>
                <w:color w:val="fafbfc"/>
                <w:sz w:val="18"/>
                <w:szCs w:val="18"/>
                <w:rtl w:val="0"/>
              </w:rPr>
              <w:t xml:space="preserve">Macroproceso</w:t>
            </w:r>
          </w:p>
        </w:tc>
        <w:tc>
          <w:tcPr>
            <w:tcBorders>
              <w:top w:color="d7dee4" w:space="0" w:sz="8" w:val="single"/>
              <w:left w:color="d7dee4" w:space="0" w:sz="8" w:val="single"/>
              <w:bottom w:color="d7dee4" w:space="0" w:sz="8" w:val="single"/>
              <w:right w:color="d7dee4" w:space="0" w:sz="8" w:val="single"/>
            </w:tcBorders>
            <w:shd w:fill="004481"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b w:val="1"/>
                <w:bCs w:val="1"/>
                <w:color w:val="fafbfc"/>
                <w:sz w:val="18"/>
                <w:szCs w:val="18"/>
              </w:rPr>
            </w:pPr>
            <w:r w:rsidDel="00000000" w:rsidR="00000000" w:rsidRPr="00000000">
              <w:rPr>
                <w:rFonts w:ascii="Times New Roman" w:cs="Times New Roman" w:eastAsia="Times New Roman" w:hAnsi="Times New Roman"/>
                <w:b w:val="1"/>
                <w:bCs w:val="1"/>
                <w:color w:val="fafbfc"/>
                <w:sz w:val="18"/>
                <w:szCs w:val="18"/>
                <w:rtl w:val="0"/>
              </w:rPr>
              <w:t xml:space="preserve">Procesos</w:t>
            </w:r>
          </w:p>
        </w:tc>
        <w:tc>
          <w:tcPr>
            <w:tcBorders>
              <w:top w:color="d7dee4" w:space="0" w:sz="8" w:val="single"/>
              <w:left w:color="d7dee4" w:space="0" w:sz="8" w:val="single"/>
              <w:bottom w:color="d7dee4" w:space="0" w:sz="8" w:val="single"/>
              <w:right w:color="d7dee4" w:space="0" w:sz="8" w:val="single"/>
            </w:tcBorders>
            <w:shd w:fill="004481"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b w:val="1"/>
                <w:bCs w:val="1"/>
                <w:color w:val="fafbfc"/>
                <w:sz w:val="18"/>
                <w:szCs w:val="18"/>
              </w:rPr>
            </w:pPr>
            <w:r w:rsidDel="00000000" w:rsidR="00000000" w:rsidRPr="00000000">
              <w:rPr>
                <w:rFonts w:ascii="Times New Roman" w:cs="Times New Roman" w:eastAsia="Times New Roman" w:hAnsi="Times New Roman"/>
                <w:b w:val="1"/>
                <w:bCs w:val="1"/>
                <w:color w:val="fafbfc"/>
                <w:sz w:val="18"/>
                <w:szCs w:val="18"/>
                <w:rtl w:val="0"/>
              </w:rPr>
              <w:t xml:space="preserve">Clasificación según cadena de valor</w:t>
            </w:r>
          </w:p>
        </w:tc>
      </w:tr>
      <w:tr>
        <w:trPr>
          <w:cantSplit w:val="0"/>
          <w:trHeight w:val="150" w:hRule="atLeast"/>
          <w:tblHeader w:val="0"/>
        </w:trPr>
        <w:tc>
          <w:tcPr>
            <w:vMerge w:val="restart"/>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Desarrollo de soluciones digitales</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Diseño y desarrollo de soluciones</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Soporte</w:t>
            </w:r>
          </w:p>
        </w:tc>
      </w:tr>
      <w:tr>
        <w:trPr>
          <w:cantSplit w:val="0"/>
          <w:tblHeader w:val="0"/>
        </w:trPr>
        <w:tc>
          <w:tcPr>
            <w:vMerge w:val="continue"/>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Integración de plataformas</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Soporte</w:t>
            </w:r>
          </w:p>
        </w:tc>
      </w:tr>
      <w:tr>
        <w:trPr>
          <w:cantSplit w:val="0"/>
          <w:tblHeader w:val="0"/>
        </w:trPr>
        <w:tc>
          <w:tcPr>
            <w:vMerge w:val="continue"/>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Calidad y pruebas</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Soporte</w:t>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Operación de canales y servicios digitales </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Operación del core transaccional</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Primaria</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Operación de canales digitales</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Primaria</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Disponibilidad y atención de incidentes</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Primaria</w:t>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Gestión de datos, analítica e inteligencia artificial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Gobierno de datos</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Operación de la plataforma de datos</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Desarrollo y operación de modelos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Soporte</w:t>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Seguridad de la información y ciberseguridad </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Sistema de gestión de seguridad de la información</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Identidades y accesos </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Monitoreo y respuesta a incidentes </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Gestión de vulnerabilidades </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Soporte</w:t>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Continuidad del negocio y resiliencia operacional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Análisis de impacto en el negocio</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Estrategias de continuidad</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Pruebas y simulacros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Gestión de proveedores tecnológicos</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Soporte</w:t>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sz w:val="18"/>
                <w:szCs w:val="18"/>
              </w:rPr>
            </w:pPr>
            <w:sdt>
              <w:sdtPr>
                <w:id w:val="435442567"/>
                <w:tag w:val="goog_rdk_12"/>
              </w:sdtPr>
              <w:sdtContent>
                <w:commentRangeStart w:id="0"/>
              </w:sdtContent>
            </w:sdt>
            <w:r w:rsidDel="00000000" w:rsidR="00000000" w:rsidRPr="00000000">
              <w:rPr>
                <w:rFonts w:ascii="Times New Roman" w:cs="Times New Roman" w:eastAsia="Times New Roman" w:hAnsi="Times New Roman"/>
                <w:b w:val="1"/>
                <w:bCs w:val="1"/>
                <w:color w:val="072146"/>
                <w:sz w:val="18"/>
                <w:szCs w:val="18"/>
                <w:rtl w:val="0"/>
              </w:rPr>
              <w:t xml:space="preserve">Originación de crédito</w:t>
            </w:r>
            <w:commentRangeEnd w:id="0"/>
            <w:r w:rsidDel="00000000" w:rsidR="00000000" w:rsidRPr="00000000">
              <w:commentReference w:id="0"/>
            </w: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Captación y precalificación de solicitudes</w:t>
            </w: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Primaria</w:t>
            </w:r>
            <w:r w:rsidDel="00000000" w:rsidR="00000000" w:rsidRPr="00000000">
              <w:rPr>
                <w:rtl w:val="0"/>
              </w:rPr>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Evaluación y decisión crediticia</w:t>
            </w: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Primaria</w:t>
            </w:r>
            <w:r w:rsidDel="00000000" w:rsidR="00000000" w:rsidRPr="00000000">
              <w:rPr>
                <w:rtl w:val="0"/>
              </w:rPr>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Formalización y desembolso</w:t>
            </w: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Primaria</w:t>
            </w:r>
            <w:r w:rsidDel="00000000" w:rsidR="00000000" w:rsidRPr="00000000">
              <w:rPr>
                <w:rtl w:val="0"/>
              </w:rPr>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sz w:val="18"/>
                <w:szCs w:val="18"/>
              </w:rPr>
            </w:pPr>
            <w:sdt>
              <w:sdtPr>
                <w:id w:val="-1251794038"/>
                <w:tag w:val="goog_rdk_13"/>
              </w:sdtPr>
              <w:sdtContent>
                <w:commentRangeStart w:id="1"/>
              </w:sdtContent>
            </w:sdt>
            <w:r w:rsidDel="00000000" w:rsidR="00000000" w:rsidRPr="00000000">
              <w:rPr>
                <w:rFonts w:ascii="Times New Roman" w:cs="Times New Roman" w:eastAsia="Times New Roman" w:hAnsi="Times New Roman"/>
                <w:b w:val="1"/>
                <w:bCs w:val="1"/>
                <w:color w:val="072146"/>
                <w:sz w:val="18"/>
                <w:szCs w:val="18"/>
                <w:rtl w:val="0"/>
              </w:rPr>
              <w:t xml:space="preserve">Captación de depósitos y vinculación</w:t>
            </w:r>
            <w:commentRangeEnd w:id="1"/>
            <w:r w:rsidDel="00000000" w:rsidR="00000000" w:rsidRPr="00000000">
              <w:commentReference w:id="1"/>
            </w: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Apertura de cuentas y onboarding</w:t>
            </w: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Primaria</w:t>
            </w:r>
            <w:r w:rsidDel="00000000" w:rsidR="00000000" w:rsidRPr="00000000">
              <w:rPr>
                <w:rtl w:val="0"/>
              </w:rPr>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Gestión de depósitos y ahorro</w:t>
            </w: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Primaria</w:t>
            </w:r>
            <w:r w:rsidDel="00000000" w:rsidR="00000000" w:rsidRPr="00000000">
              <w:rPr>
                <w:rtl w:val="0"/>
              </w:rPr>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Medios de pago</w:t>
            </w: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Emisión y gestión de tarjetas</w:t>
            </w: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Primaria</w:t>
            </w:r>
            <w:r w:rsidDel="00000000" w:rsidR="00000000" w:rsidRPr="00000000">
              <w:rPr>
                <w:rtl w:val="0"/>
              </w:rPr>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Pagos y transferencias (Plin y QR)</w:t>
            </w: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Primaria</w:t>
            </w:r>
            <w:r w:rsidDel="00000000" w:rsidR="00000000" w:rsidRPr="00000000">
              <w:rPr>
                <w:rtl w:val="0"/>
              </w:rPr>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Procesamiento y conciliación de transacciones</w:t>
            </w: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Primaria</w:t>
            </w:r>
            <w:r w:rsidDel="00000000" w:rsidR="00000000" w:rsidRPr="00000000">
              <w:rPr>
                <w:rtl w:val="0"/>
              </w:rPr>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sz w:val="18"/>
                <w:szCs w:val="18"/>
              </w:rPr>
            </w:pPr>
            <w:sdt>
              <w:sdtPr>
                <w:id w:val="-1958013005"/>
                <w:tag w:val="goog_rdk_14"/>
              </w:sdtPr>
              <w:sdtContent>
                <w:commentRangeStart w:id="2"/>
              </w:sdtContent>
            </w:sdt>
            <w:r w:rsidDel="00000000" w:rsidR="00000000" w:rsidRPr="00000000">
              <w:rPr>
                <w:rFonts w:ascii="Times New Roman" w:cs="Times New Roman" w:eastAsia="Times New Roman" w:hAnsi="Times New Roman"/>
                <w:b w:val="1"/>
                <w:bCs w:val="1"/>
                <w:color w:val="072146"/>
                <w:sz w:val="18"/>
                <w:szCs w:val="18"/>
                <w:rtl w:val="0"/>
              </w:rPr>
              <w:t xml:space="preserve">Servicio al cliente</w:t>
            </w:r>
            <w:commentRangeEnd w:id="2"/>
            <w:r w:rsidDel="00000000" w:rsidR="00000000" w:rsidRPr="00000000">
              <w:commentReference w:id="2"/>
            </w: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Atención de consultas y requerimientos</w:t>
            </w: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Primaria</w:t>
            </w:r>
            <w:r w:rsidDel="00000000" w:rsidR="00000000" w:rsidRPr="00000000">
              <w:rPr>
                <w:rtl w:val="0"/>
              </w:rPr>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Gestión de reclamos</w:t>
            </w: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Primaria</w:t>
            </w:r>
            <w:r w:rsidDel="00000000" w:rsidR="00000000" w:rsidRPr="00000000">
              <w:rPr>
                <w:rtl w:val="0"/>
              </w:rPr>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Gestión de la satisfacción del cliente</w:t>
            </w: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Primaria</w:t>
            </w:r>
            <w:r w:rsidDel="00000000" w:rsidR="00000000" w:rsidRPr="00000000">
              <w:rPr>
                <w:rtl w:val="0"/>
              </w:rPr>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sz w:val="18"/>
                <w:szCs w:val="18"/>
              </w:rPr>
            </w:pPr>
            <w:sdt>
              <w:sdtPr>
                <w:id w:val="1510685456"/>
                <w:tag w:val="goog_rdk_15"/>
              </w:sdtPr>
              <w:sdtContent>
                <w:commentRangeStart w:id="3"/>
              </w:sdtContent>
            </w:sdt>
            <w:r w:rsidDel="00000000" w:rsidR="00000000" w:rsidRPr="00000000">
              <w:rPr>
                <w:rFonts w:ascii="Times New Roman" w:cs="Times New Roman" w:eastAsia="Times New Roman" w:hAnsi="Times New Roman"/>
                <w:b w:val="1"/>
                <w:bCs w:val="1"/>
                <w:color w:val="072146"/>
                <w:sz w:val="18"/>
                <w:szCs w:val="18"/>
                <w:rtl w:val="0"/>
              </w:rPr>
              <w:t xml:space="preserve">Cobranzas</w:t>
            </w:r>
            <w:commentRangeEnd w:id="3"/>
            <w:r w:rsidDel="00000000" w:rsidR="00000000" w:rsidRPr="00000000">
              <w:commentReference w:id="3"/>
            </w: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Cobranza preventiva y administrativa</w:t>
            </w: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Primaria</w:t>
            </w:r>
            <w:r w:rsidDel="00000000" w:rsidR="00000000" w:rsidRPr="00000000">
              <w:rPr>
                <w:rtl w:val="0"/>
              </w:rPr>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Recuperación y reestructuración</w:t>
            </w: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Primaria</w:t>
            </w:r>
            <w:r w:rsidDel="00000000" w:rsidR="00000000" w:rsidRPr="00000000">
              <w:rPr>
                <w:rtl w:val="0"/>
              </w:rPr>
            </w:r>
          </w:p>
        </w:tc>
      </w:tr>
    </w:tbl>
    <w:p w:rsidR="00000000" w:rsidDel="00000000" w:rsidP="00000000" w:rsidRDefault="00000000" w:rsidRPr="00000000" w14:paraId="000001AC">
      <w:pPr>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w:t>
      </w:r>
      <w:r w:rsidDel="00000000" w:rsidR="00000000" w:rsidRPr="00000000">
        <w:rPr>
          <w:rFonts w:ascii="Times New Roman" w:cs="Times New Roman" w:eastAsia="Times New Roman" w:hAnsi="Times New Roman"/>
          <w:rtl w:val="0"/>
        </w:rPr>
        <w:t xml:space="preserve"> Elaboración propia. Los macroprocesos de negocio y sus procesos se derivan de los servicios y las actividades clave descritos en las Tablas 3 y 9.</w:t>
      </w:r>
      <w:r w:rsidDel="00000000" w:rsidR="00000000" w:rsidRPr="00000000">
        <w:rPr>
          <w:rtl w:val="0"/>
        </w:rPr>
      </w:r>
    </w:p>
    <w:p w:rsidR="00000000" w:rsidDel="00000000" w:rsidP="00000000" w:rsidRDefault="00000000" w:rsidRPr="00000000" w14:paraId="000001AD">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heading=h.xbo5ua66mk7p" w:id="12"/>
      <w:bookmarkEnd w:id="12"/>
      <w:r w:rsidDel="00000000" w:rsidR="00000000" w:rsidRPr="00000000">
        <w:rPr>
          <w:rFonts w:ascii="Times New Roman" w:cs="Times New Roman" w:eastAsia="Times New Roman" w:hAnsi="Times New Roman"/>
          <w:b w:val="1"/>
          <w:bCs w:val="1"/>
          <w:sz w:val="22"/>
          <w:szCs w:val="22"/>
          <w:rtl w:val="0"/>
        </w:rPr>
        <w:t xml:space="preserve">Procesos críticos</w:t>
      </w:r>
    </w:p>
    <w:p w:rsidR="00000000" w:rsidDel="00000000" w:rsidP="00000000" w:rsidRDefault="00000000" w:rsidRPr="00000000" w14:paraId="000001AE">
      <w:pPr>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proceso se considera crítico cuando su falla impide alcanzar un objetivo estratégico declarado, genera pérdida económica material o expone al Banco a incumplimiento regulatorio. La evaluación pondera cinco criterios: contribución a las prioridades del ciclo 2025-2029, impacto económico, exposición regulatoria, volumen de ejecución y dependencia de los demás procesos. El criterio regulatorio recoge la orientación reciente del supervisor, que trasladó la exigencia de resiliencia operacional hacia los servicios prestados por canales digitales </w:t>
      </w:r>
      <w:r w:rsidDel="00000000" w:rsidR="00000000" w:rsidRPr="00000000">
        <w:rPr>
          <w:rFonts w:ascii="Times New Roman" w:cs="Times New Roman" w:eastAsia="Times New Roman" w:hAnsi="Times New Roman"/>
          <w:rtl w:val="0"/>
        </w:rPr>
        <w:t xml:space="preserve">(Superintendencia de Banca, Seguros y Administradoras Privadas de Fondos de Pensiones </w:t>
      </w:r>
      <w:r w:rsidDel="00000000" w:rsidR="00000000" w:rsidRPr="00000000">
        <w:rPr>
          <w:rFonts w:ascii="Times New Roman" w:cs="Times New Roman" w:eastAsia="Times New Roman" w:hAnsi="Times New Roman"/>
          <w:rtl w:val="0"/>
        </w:rPr>
        <w:t xml:space="preserve">[SBS], 2025a)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Además, la criticidad se verifica contra la totalidad de los objetivos de la Tabla 10: cada macroproceso crítico se asocia de forma explícita con los objetivos que habilita, de modo que OE1 a OE6 queden cubiertos.</w:t>
      </w:r>
      <w:r w:rsidDel="00000000" w:rsidR="00000000" w:rsidRPr="00000000">
        <w:rPr>
          <w:rtl w:val="0"/>
        </w:rPr>
      </w:r>
    </w:p>
    <w:p w:rsidR="00000000" w:rsidDel="00000000" w:rsidP="00000000" w:rsidRDefault="00000000" w:rsidRPr="00000000" w14:paraId="000001AF">
      <w:pPr>
        <w:spacing w:before="200" w:lineRule="auto"/>
        <w:ind w:left="720"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12</w:t>
      </w:r>
    </w:p>
    <w:p w:rsidR="00000000" w:rsidDel="00000000" w:rsidP="00000000" w:rsidRDefault="00000000" w:rsidRPr="00000000" w14:paraId="000001B0">
      <w:pPr>
        <w:spacing w:after="10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Macroprocesos y procesos críticos</w:t>
      </w:r>
    </w:p>
    <w:tbl>
      <w:tblPr>
        <w:tblStyle w:val="Table12"/>
        <w:tblW w:w="838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3600"/>
        <w:gridCol w:w="2785"/>
        <w:tblGridChange w:id="0">
          <w:tblGrid>
            <w:gridCol w:w="2000"/>
            <w:gridCol w:w="3600"/>
            <w:gridCol w:w="2785"/>
          </w:tblGrid>
        </w:tblGridChange>
      </w:tblGrid>
      <w:tr>
        <w:trPr>
          <w:cantSplit w:val="0"/>
          <w:tblHeader w:val="1"/>
        </w:trPr>
        <w:tc>
          <w:tcPr>
            <w:tcBorders>
              <w:top w:color="d7dee4" w:space="0" w:sz="8" w:val="single"/>
              <w:left w:color="d7dee4" w:space="0" w:sz="8" w:val="single"/>
              <w:bottom w:color="d7dee4" w:space="0" w:sz="8" w:val="single"/>
              <w:right w:color="d7dee4" w:space="0" w:sz="8" w:val="single"/>
            </w:tcBorders>
            <w:shd w:fill="004481"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afbfc"/>
                <w:sz w:val="18"/>
                <w:szCs w:val="18"/>
              </w:rPr>
            </w:pPr>
            <w:r w:rsidDel="00000000" w:rsidR="00000000" w:rsidRPr="00000000">
              <w:rPr>
                <w:rFonts w:ascii="Times New Roman" w:cs="Times New Roman" w:eastAsia="Times New Roman" w:hAnsi="Times New Roman"/>
                <w:color w:val="fafbfc"/>
                <w:sz w:val="18"/>
                <w:szCs w:val="18"/>
                <w:rtl w:val="0"/>
              </w:rPr>
              <w:t xml:space="preserve">Macroproceso </w:t>
            </w:r>
          </w:p>
        </w:tc>
        <w:tc>
          <w:tcPr>
            <w:tcBorders>
              <w:top w:color="d7dee4" w:space="0" w:sz="8" w:val="single"/>
              <w:left w:color="d7dee4" w:space="0" w:sz="8" w:val="single"/>
              <w:bottom w:color="d7dee4" w:space="0" w:sz="8" w:val="single"/>
              <w:right w:color="d7dee4" w:space="0" w:sz="8" w:val="single"/>
            </w:tcBorders>
            <w:shd w:fill="004481"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afbfc"/>
                <w:sz w:val="18"/>
                <w:szCs w:val="18"/>
              </w:rPr>
            </w:pPr>
            <w:r w:rsidDel="00000000" w:rsidR="00000000" w:rsidRPr="00000000">
              <w:rPr>
                <w:rFonts w:ascii="Times New Roman" w:cs="Times New Roman" w:eastAsia="Times New Roman" w:hAnsi="Times New Roman"/>
                <w:color w:val="fafbfc"/>
                <w:sz w:val="18"/>
                <w:szCs w:val="18"/>
                <w:rtl w:val="0"/>
              </w:rPr>
              <w:t xml:space="preserve">Fundamento de la criticidad </w:t>
            </w:r>
          </w:p>
        </w:tc>
        <w:tc>
          <w:tcPr>
            <w:tcBorders>
              <w:top w:color="d7dee4" w:space="0" w:sz="8" w:val="single"/>
              <w:left w:color="d7dee4" w:space="0" w:sz="8" w:val="single"/>
              <w:bottom w:color="d7dee4" w:space="0" w:sz="8" w:val="single"/>
              <w:right w:color="d7dee4" w:space="0" w:sz="8" w:val="single"/>
            </w:tcBorders>
            <w:shd w:fill="004481"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afbfc"/>
                <w:sz w:val="18"/>
                <w:szCs w:val="18"/>
              </w:rPr>
            </w:pPr>
            <w:r w:rsidDel="00000000" w:rsidR="00000000" w:rsidRPr="00000000">
              <w:rPr>
                <w:rFonts w:ascii="Times New Roman" w:cs="Times New Roman" w:eastAsia="Times New Roman" w:hAnsi="Times New Roman"/>
                <w:color w:val="fafbfc"/>
                <w:sz w:val="18"/>
                <w:szCs w:val="18"/>
                <w:rtl w:val="0"/>
              </w:rPr>
              <w:t xml:space="preserve">Objetivos estratégicos que habilita</w:t>
            </w:r>
            <w:r w:rsidDel="00000000" w:rsidR="00000000" w:rsidRPr="00000000">
              <w:rPr>
                <w:rtl w:val="0"/>
              </w:rPr>
            </w:r>
          </w:p>
        </w:tc>
      </w:tr>
      <w:tr>
        <w:trPr>
          <w:cantSplit w:val="0"/>
          <w:tblHeader w:val="0"/>
        </w:trPr>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Operación de canales y servicios digitales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Procesa 581.7 millones de transacciones digitales anuales y más del 81</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de las operaciones del Banco. La norma de continuidad exige priorizar los servicios prestados por canales digitales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OE1: sostiene la experiencia omnicanal y el NPS (retail 52.57</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pyme 33.6</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OE3: soporta el onboarding y las soluciones transaccionales de empresas (cash management). OE4: concentra el volumen operativo que determina el ratio de eficiencia (40.0</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al </w:t>
            </w:r>
            <w:r w:rsidDel="00000000" w:rsidR="00000000" w:rsidRPr="00000000">
              <w:rPr>
                <w:rFonts w:ascii="Times New Roman" w:cs="Times New Roman" w:eastAsia="Times New Roman" w:hAnsi="Times New Roman"/>
                <w:sz w:val="18"/>
                <w:szCs w:val="18"/>
                <w:rtl w:val="0"/>
              </w:rPr>
              <w:t xml:space="preserve">2T2026</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Gestión de datos, analítica e inteligencia artificial </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Materializa el objetivo OE5, que declara la disponibilidad de datos y las tecnologías de nueva generación como prioridad estratégica. Sustenta la plataforma corporativa de datos desplegada en 2025 </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OE5: objetivo directo. OE2: aloja la taxonomía, la trazabilidad y los datos ESG con que se mide y reporta la facturación sostenible (S/ 8,989 millones al </w:t>
            </w:r>
            <w:r w:rsidDel="00000000" w:rsidR="00000000" w:rsidRPr="00000000">
              <w:rPr>
                <w:rFonts w:ascii="Times New Roman" w:cs="Times New Roman" w:eastAsia="Times New Roman" w:hAnsi="Times New Roman"/>
                <w:sz w:val="18"/>
                <w:szCs w:val="18"/>
                <w:rtl w:val="0"/>
              </w:rPr>
              <w:t xml:space="preserve">1S2026</w:t>
            </w:r>
            <w:r w:rsidDel="00000000" w:rsidR="00000000" w:rsidRPr="00000000">
              <w:rPr>
                <w:rFonts w:ascii="Times New Roman" w:cs="Times New Roman" w:eastAsia="Times New Roman" w:hAnsi="Times New Roman"/>
                <w:sz w:val="18"/>
                <w:szCs w:val="18"/>
                <w:rtl w:val="0"/>
              </w:rPr>
              <w:t xml:space="preserve">). OE4: aporta rentabilidad por cliente, pricing y modelos de riesgo que sustentan el ROE (18.7</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y la mora (2.69</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OE6: calidad de datos y automatizaciones internas.</w:t>
            </w:r>
            <w:r w:rsidDel="00000000" w:rsidR="00000000" w:rsidRPr="00000000">
              <w:rPr>
                <w:rtl w:val="0"/>
              </w:rPr>
            </w:r>
          </w:p>
        </w:tc>
      </w:tr>
      <w:tr>
        <w:trPr>
          <w:cantSplit w:val="0"/>
          <w:tblHeader w:val="0"/>
        </w:trPr>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Seguridad de la información y ciberseguridad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Único macroproceso sujeto a régimen normativo con sanciones propias, construido sobre estándares NIST e ISO/IEC. Protege la operación digital y los datos de 9,465,848 clientes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Habilitador transversal: protege los datos y la continuidad que requieren todos los objetivos. OE1: confianza del cliente. OE2: integridad del dato ESG reportado. OE5: datos gobernados, seguridad y observabilidad (Tabla 10).</w:t>
            </w:r>
            <w:r w:rsidDel="00000000" w:rsidR="00000000" w:rsidRPr="00000000">
              <w:rPr>
                <w:rtl w:val="0"/>
              </w:rPr>
            </w:r>
          </w:p>
        </w:tc>
      </w:tr>
    </w:tbl>
    <w:p w:rsidR="00000000" w:rsidDel="00000000" w:rsidP="00000000" w:rsidRDefault="00000000" w:rsidRPr="00000000" w14:paraId="000001BD">
      <w:pPr>
        <w:ind w:left="144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w:t>
      </w:r>
      <w:r w:rsidDel="00000000" w:rsidR="00000000" w:rsidRPr="00000000">
        <w:rPr>
          <w:rFonts w:ascii="Times New Roman" w:cs="Times New Roman" w:eastAsia="Times New Roman" w:hAnsi="Times New Roman"/>
          <w:rtl w:val="0"/>
        </w:rPr>
        <w:t xml:space="preserve"> Elaboración propia con base en la Tabla 10. Cobertura: OE1, OE3 y OE4 por la operación de canales; OE2, OE4, OE5 y OE6 por la gestión de datos, analítica e IA; y seguridad como habilitador transversal. Cada objetivo cuenta con al menos un macroproceso crítico.</w:t>
      </w:r>
      <w:r w:rsidDel="00000000" w:rsidR="00000000" w:rsidRPr="00000000">
        <w:rPr>
          <w:rtl w:val="0"/>
        </w:rPr>
      </w:r>
    </w:p>
    <w:p w:rsidR="00000000" w:rsidDel="00000000" w:rsidP="00000000" w:rsidRDefault="00000000" w:rsidRPr="00000000" w14:paraId="000001BE">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heading=h.eejoljmb8gfz" w:id="13"/>
      <w:bookmarkEnd w:id="13"/>
      <w:r w:rsidDel="00000000" w:rsidR="00000000" w:rsidRPr="00000000">
        <w:rPr>
          <w:rFonts w:ascii="Times New Roman" w:cs="Times New Roman" w:eastAsia="Times New Roman" w:hAnsi="Times New Roman"/>
          <w:b w:val="1"/>
          <w:bCs w:val="1"/>
          <w:sz w:val="22"/>
          <w:szCs w:val="22"/>
          <w:rtl w:val="0"/>
        </w:rPr>
        <w:t xml:space="preserve">Análisis de competitividad</w:t>
      </w:r>
      <w:r w:rsidDel="00000000" w:rsidR="00000000" w:rsidRPr="00000000">
        <w:rPr>
          <w:rtl w:val="0"/>
        </w:rPr>
      </w:r>
    </w:p>
    <w:p w:rsidR="00000000" w:rsidDel="00000000" w:rsidP="00000000" w:rsidRDefault="00000000" w:rsidRPr="00000000" w14:paraId="000001BF">
      <w:pPr>
        <w:ind w:left="566.92913385826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base en lo analizado en la sección 1 y en las secciones 2.1 a 2.3, la competitividad de la entidad se analiza según el modelo de las cinco fuerzas de Porter (Tabla 13).</w:t>
      </w:r>
    </w:p>
    <w:p w:rsidR="00000000" w:rsidDel="00000000" w:rsidP="00000000" w:rsidRDefault="00000000" w:rsidRPr="00000000" w14:paraId="000001C0">
      <w:pPr>
        <w:ind w:left="566.92913385826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spacing w:after="10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13</w:t>
      </w:r>
    </w:p>
    <w:p w:rsidR="00000000" w:rsidDel="00000000" w:rsidP="00000000" w:rsidRDefault="00000000" w:rsidRPr="00000000" w14:paraId="000001C2">
      <w:pPr>
        <w:spacing w:after="10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Análisis de fuerzas de Porter</w:t>
      </w:r>
      <w:r w:rsidDel="00000000" w:rsidR="00000000" w:rsidRPr="00000000">
        <w:rPr>
          <w:rtl w:val="0"/>
        </w:rPr>
      </w:r>
    </w:p>
    <w:tbl>
      <w:tblPr>
        <w:tblStyle w:val="Table13"/>
        <w:tblW w:w="829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5640"/>
        <w:gridCol w:w="1110"/>
        <w:tblGridChange w:id="0">
          <w:tblGrid>
            <w:gridCol w:w="1545"/>
            <w:gridCol w:w="5640"/>
            <w:gridCol w:w="1110"/>
          </w:tblGrid>
        </w:tblGridChange>
      </w:tblGrid>
      <w:tr>
        <w:trPr>
          <w:cantSplit w:val="0"/>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1C3">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Fuerza</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1C4">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Análisis</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1C5">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Grado de relevancia</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C6">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Rivalidad entre competidores existentes </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C7">
            <w:pPr>
              <w:spacing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w:t>
            </w:r>
            <w:r w:rsidDel="00000000" w:rsidR="00000000" w:rsidRPr="00000000">
              <w:rPr>
                <w:rFonts w:ascii="Times New Roman" w:cs="Times New Roman" w:eastAsia="Times New Roman" w:hAnsi="Times New Roman"/>
                <w:sz w:val="18"/>
                <w:szCs w:val="18"/>
                <w:rtl w:val="0"/>
              </w:rPr>
              <w:t xml:space="preserve">l Banco BBVA Perú compite de manera agresiva frente a otras entidades de primer nivel por el liderazgo de los segmentos clave, registrando al cierre del segundo trimestre de 2026 colocaciones netas por S/ 82,194 millones (+10.4</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interanual) y obligaciones con el público por S/ 87,202 millones (+14.5</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interanual), impulsadas por los portafolios minorista, corporativo y pyme (</w:t>
            </w:r>
            <w:r w:rsidDel="00000000" w:rsidR="00000000" w:rsidRPr="00000000">
              <w:rPr>
                <w:rFonts w:ascii="Times New Roman" w:cs="Times New Roman" w:eastAsia="Times New Roman" w:hAnsi="Times New Roman"/>
                <w:sz w:val="18"/>
                <w:szCs w:val="18"/>
                <w:rtl w:val="0"/>
              </w:rPr>
              <w:t xml:space="preserve">Banco BBVA Perú, 2026f</w:t>
            </w:r>
            <w:r w:rsidDel="00000000" w:rsidR="00000000" w:rsidRPr="00000000">
              <w:rPr>
                <w:rFonts w:ascii="Times New Roman" w:cs="Times New Roman" w:eastAsia="Times New Roman" w:hAnsi="Times New Roman"/>
                <w:sz w:val="18"/>
                <w:szCs w:val="18"/>
                <w:rtl w:val="0"/>
              </w:rPr>
              <w:t xml:space="preserve">). Al cierre del ejercicio 2025, el banco consolidó una cuota de mercado del 22.09</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en colocaciones vigentes —liderando la banca de personas con un 22.7</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de participación y los préstamos de consumo con un 19.7</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y un 20.90</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en depósitos totales (</w:t>
            </w:r>
            <w:r w:rsidDel="00000000" w:rsidR="00000000" w:rsidRPr="00000000">
              <w:rPr>
                <w:rFonts w:ascii="Times New Roman" w:cs="Times New Roman" w:eastAsia="Times New Roman" w:hAnsi="Times New Roman"/>
                <w:sz w:val="18"/>
                <w:szCs w:val="18"/>
                <w:rtl w:val="0"/>
              </w:rPr>
              <w:t xml:space="preserve">Banco BBVA Perú, 2026g</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C8">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C9">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Amenaza de nuevos competidores </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CA">
            <w:pPr>
              <w:spacing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marco regulatorio exige a las empresas del Régimen General cumplir con estrictos requerimientos mínimos de solvencia patrimonial, que incluyen límites globales de capital del 10</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y el mantenimiento de niveles de Capital Ordinario de Nivel 1 (CET1) por encima de ciertos umbrales (como el requerimiento específico mayor al 10</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para el BBVA Perú) (</w:t>
            </w:r>
            <w:r w:rsidDel="00000000" w:rsidR="00000000" w:rsidRPr="00000000">
              <w:rPr>
                <w:rFonts w:ascii="Times New Roman" w:cs="Times New Roman" w:eastAsia="Times New Roman" w:hAnsi="Times New Roman"/>
                <w:sz w:val="18"/>
                <w:szCs w:val="18"/>
                <w:rtl w:val="0"/>
              </w:rPr>
              <w:t xml:space="preserve">Banco BBVA Perú, 2026f</w:t>
            </w:r>
            <w:r w:rsidDel="00000000" w:rsidR="00000000" w:rsidRPr="00000000">
              <w:rPr>
                <w:rFonts w:ascii="Times New Roman" w:cs="Times New Roman" w:eastAsia="Times New Roman" w:hAnsi="Times New Roman"/>
                <w:sz w:val="18"/>
                <w:szCs w:val="18"/>
                <w:rtl w:val="0"/>
              </w:rPr>
              <w:t xml:space="preserve">). Adicionalmente, la rigurosa y especializada normativa emitida por la Superintendencia de Banca, Seguros y AFP (SBS), reflejada en el Reglamento para la Gestión de la Seguridad de la Información y la Ciberseguridad </w:t>
            </w:r>
            <w:r w:rsidDel="00000000" w:rsidR="00000000" w:rsidRPr="00000000">
              <w:rPr>
                <w:rFonts w:ascii="Times New Roman" w:cs="Times New Roman" w:eastAsia="Times New Roman" w:hAnsi="Times New Roman"/>
                <w:sz w:val="18"/>
                <w:szCs w:val="18"/>
                <w:rtl w:val="0"/>
              </w:rPr>
              <w:t xml:space="preserve">(SBS, 2021)</w:t>
            </w:r>
            <w:r w:rsidDel="00000000" w:rsidR="00000000" w:rsidRPr="00000000">
              <w:rPr>
                <w:rFonts w:ascii="Times New Roman" w:cs="Times New Roman" w:eastAsia="Times New Roman" w:hAnsi="Times New Roman"/>
                <w:sz w:val="18"/>
                <w:szCs w:val="18"/>
                <w:rtl w:val="0"/>
              </w:rPr>
              <w:t xml:space="preserve"> y el Reglamento para la Gestión de la Continuidad del Negocio </w:t>
            </w:r>
            <w:r w:rsidDel="00000000" w:rsidR="00000000" w:rsidRPr="00000000">
              <w:rPr>
                <w:rFonts w:ascii="Times New Roman" w:cs="Times New Roman" w:eastAsia="Times New Roman" w:hAnsi="Times New Roman"/>
                <w:sz w:val="18"/>
                <w:szCs w:val="18"/>
                <w:rtl w:val="0"/>
              </w:rPr>
              <w:t xml:space="preserve">(SBS, 2020)</w:t>
            </w:r>
            <w:r w:rsidDel="00000000" w:rsidR="00000000" w:rsidRPr="00000000">
              <w:rPr>
                <w:rFonts w:ascii="Times New Roman" w:cs="Times New Roman" w:eastAsia="Times New Roman" w:hAnsi="Times New Roman"/>
                <w:sz w:val="18"/>
                <w:szCs w:val="18"/>
                <w:rtl w:val="0"/>
              </w:rPr>
              <w:t xml:space="preserve">, impone altos estándares y costosos sistemas de control tecnológico y ciberseguridad, lo que restringe significativamente la posibilidad de ingreso de nuevos intermediarios tradicionales </w:t>
            </w:r>
            <w:r w:rsidDel="00000000" w:rsidR="00000000" w:rsidRPr="00000000">
              <w:rPr>
                <w:rFonts w:ascii="Times New Roman" w:cs="Times New Roman" w:eastAsia="Times New Roman" w:hAnsi="Times New Roman"/>
                <w:sz w:val="18"/>
                <w:szCs w:val="18"/>
                <w:rtl w:val="0"/>
              </w:rPr>
              <w:t xml:space="preserve">(SBS, 2020, 2021)</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CB">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CC">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Amenaza de productos o servicios sustitutos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CD">
            <w:pPr>
              <w:spacing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amenaza de productos sustitutos en el mercado financiero peruano proviene principalmente de la rápida expansión de plataformas de tecnología financiera (fintech), cooperativas de ahorro y crédito, y billeteras digitales móviles de transacciones cotidianas que simplifican el flujo del dinero (</w:t>
            </w:r>
            <w:r w:rsidDel="00000000" w:rsidR="00000000" w:rsidRPr="00000000">
              <w:rPr>
                <w:rFonts w:ascii="Times New Roman" w:cs="Times New Roman" w:eastAsia="Times New Roman" w:hAnsi="Times New Roman"/>
                <w:sz w:val="18"/>
                <w:szCs w:val="18"/>
                <w:rtl w:val="0"/>
              </w:rPr>
              <w:t xml:space="preserve">Banco BBVA Perú, 2026g</w:t>
            </w:r>
            <w:r w:rsidDel="00000000" w:rsidR="00000000" w:rsidRPr="00000000">
              <w:rPr>
                <w:rFonts w:ascii="Times New Roman" w:cs="Times New Roman" w:eastAsia="Times New Roman" w:hAnsi="Times New Roman"/>
                <w:sz w:val="18"/>
                <w:szCs w:val="18"/>
                <w:rtl w:val="0"/>
              </w:rPr>
              <w:t xml:space="preserve">). Para contrarrestar esta amenaza de desvío digital, el banco ha integrado a su propuesta comercial soluciones móviles de alta adopción inmediata como Plin y cobros inmediatos mediante códigos QR, promoviendo iniciativas de gamificación como "Raspa y gana" para incentivar la retención de flujos y fondos de destino (</w:t>
            </w:r>
            <w:r w:rsidDel="00000000" w:rsidR="00000000" w:rsidRPr="00000000">
              <w:rPr>
                <w:rFonts w:ascii="Times New Roman" w:cs="Times New Roman" w:eastAsia="Times New Roman" w:hAnsi="Times New Roman"/>
                <w:sz w:val="18"/>
                <w:szCs w:val="18"/>
                <w:rtl w:val="0"/>
              </w:rPr>
              <w:t xml:space="preserve">BBVA Perú, s. f.; Banco BBVA Perú, 2026g</w:t>
            </w:r>
            <w:r w:rsidDel="00000000" w:rsidR="00000000" w:rsidRPr="00000000">
              <w:rPr>
                <w:rFonts w:ascii="Times New Roman" w:cs="Times New Roman" w:eastAsia="Times New Roman" w:hAnsi="Times New Roman"/>
                <w:sz w:val="18"/>
                <w:szCs w:val="18"/>
                <w:rtl w:val="0"/>
              </w:rPr>
              <w:t xml:space="preserve">). De igual manera, el fomento del autoservicio y la digitalización integral, como la apertura de cuentas de manera 100</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digital "E2E" desde la App en un promedio de cuatro minutos, permiten mitigar el abandono de los clientes tradicionales frente a competidores ágiles independientes (</w:t>
            </w:r>
            <w:r w:rsidDel="00000000" w:rsidR="00000000" w:rsidRPr="00000000">
              <w:rPr>
                <w:rFonts w:ascii="Times New Roman" w:cs="Times New Roman" w:eastAsia="Times New Roman" w:hAnsi="Times New Roman"/>
                <w:sz w:val="18"/>
                <w:szCs w:val="18"/>
                <w:rtl w:val="0"/>
              </w:rPr>
              <w:t xml:space="preserve">BBVA Perú, s. f.; Banco BBVA Perú, 2026g</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CE">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CF">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Poder de negociación de los clientes </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D0">
            <w:pPr>
              <w:spacing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fin de contrarrestar este poder y evitar la fuga de usuarios, BBVA Perú se enfoca activamente en la estrategia "RCP" (Radical Client Perspective) para colocar la visión del cliente en el centro de todas las decisiones corporativas mediante principios de excelencia operativa, propuestas diferenciadas e hiperpersonalización basada en inteligencia artificial (IA) (</w:t>
            </w:r>
            <w:r w:rsidDel="00000000" w:rsidR="00000000" w:rsidRPr="00000000">
              <w:rPr>
                <w:rFonts w:ascii="Times New Roman" w:cs="Times New Roman" w:eastAsia="Times New Roman" w:hAnsi="Times New Roman"/>
                <w:sz w:val="18"/>
                <w:szCs w:val="18"/>
                <w:rtl w:val="0"/>
              </w:rPr>
              <w:t xml:space="preserve">Banco BBVA Perú, 2026g</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1D1">
            <w:pPr>
              <w:spacing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Gracias a este enfoque de fidelización y a herramientas digitales de salud financiera, el banco logró registrar al cierre del 2025 una destacada tasa de retención de clientes del 83</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en número y del 86</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en monto, sustentada por un Net Promoter Score (NPS) retail sobresaliente del 52.57</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el cual superó en +241 puntos básicos al segundo banco de la competencia (</w:t>
            </w:r>
            <w:r w:rsidDel="00000000" w:rsidR="00000000" w:rsidRPr="00000000">
              <w:rPr>
                <w:rFonts w:ascii="Times New Roman" w:cs="Times New Roman" w:eastAsia="Times New Roman" w:hAnsi="Times New Roman"/>
                <w:sz w:val="18"/>
                <w:szCs w:val="18"/>
                <w:rtl w:val="0"/>
              </w:rPr>
              <w:t xml:space="preserve">Banco BBVA Perú, 2026g</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1D2">
            <w:pPr>
              <w:spacing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Asimismo, el desarrollo de funcionalidades de autoservicio para reprogramaciones y refinanciaciones digitales rápidas coadyuva a disminuir la fricción y a elevar el costo de cambio del cliente bancario (</w:t>
            </w:r>
            <w:r w:rsidDel="00000000" w:rsidR="00000000" w:rsidRPr="00000000">
              <w:rPr>
                <w:rFonts w:ascii="Times New Roman" w:cs="Times New Roman" w:eastAsia="Times New Roman" w:hAnsi="Times New Roman"/>
                <w:sz w:val="18"/>
                <w:szCs w:val="18"/>
                <w:rtl w:val="0"/>
              </w:rPr>
              <w:t xml:space="preserve">Banco BBVA Perú, 2026g</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1D3">
            <w:pPr>
              <w:spacing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D4">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D5">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Poder de negociación de los proveedores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D6">
            <w:pPr>
              <w:spacing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poder de negociación de los proveedores en la banca peruana recae principalmente en empresas de telecomunicaciones y tecnologías de procesamiento de datos e infraestructura en la nube global </w:t>
            </w:r>
            <w:r w:rsidDel="00000000" w:rsidR="00000000" w:rsidRPr="00000000">
              <w:rPr>
                <w:rFonts w:ascii="Times New Roman" w:cs="Times New Roman" w:eastAsia="Times New Roman" w:hAnsi="Times New Roman"/>
                <w:sz w:val="18"/>
                <w:szCs w:val="18"/>
                <w:rtl w:val="0"/>
              </w:rPr>
              <w:t xml:space="preserve">(como Amazon Web Services [AWS], sobre la que se construye la plataforma global de datos e inteligencia artificial ADA)</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Banco BBVA Perú, 2026f; BBVA, 2026c</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1D7">
            <w:pPr>
              <w:spacing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No obstante, este poder se ve mitigado y controlado por la rigurosa gobernanza de compras responsables y Vendor Risk Management (VRM) del banco, la cual evalúa a los proveedores bajo un módulo estandarizado de ocho categorías de riesgo, que incluyen ciberseguridad, reputación, sostenibilidad y protección de datos (</w:t>
            </w:r>
            <w:r w:rsidDel="00000000" w:rsidR="00000000" w:rsidRPr="00000000">
              <w:rPr>
                <w:rFonts w:ascii="Times New Roman" w:cs="Times New Roman" w:eastAsia="Times New Roman" w:hAnsi="Times New Roman"/>
                <w:sz w:val="18"/>
                <w:szCs w:val="18"/>
                <w:rtl w:val="0"/>
              </w:rPr>
              <w:t xml:space="preserve">Banco BBVA Perú, 2026g</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1D8">
            <w:pPr>
              <w:spacing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De igual forma, las directrices de la SBS </w:t>
            </w:r>
            <w:r w:rsidDel="00000000" w:rsidR="00000000" w:rsidRPr="00000000">
              <w:rPr>
                <w:rFonts w:ascii="Times New Roman" w:cs="Times New Roman" w:eastAsia="Times New Roman" w:hAnsi="Times New Roman"/>
                <w:sz w:val="18"/>
                <w:szCs w:val="18"/>
                <w:rtl w:val="0"/>
              </w:rPr>
              <w:t xml:space="preserve">(SBS, 2021)</w:t>
            </w:r>
            <w:r w:rsidDel="00000000" w:rsidR="00000000" w:rsidRPr="00000000">
              <w:rPr>
                <w:rFonts w:ascii="Times New Roman" w:cs="Times New Roman" w:eastAsia="Times New Roman" w:hAnsi="Times New Roman"/>
                <w:sz w:val="18"/>
                <w:szCs w:val="18"/>
                <w:rtl w:val="0"/>
              </w:rPr>
              <w:t xml:space="preserve"> acotan fuertemente este poder al obligar formalmente al banco a evidenciar anualmente certificaciones de seguridad vigentes de sus proveedores (como ISO 27001, ISO 27017, ISO 27018, y reportes SOC 2) y a establecer contractualmente "estrategias de salida" claras para migrar la información sin comprometer la continuidad </w:t>
            </w:r>
            <w:r w:rsidDel="00000000" w:rsidR="00000000" w:rsidRPr="00000000">
              <w:rPr>
                <w:rFonts w:ascii="Times New Roman" w:cs="Times New Roman" w:eastAsia="Times New Roman" w:hAnsi="Times New Roman"/>
                <w:sz w:val="18"/>
                <w:szCs w:val="18"/>
                <w:rtl w:val="0"/>
              </w:rPr>
              <w:t xml:space="preserve">(SBS, 2021)</w:t>
            </w:r>
            <w:r w:rsidDel="00000000" w:rsidR="00000000" w:rsidRPr="00000000">
              <w:rPr>
                <w:rtl w:val="0"/>
              </w:rPr>
            </w:r>
          </w:p>
          <w:p w:rsidR="00000000" w:rsidDel="00000000" w:rsidP="00000000" w:rsidRDefault="00000000" w:rsidRPr="00000000" w14:paraId="000001D9">
            <w:pPr>
              <w:spacing w:line="252.00000000000003"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DA">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bl>
    <w:p w:rsidR="00000000" w:rsidDel="00000000" w:rsidP="00000000" w:rsidRDefault="00000000" w:rsidRPr="00000000" w14:paraId="000001DB">
      <w:pPr>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w:t>
      </w:r>
      <w:r w:rsidDel="00000000" w:rsidR="00000000" w:rsidRPr="00000000">
        <w:rPr>
          <w:rFonts w:ascii="Times New Roman" w:cs="Times New Roman" w:eastAsia="Times New Roman" w:hAnsi="Times New Roman"/>
          <w:rtl w:val="0"/>
        </w:rPr>
        <w:t xml:space="preserve"> Elaboración propia.</w:t>
      </w:r>
    </w:p>
    <w:p w:rsidR="00000000" w:rsidDel="00000000" w:rsidP="00000000" w:rsidRDefault="00000000" w:rsidRPr="00000000" w14:paraId="000001DC">
      <w:pPr>
        <w:spacing w:line="480" w:lineRule="auto"/>
        <w:jc w:val="left"/>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DD">
      <w:pPr>
        <w:pStyle w:val="Heading1"/>
        <w:numPr>
          <w:ilvl w:val="0"/>
          <w:numId w:val="1"/>
        </w:numPr>
        <w:ind w:left="566.9291338582675" w:hanging="360"/>
        <w:rPr>
          <w:rFonts w:ascii="Times New Roman" w:cs="Times New Roman" w:eastAsia="Times New Roman" w:hAnsi="Times New Roman"/>
          <w:b w:val="1"/>
          <w:bCs w:val="1"/>
        </w:rPr>
      </w:pPr>
      <w:bookmarkStart w:colFirst="0" w:colLast="0" w:name="_heading=h.qv6ekr8wskpx" w:id="14"/>
      <w:bookmarkEnd w:id="14"/>
      <w:r w:rsidDel="00000000" w:rsidR="00000000" w:rsidRPr="00000000">
        <w:rPr>
          <w:rFonts w:ascii="Times New Roman" w:cs="Times New Roman" w:eastAsia="Times New Roman" w:hAnsi="Times New Roman"/>
          <w:b w:val="1"/>
          <w:bCs w:val="1"/>
          <w:sz w:val="22"/>
          <w:szCs w:val="22"/>
          <w:rtl w:val="0"/>
        </w:rPr>
        <w:t xml:space="preserve">Identificación y priorización de los dolores de negocio</w:t>
      </w:r>
      <w:r w:rsidDel="00000000" w:rsidR="00000000" w:rsidRPr="00000000">
        <w:rPr>
          <w:rtl w:val="0"/>
        </w:rPr>
      </w:r>
    </w:p>
    <w:p w:rsidR="00000000" w:rsidDel="00000000" w:rsidP="00000000" w:rsidRDefault="00000000" w:rsidRPr="00000000" w14:paraId="000001DE">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heading=h.rmr371l6ytuq" w:id="15"/>
      <w:bookmarkEnd w:id="15"/>
      <w:r w:rsidDel="00000000" w:rsidR="00000000" w:rsidRPr="00000000">
        <w:rPr>
          <w:rFonts w:ascii="Times New Roman" w:cs="Times New Roman" w:eastAsia="Times New Roman" w:hAnsi="Times New Roman"/>
          <w:b w:val="1"/>
          <w:bCs w:val="1"/>
          <w:sz w:val="22"/>
          <w:szCs w:val="22"/>
          <w:rtl w:val="0"/>
        </w:rPr>
        <w:t xml:space="preserve">Enfoque metodológico</w:t>
      </w:r>
    </w:p>
    <w:p w:rsidR="00000000" w:rsidDel="00000000" w:rsidP="00000000" w:rsidRDefault="00000000" w:rsidRPr="00000000" w14:paraId="000001DF">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La identificación de dolores parte de una premisa: un problema de negocio solo es accionable cuando se observa sobre un proceso extremo a extremo, se sustenta en evidencia verificable y admite medición antes y después de la intervención. Un listado de quejas genéricas no cumple ninguna de las tres condiciones y, en consecuencia, no puede sostener una iniciativa de sistemas de información.</w:t>
      </w:r>
      <w:r w:rsidDel="00000000" w:rsidR="00000000" w:rsidRPr="00000000">
        <w:rPr>
          <w:rtl w:val="0"/>
        </w:rPr>
      </w:r>
    </w:p>
    <w:p w:rsidR="00000000" w:rsidDel="00000000" w:rsidP="00000000" w:rsidRDefault="00000000" w:rsidRPr="00000000" w14:paraId="000001E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Para satisfacer esas condiciones se emplean dos instrumentos complementarios. El </w:t>
      </w:r>
      <w:r w:rsidDel="00000000" w:rsidR="00000000" w:rsidRPr="00000000">
        <w:rPr>
          <w:rFonts w:ascii="Times New Roman" w:cs="Times New Roman" w:eastAsia="Times New Roman" w:hAnsi="Times New Roman"/>
          <w:i w:val="1"/>
          <w:iCs w:val="1"/>
          <w:rtl w:val="0"/>
        </w:rPr>
        <w:t xml:space="preserve">customer journey map</w:t>
      </w:r>
      <w:r w:rsidDel="00000000" w:rsidR="00000000" w:rsidRPr="00000000">
        <w:rPr>
          <w:rFonts w:ascii="Times New Roman" w:cs="Times New Roman" w:eastAsia="Times New Roman" w:hAnsi="Times New Roman"/>
          <w:i w:val="0"/>
          <w:iCs w:val="0"/>
          <w:rtl w:val="0"/>
        </w:rPr>
        <w:t xml:space="preserve"> organiza la experiencia del cliente en etapas sucesivas y permite localizar en qué momento del recorrido se produce la fricción, considerando que la experiencia se construye a lo largo de múltiples puntos de contacto y no en una interacción aislada (Lemon y Verhoef, 2016). El </w:t>
      </w:r>
      <w:r w:rsidDel="00000000" w:rsidR="00000000" w:rsidRPr="00000000">
        <w:rPr>
          <w:rFonts w:ascii="Times New Roman" w:cs="Times New Roman" w:eastAsia="Times New Roman" w:hAnsi="Times New Roman"/>
          <w:i w:val="1"/>
          <w:iCs w:val="1"/>
          <w:rtl w:val="0"/>
        </w:rPr>
        <w:t xml:space="preserve">service blueprint</w:t>
      </w:r>
      <w:r w:rsidDel="00000000" w:rsidR="00000000" w:rsidRPr="00000000">
        <w:rPr>
          <w:rFonts w:ascii="Times New Roman" w:cs="Times New Roman" w:eastAsia="Times New Roman" w:hAnsi="Times New Roman"/>
          <w:i w:val="0"/>
          <w:iCs w:val="0"/>
          <w:rtl w:val="0"/>
        </w:rPr>
        <w:t xml:space="preserve">, por su parte, incorpora la dimensión que el journey map no muestra: separa las acciones visibles para el cliente de las actividades de soporte mediante las líneas de interacción, de visibilidad y de interacción interna, lo que permite atribuir cada dolor al proceso interno que lo origina (Bitner et al., 2008). El primero responde dónde duele; el segundo, por qué.</w:t>
      </w:r>
      <w:r w:rsidDel="00000000" w:rsidR="00000000" w:rsidRPr="00000000">
        <w:rPr>
          <w:rtl w:val="0"/>
        </w:rPr>
      </w:r>
    </w:p>
    <w:p w:rsidR="00000000" w:rsidDel="00000000" w:rsidP="00000000" w:rsidRDefault="00000000" w:rsidRPr="00000000" w14:paraId="000001E1">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La evaluación de los dolores identificados aplica los seis criterios establecidos en el enunciado del trabajo: impacto estratégico, impacto económico, impacto en la experiencia, viabilidad tecnológica, urgencia y capacidad de medición. Cada criterio se califica en una escala de 1 a 5 y se pondera según su contribución a la decisión de inversión, conforme se detalla en la sección 3.7.</w:t>
      </w:r>
      <w:r w:rsidDel="00000000" w:rsidR="00000000" w:rsidRPr="00000000">
        <w:rPr>
          <w:rtl w:val="0"/>
        </w:rPr>
      </w:r>
    </w:p>
    <w:p w:rsidR="00000000" w:rsidDel="00000000" w:rsidP="00000000" w:rsidRDefault="00000000" w:rsidRPr="00000000" w14:paraId="000001E2">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 de evidencia. </w:t>
      </w:r>
      <w:r w:rsidDel="00000000" w:rsidR="00000000" w:rsidRPr="00000000">
        <w:rPr>
          <w:rFonts w:ascii="Times New Roman" w:cs="Times New Roman" w:eastAsia="Times New Roman" w:hAnsi="Times New Roman"/>
          <w:rtl w:val="0"/>
        </w:rPr>
        <w:t xml:space="preserve">El análisis emplea dos categorías de evidencia. La primera comprende fuentes públicas verificables, principalmente reportes financieros y operativos de BBVA Perú y normativa del supervisor. La segunda corresponde al testimonio directo de un funcionario de la entidad, recogido mediante entrevista y </w:t>
      </w:r>
      <w:r w:rsidDel="00000000" w:rsidR="00000000" w:rsidRPr="00000000">
        <w:rPr>
          <w:rFonts w:ascii="Times New Roman" w:cs="Times New Roman" w:eastAsia="Times New Roman" w:hAnsi="Times New Roman"/>
          <w:rtl w:val="0"/>
        </w:rPr>
        <w:t xml:space="preserve">consignado en el Anexo A</w:t>
      </w:r>
      <w:r w:rsidDel="00000000" w:rsidR="00000000" w:rsidRPr="00000000">
        <w:rPr>
          <w:rFonts w:ascii="Times New Roman" w:cs="Times New Roman" w:eastAsia="Times New Roman" w:hAnsi="Times New Roman"/>
          <w:rtl w:val="0"/>
        </w:rPr>
        <w:t xml:space="preserve">. Cuando el testimonio se refiere a un hecho susceptible de constatación documental, se contrasta con la fuente pública correspondiente; cuando describe una situación operativa no publicada, se identifica como tal y no se le atribuye condición de cifra. Para preservar la trazabilidad, las matrices incorporan únicamente indicadores cuya línea base sea pública, específica y comparable con la variable definida. Cuando una cifra se obtiene mediante la agregación de reportes mensuales, se explicitan el periodo, el universo considerado y el procedimiento de cálculo. Asimismo, no se emplean indicadores sectoriales como sustitutos de métricas propias de la entidad cuando ambos miden fenómenos diferentes.</w:t>
      </w:r>
    </w:p>
    <w:p w:rsidR="00000000" w:rsidDel="00000000" w:rsidP="00000000" w:rsidRDefault="00000000" w:rsidRPr="00000000" w14:paraId="000001E3">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heading=h.slpmqjtajf19" w:id="16"/>
      <w:bookmarkEnd w:id="16"/>
      <w:r w:rsidDel="00000000" w:rsidR="00000000" w:rsidRPr="00000000">
        <w:rPr>
          <w:rFonts w:ascii="Times New Roman" w:cs="Times New Roman" w:eastAsia="Times New Roman" w:hAnsi="Times New Roman"/>
          <w:b w:val="1"/>
          <w:bCs w:val="1"/>
          <w:sz w:val="22"/>
          <w:szCs w:val="22"/>
          <w:rtl w:val="0"/>
        </w:rPr>
        <w:t xml:space="preserve">Delimitación de los procesos extremo a extremo analizados</w:t>
      </w:r>
    </w:p>
    <w:p w:rsidR="00000000" w:rsidDel="00000000" w:rsidP="00000000" w:rsidRDefault="00000000" w:rsidRPr="00000000" w14:paraId="000001E4">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inventario de procesos de la Tabla 11 (sección 2.2) reúne dos bloques de macroprocesos. El primero corresponde a la operación tecnológica (desarrollo de soluciones, operación de canales, gestión de datos, seguridad de la información y continuidad del negocio) y describe la capacidad instalada de sistemas. El segundo corresponde al negocio bancario (originación de crédito, captación de depósitos y vinculación, medios de pago, servicio al cliente y cobranzas) y describe la entrega del servicio. Ninguno de los dos bloques permite, por sí solo, localizar dolores de negocio, porque los recorridos del cliente atraviesan varios macroprocesos de ambos bloques. </w:t>
      </w:r>
    </w:p>
    <w:p w:rsidR="00000000" w:rsidDel="00000000" w:rsidP="00000000" w:rsidRDefault="00000000" w:rsidRPr="00000000" w14:paraId="000001E5">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Por esta razón, el presente análisis define tres procesos extremo a extremo de negocio</w:t>
      </w:r>
      <w:r w:rsidDel="00000000" w:rsidR="00000000" w:rsidRPr="00000000">
        <w:rPr>
          <w:rFonts w:ascii="Times New Roman" w:cs="Times New Roman" w:eastAsia="Times New Roman" w:hAnsi="Times New Roman"/>
          <w:rtl w:val="0"/>
        </w:rPr>
        <w:t xml:space="preserve"> y los vincula con los macroprocesos de negocio y de tecnología ya inventariados</w:t>
      </w:r>
      <w:r w:rsidDel="00000000" w:rsidR="00000000" w:rsidRPr="00000000">
        <w:rPr>
          <w:rFonts w:ascii="Times New Roman" w:cs="Times New Roman" w:eastAsia="Times New Roman" w:hAnsi="Times New Roman"/>
          <w:i w:val="0"/>
          <w:iCs w:val="0"/>
          <w:rtl w:val="0"/>
        </w:rPr>
        <w:t xml:space="preserve">. La Tabla 14 establece esa correspondencia. Los tres procesos se seleccionaron por concentrar la mayor densidad de evidencia pública disponible y por su vinculación directa con las prioridades estratégicas declaradas para el ciclo 2025-2029.</w:t>
      </w:r>
      <w:r w:rsidDel="00000000" w:rsidR="00000000" w:rsidRPr="00000000">
        <w:rPr>
          <w:rtl w:val="0"/>
        </w:rPr>
      </w:r>
    </w:p>
    <w:p w:rsidR="00000000" w:rsidDel="00000000" w:rsidP="00000000" w:rsidRDefault="00000000" w:rsidRPr="00000000" w14:paraId="000001E6">
      <w:pPr>
        <w:spacing w:after="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14</w:t>
      </w:r>
      <w:r w:rsidDel="00000000" w:rsidR="00000000" w:rsidRPr="00000000">
        <w:rPr>
          <w:rtl w:val="0"/>
        </w:rPr>
      </w:r>
    </w:p>
    <w:p w:rsidR="00000000" w:rsidDel="00000000" w:rsidP="00000000" w:rsidRDefault="00000000" w:rsidRPr="00000000" w14:paraId="000001E7">
      <w:pP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Procesos extremo a extremo analizados y su correspondencia con el inventario de procesos</w:t>
      </w:r>
      <w:r w:rsidDel="00000000" w:rsidR="00000000" w:rsidRPr="00000000">
        <w:rPr>
          <w:rtl w:val="0"/>
        </w:rPr>
      </w:r>
    </w:p>
    <w:tbl>
      <w:tblPr>
        <w:tblStyle w:val="Table14"/>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2100"/>
        <w:gridCol w:w="2400"/>
        <w:gridCol w:w="2626"/>
        <w:gridCol w:w="1900"/>
        <w:tblGridChange w:id="0">
          <w:tblGrid>
            <w:gridCol w:w="2100"/>
            <w:gridCol w:w="2400"/>
            <w:gridCol w:w="2626"/>
            <w:gridCol w:w="190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1E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Proceso E2E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E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Alcance del recorrido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E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Macroprocesos de la Tabla 11 involucrados</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E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Objetivos estratégicos vinculados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EC">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E2E-1.</w:t>
            </w:r>
            <w:r w:rsidDel="00000000" w:rsidR="00000000" w:rsidRPr="00000000">
              <w:rPr>
                <w:rFonts w:ascii="Times New Roman" w:cs="Times New Roman" w:eastAsia="Times New Roman" w:hAnsi="Times New Roman"/>
                <w:i w:val="0"/>
                <w:iCs w:val="0"/>
                <w:sz w:val="18"/>
                <w:szCs w:val="18"/>
                <w:rtl w:val="0"/>
              </w:rPr>
              <w:t xml:space="preserve"> Originación de crédito al segmento Pyme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D">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Desde la necesidad de liquidez del empresario hasta el desembolso y la primera cuota.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E">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Originación de crédito; Cobranzas; Operación de canales y servicios digitales; Gestión de datos, analítica e IA; Desarrollo de soluciones digitales. </w:t>
            </w:r>
          </w:p>
        </w:tc>
        <w:tc>
          <w:tcPr>
            <w:tcMar>
              <w:top w:w="60.0" w:type="dxa"/>
              <w:left w:w="90.0" w:type="dxa"/>
              <w:bottom w:w="60.0" w:type="dxa"/>
              <w:right w:w="90.0" w:type="dxa"/>
            </w:tcMar>
            <w:vAlign w:val="center"/>
          </w:tcPr>
          <w:p w:rsidR="00000000" w:rsidDel="00000000" w:rsidP="00000000" w:rsidRDefault="00000000" w:rsidRPr="00000000" w14:paraId="000001EF">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OE3, OE4, OE5</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F0">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E2E-2.</w:t>
            </w:r>
            <w:r w:rsidDel="00000000" w:rsidR="00000000" w:rsidRPr="00000000">
              <w:rPr>
                <w:rFonts w:ascii="Times New Roman" w:cs="Times New Roman" w:eastAsia="Times New Roman" w:hAnsi="Times New Roman"/>
                <w:i w:val="0"/>
                <w:iCs w:val="0"/>
                <w:sz w:val="18"/>
                <w:szCs w:val="18"/>
                <w:rtl w:val="0"/>
              </w:rPr>
              <w:t xml:space="preserve"> Atención de operaciones no reconocidas y reclamos por fraude digital</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F1">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Desde la transacción no autorizada hasta la resolución del reclamo y la eventual devolución.</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F2">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Servicio al cliente; Medios de pago; Seguridad de la información y ciberseguridad; Operación de canales y servicios digitales; Gestión de datos, analítica e IA. </w:t>
            </w:r>
          </w:p>
        </w:tc>
        <w:tc>
          <w:tcPr>
            <w:shd w:fill="f2f5fa" w:val="clear"/>
            <w:tcMar>
              <w:top w:w="60.0" w:type="dxa"/>
              <w:left w:w="90.0" w:type="dxa"/>
              <w:bottom w:w="60.0" w:type="dxa"/>
              <w:right w:w="90.0" w:type="dxa"/>
            </w:tcMar>
            <w:vAlign w:val="center"/>
          </w:tcPr>
          <w:p w:rsidR="00000000" w:rsidDel="00000000" w:rsidP="00000000" w:rsidRDefault="00000000" w:rsidRPr="00000000" w14:paraId="000001F3">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OE1, OE5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F4">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E2E-3.</w:t>
            </w:r>
            <w:r w:rsidDel="00000000" w:rsidR="00000000" w:rsidRPr="00000000">
              <w:rPr>
                <w:rFonts w:ascii="Times New Roman" w:cs="Times New Roman" w:eastAsia="Times New Roman" w:hAnsi="Times New Roman"/>
                <w:i w:val="0"/>
                <w:iCs w:val="0"/>
                <w:sz w:val="18"/>
                <w:szCs w:val="18"/>
                <w:rtl w:val="0"/>
              </w:rPr>
              <w:t xml:space="preserve"> Contratación de productos por canal digital en banca de personas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5">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Desde el interés del cliente hasta la contratación efectiva y el primer uso del producto. El número de pasos varía según el producto.</w:t>
            </w:r>
          </w:p>
        </w:tc>
        <w:tc>
          <w:tcPr>
            <w:tcMar>
              <w:top w:w="60.0" w:type="dxa"/>
              <w:left w:w="90.0" w:type="dxa"/>
              <w:bottom w:w="60.0" w:type="dxa"/>
              <w:right w:w="90.0" w:type="dxa"/>
            </w:tcMar>
            <w:vAlign w:val="center"/>
          </w:tcPr>
          <w:p w:rsidR="00000000" w:rsidDel="00000000" w:rsidP="00000000" w:rsidRDefault="00000000" w:rsidRPr="00000000" w14:paraId="000001F6">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Captación de depósitos y vinculación; Medios de pago; Operación de canales y servicios digitales; Desarrollo de soluciones digitales; Gestión de datos, analítica e IA. </w:t>
            </w:r>
          </w:p>
        </w:tc>
        <w:tc>
          <w:tcPr>
            <w:tcMar>
              <w:top w:w="60.0" w:type="dxa"/>
              <w:left w:w="90.0" w:type="dxa"/>
              <w:bottom w:w="60.0" w:type="dxa"/>
              <w:right w:w="90.0" w:type="dxa"/>
            </w:tcMar>
            <w:vAlign w:val="center"/>
          </w:tcPr>
          <w:p w:rsidR="00000000" w:rsidDel="00000000" w:rsidP="00000000" w:rsidRDefault="00000000" w:rsidRPr="00000000" w14:paraId="000001F7">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OE1, OE4, OE5</w:t>
            </w:r>
            <w:r w:rsidDel="00000000" w:rsidR="00000000" w:rsidRPr="00000000">
              <w:rPr>
                <w:rtl w:val="0"/>
              </w:rPr>
            </w:r>
          </w:p>
        </w:tc>
      </w:tr>
    </w:tbl>
    <w:p w:rsidR="00000000" w:rsidDel="00000000" w:rsidP="00000000" w:rsidRDefault="00000000" w:rsidRPr="00000000" w14:paraId="000001F8">
      <w:pPr>
        <w:spacing w:after="220" w:before="60" w:line="360" w:lineRule="auto"/>
        <w:jc w:val="both"/>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i w:val="0"/>
          <w:iCs w:val="0"/>
          <w:rtl w:val="0"/>
        </w:rPr>
        <w:t xml:space="preserve">Elaboración propia. La correspondencia con la </w:t>
      </w:r>
      <w:r w:rsidDel="00000000" w:rsidR="00000000" w:rsidRPr="00000000">
        <w:rPr>
          <w:rFonts w:ascii="Times New Roman" w:cs="Times New Roman" w:eastAsia="Times New Roman" w:hAnsi="Times New Roman"/>
          <w:i w:val="0"/>
          <w:iCs w:val="0"/>
          <w:rtl w:val="0"/>
        </w:rPr>
        <w:t xml:space="preserve">Tabla 11 (sección 2.2)</w:t>
      </w:r>
      <w:r w:rsidDel="00000000" w:rsidR="00000000" w:rsidRPr="00000000">
        <w:rPr>
          <w:rFonts w:ascii="Times New Roman" w:cs="Times New Roman" w:eastAsia="Times New Roman" w:hAnsi="Times New Roman"/>
          <w:i w:val="0"/>
          <w:iCs w:val="0"/>
          <w:rtl w:val="0"/>
        </w:rPr>
        <w:t xml:space="preserve"> se establece para evitar que el análisis de dolores quede desvinculado del inventario de procesos previamente declarado.</w:t>
      </w:r>
    </w:p>
    <w:p w:rsidR="00000000" w:rsidDel="00000000" w:rsidP="00000000" w:rsidRDefault="00000000" w:rsidRPr="00000000" w14:paraId="000001F9">
      <w:pPr>
        <w:spacing w:after="22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Ambos bloques comparten la misma granularidad: cada macroproceso agrupa procesos de un mismo nivel, equivalentes al grupo de procesos y al proceso del marco de clasificación de procesos de APQC (2018), y el detalle de actividades se reserva para los mapas de la sección 3. </w:t>
      </w:r>
    </w:p>
    <w:p w:rsidR="00000000" w:rsidDel="00000000" w:rsidP="00000000" w:rsidRDefault="00000000" w:rsidRPr="00000000" w14:paraId="000001FA">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heading=h.lio1fkfuxw2u" w:id="17"/>
      <w:bookmarkEnd w:id="17"/>
      <w:r w:rsidDel="00000000" w:rsidR="00000000" w:rsidRPr="00000000">
        <w:rPr>
          <w:rFonts w:ascii="Times New Roman" w:cs="Times New Roman" w:eastAsia="Times New Roman" w:hAnsi="Times New Roman"/>
          <w:b w:val="1"/>
          <w:bCs w:val="1"/>
          <w:sz w:val="22"/>
          <w:szCs w:val="22"/>
          <w:rtl w:val="0"/>
        </w:rPr>
        <w:t xml:space="preserve">Customer journey map del proceso E2E-1: originación de crédito Pyme</w:t>
      </w:r>
    </w:p>
    <w:p w:rsidR="00000000" w:rsidDel="00000000" w:rsidP="00000000" w:rsidRDefault="00000000" w:rsidRPr="00000000" w14:paraId="000001FB">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segmento Pyme atraviesa una situación paradójica que conviene enunciar antes del mapa. Durante el segundo trimestre de 2026 el banco alcanzó una facturación trimestral histórica en este segmento, con un crecimiento de 48 % respecto del mismo periodo de 2025, un incremento de más de 12 % en saldos de créditos y una transaccionalidad digital que alcanza al 75 % del portafolio (Reusche, 2026). Sin embargo, la satisfacción de ese mismo segmento es la más baja de la entidad: el NPS Pyme se sitúa en 33.6, frente a 52.57 del segmento retail (</w:t>
      </w:r>
      <w:r w:rsidDel="00000000" w:rsidR="00000000" w:rsidRPr="00000000">
        <w:rPr>
          <w:rFonts w:ascii="Times New Roman" w:cs="Times New Roman" w:eastAsia="Times New Roman" w:hAnsi="Times New Roman"/>
          <w:rtl w:val="0"/>
        </w:rPr>
        <w:t xml:space="preserve">Banco BBVA Perú, 2026g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C">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mapa de la Tabla 15 permite localizar la principal brecha verificable entre las modalidades de origen. Mientras el crédito digital se resuelve en tres minutos promedio, esta modalidad representa únicamente un tercio de los créditos otorgados del segmento. Por consiguiente, la oportunidad de mejora se concentra en ampliar la participación de una ruta cuya rapidez ya ha sido comprobada, de manera que una mayor proporción de clientes Pyme pueda completar digitalmente el proceso de financiamiento (Reusche, 2026). </w:t>
      </w:r>
    </w:p>
    <w:p w:rsidR="00000000" w:rsidDel="00000000" w:rsidP="00000000" w:rsidRDefault="00000000" w:rsidRPr="00000000" w14:paraId="000001FD">
      <w:pPr>
        <w:spacing w:after="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15</w:t>
      </w:r>
      <w:r w:rsidDel="00000000" w:rsidR="00000000" w:rsidRPr="00000000">
        <w:rPr>
          <w:rtl w:val="0"/>
        </w:rPr>
      </w:r>
    </w:p>
    <w:p w:rsidR="00000000" w:rsidDel="00000000" w:rsidP="00000000" w:rsidRDefault="00000000" w:rsidRPr="00000000" w14:paraId="000001FE">
      <w:pP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Customer journey map del proceso de originación de crédito Pyme</w:t>
      </w:r>
      <w:r w:rsidDel="00000000" w:rsidR="00000000" w:rsidRPr="00000000">
        <w:rPr>
          <w:rtl w:val="0"/>
        </w:rPr>
      </w:r>
    </w:p>
    <w:tbl>
      <w:tblPr>
        <w:tblStyle w:val="Table15"/>
        <w:tblW w:w="9030.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305"/>
        <w:gridCol w:w="1905"/>
        <w:gridCol w:w="1980"/>
        <w:gridCol w:w="3840"/>
        <w:tblGridChange w:id="0">
          <w:tblGrid>
            <w:gridCol w:w="1305"/>
            <w:gridCol w:w="1905"/>
            <w:gridCol w:w="1980"/>
            <w:gridCol w:w="384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1F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Etapa</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0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Acciones del cliente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0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Puntos de contacto y sistemas</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0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Dolor observado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03">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1. Necesidad y búsqueda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04">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Identifica una necesidad de liquidez o capital de trabajo y compara alternativas.</w:t>
            </w:r>
          </w:p>
        </w:tc>
        <w:tc>
          <w:tcPr>
            <w:tcMar>
              <w:top w:w="60.0" w:type="dxa"/>
              <w:left w:w="90.0" w:type="dxa"/>
              <w:bottom w:w="60.0" w:type="dxa"/>
              <w:right w:w="90.0" w:type="dxa"/>
            </w:tcMar>
            <w:vAlign w:val="center"/>
          </w:tcPr>
          <w:p w:rsidR="00000000" w:rsidDel="00000000" w:rsidP="00000000" w:rsidRDefault="00000000" w:rsidRPr="00000000" w14:paraId="00000205">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Web pública, app BBVA Empresas 2.0, ejecutivo de negocio, oficina.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06">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El empresario no siempre conoce para qué producto califica antes de iniciar el trámite.</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07">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2. Solicitud</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08">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Presenta la solicitud y entrega información del negocio.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09">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App BBVA Empresas 2.0 (onboarding 100 % digital), oficina, ejecutivo.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0A">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La ruta asistida exige documentación financiera que la microempresa no produce de forma estructurada (Melo, 2026).</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0B">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3. Evaluación crediticia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0C">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Espera la respuesta del banco sin visibilidad del estado de su solicitud.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0D">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Motor de decisión, centrales de riesgo, plataforma de datos 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0E">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La evaluación con información no verificable eleva costos operativos que se trasladan al cliente vía tasa o restricción de línea (Melo, 2026).</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0F">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4. Aprobación y formalización</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10">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Recibe la decisión y firma la documentación.</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11">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Canal digital (tres minutos promedio en crédito digital) o formalización presencial. </w:t>
            </w:r>
          </w:p>
        </w:tc>
        <w:tc>
          <w:tcPr>
            <w:shd w:fill="f2f5fa" w:val="clear"/>
            <w:tcMar>
              <w:top w:w="60.0" w:type="dxa"/>
              <w:left w:w="90.0" w:type="dxa"/>
              <w:bottom w:w="60.0" w:type="dxa"/>
              <w:right w:w="90.0" w:type="dxa"/>
            </w:tcMar>
            <w:vAlign w:val="center"/>
          </w:tcPr>
          <w:p w:rsidR="00000000" w:rsidDel="00000000" w:rsidP="00000000" w:rsidRDefault="00000000" w:rsidRPr="00000000" w14:paraId="00000212">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Brecha de experiencia entre rutas: el crédito digital se resuelve en tres minutos promedio, pero representa solo un tercio de los créditos otorgados en el periodo (Reusche, 2026). </w:t>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13">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5. Desembolso y primer uso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14">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Dispone de los fondos y comienza a operar el producto.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15">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Cuenta corriente, app, soluciones de cobro Openpay y QR Empresas.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16">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desembolso inmediato opera únicamente sobre productos con oferta o línea previamente aprobada, de modo que el cliente sin precalificación no accede a esa ruta (</w:t>
            </w:r>
            <w:r w:rsidDel="00000000" w:rsidR="00000000" w:rsidRPr="00000000">
              <w:rPr>
                <w:rFonts w:ascii="Times New Roman" w:cs="Times New Roman" w:eastAsia="Times New Roman" w:hAnsi="Times New Roman"/>
                <w:sz w:val="18"/>
                <w:szCs w:val="18"/>
                <w:rtl w:val="0"/>
              </w:rPr>
              <w:t xml:space="preserve">Banco BBVA Perú, s. f.-g, s. f.-l</w:t>
            </w:r>
            <w:r w:rsidDel="00000000" w:rsidR="00000000" w:rsidRPr="00000000">
              <w:rPr>
                <w:rFonts w:ascii="Times New Roman" w:cs="Times New Roman" w:eastAsia="Times New Roman" w:hAnsi="Times New Roman"/>
                <w:sz w:val="18"/>
                <w:szCs w:val="18"/>
                <w:rtl w:val="0"/>
              </w:rPr>
              <w:t xml:space="preserve">).</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17">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6. Uso y seguimiento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18">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Gestiona pagos, cobranzas y renovaciones.</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19">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App BBVA Empresas 2.0, BBVA Net Cash, ejecutivo asignado.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1A">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26 % de los clientes de la cartera Pyme aún no opera por canales digitales al cierre de 2025, lo que delimita el espacio de adopción pendiente en el segmento (</w:t>
            </w:r>
            <w:r w:rsidDel="00000000" w:rsidR="00000000" w:rsidRPr="00000000">
              <w:rPr>
                <w:rFonts w:ascii="Times New Roman" w:cs="Times New Roman" w:eastAsia="Times New Roman" w:hAnsi="Times New Roman"/>
                <w:sz w:val="18"/>
                <w:szCs w:val="18"/>
                <w:rtl w:val="0"/>
              </w:rPr>
              <w:t xml:space="preserve">BBVA, 2026a</w:t>
            </w:r>
            <w:r w:rsidDel="00000000" w:rsidR="00000000" w:rsidRPr="00000000">
              <w:rPr>
                <w:rFonts w:ascii="Times New Roman" w:cs="Times New Roman" w:eastAsia="Times New Roman" w:hAnsi="Times New Roman"/>
                <w:sz w:val="18"/>
                <w:szCs w:val="18"/>
                <w:rtl w:val="0"/>
              </w:rPr>
              <w:t xml:space="preserve">).</w:t>
            </w:r>
          </w:p>
        </w:tc>
      </w:tr>
    </w:tbl>
    <w:p w:rsidR="00000000" w:rsidDel="00000000" w:rsidP="00000000" w:rsidRDefault="00000000" w:rsidRPr="00000000" w14:paraId="0000021B">
      <w:pPr>
        <w:spacing w:after="22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Reusche (2026), Melo (2026) y Banco BBVA Perú (</w:t>
      </w:r>
      <w:r w:rsidDel="00000000" w:rsidR="00000000" w:rsidRPr="00000000">
        <w:rPr>
          <w:rFonts w:ascii="Times New Roman" w:cs="Times New Roman" w:eastAsia="Times New Roman" w:hAnsi="Times New Roman"/>
          <w:rtl w:val="0"/>
        </w:rPr>
        <w:t xml:space="preserve">s. f.-g, s. f.-l</w:t>
      </w:r>
      <w:r w:rsidDel="00000000" w:rsidR="00000000" w:rsidRPr="00000000">
        <w:rPr>
          <w:rFonts w:ascii="Times New Roman" w:cs="Times New Roman" w:eastAsia="Times New Roman" w:hAnsi="Times New Roman"/>
          <w:rtl w:val="0"/>
        </w:rPr>
        <w:t xml:space="preserve">). Los puntos de contacto corresponden a los sistemas declarados en la </w:t>
      </w:r>
      <w:r w:rsidDel="00000000" w:rsidR="00000000" w:rsidRPr="00000000">
        <w:rPr>
          <w:rFonts w:ascii="Times New Roman" w:cs="Times New Roman" w:eastAsia="Times New Roman" w:hAnsi="Times New Roman"/>
          <w:rtl w:val="0"/>
        </w:rPr>
        <w:t xml:space="preserve">Tabla 8 (sección 1.7)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C">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heading=h.9pfmuqgkgrsc" w:id="18"/>
      <w:bookmarkEnd w:id="18"/>
      <w:r w:rsidDel="00000000" w:rsidR="00000000" w:rsidRPr="00000000">
        <w:rPr>
          <w:rFonts w:ascii="Times New Roman" w:cs="Times New Roman" w:eastAsia="Times New Roman" w:hAnsi="Times New Roman"/>
          <w:b w:val="1"/>
          <w:bCs w:val="1"/>
          <w:sz w:val="22"/>
          <w:szCs w:val="22"/>
          <w:rtl w:val="0"/>
        </w:rPr>
        <w:t xml:space="preserve">Service blueprint del proceso E2E-2: atención de operaciones no reconocidas</w:t>
      </w:r>
    </w:p>
    <w:p w:rsidR="00000000" w:rsidDel="00000000" w:rsidP="00000000" w:rsidRDefault="00000000" w:rsidRPr="00000000" w14:paraId="0000021D">
      <w:pPr>
        <w:spacing w:after="120" w:before="0" w:line="360" w:lineRule="auto"/>
        <w:jc w:val="both"/>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Este proceso se modela mediante </w:t>
      </w:r>
      <w:r w:rsidDel="00000000" w:rsidR="00000000" w:rsidRPr="00000000">
        <w:rPr>
          <w:rFonts w:ascii="Times New Roman" w:cs="Times New Roman" w:eastAsia="Times New Roman" w:hAnsi="Times New Roman"/>
          <w:i w:val="1"/>
          <w:iCs w:val="1"/>
          <w:rtl w:val="0"/>
        </w:rPr>
        <w:t xml:space="preserve">service blueprint</w:t>
      </w:r>
      <w:r w:rsidDel="00000000" w:rsidR="00000000" w:rsidRPr="00000000">
        <w:rPr>
          <w:rFonts w:ascii="Times New Roman" w:cs="Times New Roman" w:eastAsia="Times New Roman" w:hAnsi="Times New Roman"/>
          <w:i w:val="0"/>
          <w:iCs w:val="0"/>
          <w:rtl w:val="0"/>
        </w:rPr>
        <w:t xml:space="preserve"> y no mediante journey map porque el dolor no se origina en la interfaz con el cliente, sino en las actividades que ocurren por debajo de la línea de visibilidad: la investigación del caso, la coordinación entre las áreas de fraude, operaciones y atención, y la decisión sobre la procedencia del reclamo. Un instrumento que solo describa lo que el cliente ve dejaría fuera precisamente el tramo donde se produce la demora (Bitner et al., 2008).</w:t>
      </w:r>
    </w:p>
    <w:p w:rsidR="00000000" w:rsidDel="00000000" w:rsidP="00000000" w:rsidRDefault="00000000" w:rsidRPr="00000000" w14:paraId="0000021E">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se circunscribe a los reclamos por operaciones no reconocidas sin abono temporal. El párrafo 7.8 del reglamento establece que los reclamos de esta materia con impacto monetario que se encuentran en trámite se consideran resueltos, para efectos del reporte, cuando la empresa concede devolución temporal por el total reclamado; el universo restante es, por tanto, el que efectivamente atraviesa el proceso de investigación y decisión. Debe precisarse que la difusión obligatoria comprende los diez productos más reclamados y los tres motivos más frecuentes de cada uno (SBS, 2022, art. 15.2), de modo que las cifras corresponden a los productos donde la materia aparece de forma explícita y no al universo completo. </w:t>
      </w:r>
    </w:p>
    <w:p w:rsidR="00000000" w:rsidDel="00000000" w:rsidP="00000000" w:rsidRDefault="00000000" w:rsidRPr="00000000" w14:paraId="0000021F">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La relevancia del proceso está documentada. Entre 2021 y marzo de 2025 el Indecopi impuso 2,891 sanciones a 271 proveedores por operaciones no reconocidas, de las cuales el 90 % (2,601) recayó sobre el sistema financiero, con multas por 3,978.8 UIT; las tarjetas de crédito concentraron el 54.8 % de las sanciones y las cuentas de ahorro el 29.8 % (Andina, 2025). El ritmo es creciente: al mes de julio de 2023 el acumulado desde 2021 era de 1,284 sanciones por 1,938.4 UIT (Diario Oficial El Peruano, 2023), de modo que en menos de dos años el número de sanciones se duplicó. Un reportaje de investigación identificó a BBVA entre las cinco entidades con mayor número de infracciones en esta materia (Alarcón, 2023).</w:t>
      </w:r>
      <w:r w:rsidDel="00000000" w:rsidR="00000000" w:rsidRPr="00000000">
        <w:rPr>
          <w:rtl w:val="0"/>
        </w:rPr>
      </w:r>
    </w:p>
    <w:p w:rsidR="00000000" w:rsidDel="00000000" w:rsidP="00000000" w:rsidRDefault="00000000" w:rsidRPr="00000000" w14:paraId="00000220">
      <w:pPr>
        <w:spacing w:after="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16</w:t>
      </w:r>
      <w:r w:rsidDel="00000000" w:rsidR="00000000" w:rsidRPr="00000000">
        <w:rPr>
          <w:rtl w:val="0"/>
        </w:rPr>
      </w:r>
    </w:p>
    <w:p w:rsidR="00000000" w:rsidDel="00000000" w:rsidP="00000000" w:rsidRDefault="00000000" w:rsidRPr="00000000" w14:paraId="00000221">
      <w:pP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Service blueprint del proceso de atención de operaciones no reconocidas</w:t>
      </w:r>
      <w:r w:rsidDel="00000000" w:rsidR="00000000" w:rsidRPr="00000000">
        <w:rPr>
          <w:rtl w:val="0"/>
        </w:rPr>
      </w:r>
    </w:p>
    <w:tbl>
      <w:tblPr>
        <w:tblStyle w:val="Table16"/>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826"/>
        <w:gridCol w:w="1800"/>
        <w:gridCol w:w="1800"/>
        <w:gridCol w:w="1800"/>
        <w:gridCol w:w="1800"/>
        <w:tblGridChange w:id="0">
          <w:tblGrid>
            <w:gridCol w:w="1826"/>
            <w:gridCol w:w="1800"/>
            <w:gridCol w:w="1800"/>
            <w:gridCol w:w="1800"/>
            <w:gridCol w:w="180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22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Capa del blueprint</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2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Detección</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2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Reporte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2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Investigación</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2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Resolución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27">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Evidencia física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28">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Notificación de la operación en la app.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29">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Constancia y código de reclamo.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2A">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Comunicaciones de seguimiento.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2B">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Carta de respuesta y, de proceder, abono.</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2C">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Acciones del cliente</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2D">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Advierte un cargo que no reconoce.</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2E">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Registra el reclamo por app, contact center u oficina.</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2F">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Espera; consulta el estado del caso.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30">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Recibe la decisión y acepta o escala a Indecopi.</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31">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Contacto visible</w:t>
            </w:r>
            <w:r w:rsidDel="00000000" w:rsidR="00000000" w:rsidRPr="00000000">
              <w:rPr>
                <w:rFonts w:ascii="Times New Roman" w:cs="Times New Roman" w:eastAsia="Times New Roman" w:hAnsi="Times New Roman"/>
                <w:i w:val="0"/>
                <w:iCs w:val="0"/>
                <w:sz w:val="18"/>
                <w:szCs w:val="18"/>
                <w:rtl w:val="0"/>
              </w:rPr>
              <w:t xml:space="preserve"> (sobre la línea de interacción)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2">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Alerta automática de transacción.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3">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Asistente Blue Buddy, </w:t>
            </w:r>
            <w:r w:rsidDel="00000000" w:rsidR="00000000" w:rsidRPr="00000000">
              <w:rPr>
                <w:rFonts w:ascii="Times New Roman" w:cs="Times New Roman" w:eastAsia="Times New Roman" w:hAnsi="Times New Roman"/>
                <w:sz w:val="18"/>
                <w:szCs w:val="18"/>
                <w:rtl w:val="0"/>
              </w:rPr>
              <w:t xml:space="preserve">asesor telefónico, asesor de oficina o canal digital de registro. </w:t>
            </w:r>
          </w:p>
        </w:tc>
        <w:tc>
          <w:tcPr>
            <w:tcMar>
              <w:top w:w="60.0" w:type="dxa"/>
              <w:left w:w="90.0" w:type="dxa"/>
              <w:bottom w:w="60.0" w:type="dxa"/>
              <w:right w:w="90.0" w:type="dxa"/>
            </w:tcMar>
            <w:vAlign w:val="center"/>
          </w:tcPr>
          <w:p w:rsidR="00000000" w:rsidDel="00000000" w:rsidP="00000000" w:rsidRDefault="00000000" w:rsidRPr="00000000" w14:paraId="00000234">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Respuesta de estado ante consulta del cliente.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5">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Comunicación formal del resultado.</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36">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Soporte no visible</w:t>
            </w:r>
            <w:r w:rsidDel="00000000" w:rsidR="00000000" w:rsidRPr="00000000">
              <w:rPr>
                <w:rFonts w:ascii="Times New Roman" w:cs="Times New Roman" w:eastAsia="Times New Roman" w:hAnsi="Times New Roman"/>
                <w:i w:val="0"/>
                <w:iCs w:val="0"/>
                <w:sz w:val="18"/>
                <w:szCs w:val="18"/>
                <w:rtl w:val="0"/>
              </w:rPr>
              <w:t xml:space="preserve"> (bajo la línea de visibilidad)</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37">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Motor de monitoreo transaccional y reglas antifraude.</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38">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Registro y tipificación del reclamo.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39">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Análisis del caso, revisión de las trazas de la operación y consulta de su ciclo de vida mediante las herramientas internas.</w:t>
            </w:r>
          </w:p>
        </w:tc>
        <w:tc>
          <w:tcPr>
            <w:shd w:fill="f2f5fa" w:val="clear"/>
            <w:tcMar>
              <w:top w:w="60.0" w:type="dxa"/>
              <w:left w:w="90.0" w:type="dxa"/>
              <w:bottom w:w="60.0" w:type="dxa"/>
              <w:right w:w="90.0" w:type="dxa"/>
            </w:tcMar>
            <w:vAlign w:val="center"/>
          </w:tcPr>
          <w:p w:rsidR="00000000" w:rsidDel="00000000" w:rsidP="00000000" w:rsidRDefault="00000000" w:rsidRPr="00000000" w14:paraId="0000023A">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Decisión sobre procedencia y ejecución del abono o rechazo.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3B">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Procesos de apoyo</w:t>
            </w:r>
            <w:r w:rsidDel="00000000" w:rsidR="00000000" w:rsidRPr="00000000">
              <w:rPr>
                <w:rFonts w:ascii="Times New Roman" w:cs="Times New Roman" w:eastAsia="Times New Roman" w:hAnsi="Times New Roman"/>
                <w:i w:val="0"/>
                <w:iCs w:val="0"/>
                <w:sz w:val="18"/>
                <w:szCs w:val="18"/>
                <w:rtl w:val="0"/>
              </w:rPr>
              <w:t xml:space="preserve"> (bajo la línea de interacción interna)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C">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Plataforma de datos ADA y modelos analíticos.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D">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Sistema de gestión de reclamos.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E">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Gestión de identidades, monitoreo y respuesta a incidentes.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F">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Reporte regulatorio y gestión de la conducta de mercado.</w:t>
            </w:r>
            <w:r w:rsidDel="00000000" w:rsidR="00000000" w:rsidRPr="00000000">
              <w:rPr>
                <w:rtl w:val="0"/>
              </w:rPr>
            </w:r>
          </w:p>
        </w:tc>
      </w:tr>
    </w:tbl>
    <w:p w:rsidR="00000000" w:rsidDel="00000000" w:rsidP="00000000" w:rsidRDefault="00000000" w:rsidRPr="00000000" w14:paraId="00000240">
      <w:pPr>
        <w:spacing w:after="22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siguiendo las capas y líneas de separación propuestas por Bitner et al. (2008), aplicadas a los canales y sistemas declarados por la entidad. Blue Buddy se ubica como una herramienta de soporte interno porque BBVA Perú lo presenta como un asistente utilizado por su red de atención; el 90 % reportado corresponde a su adopción interna y no a la utilización por parte de los clientes (</w:t>
      </w:r>
      <w:r w:rsidDel="00000000" w:rsidR="00000000" w:rsidRPr="00000000">
        <w:rPr>
          <w:rFonts w:ascii="Times New Roman" w:cs="Times New Roman" w:eastAsia="Times New Roman" w:hAnsi="Times New Roman"/>
          <w:rtl w:val="0"/>
        </w:rPr>
        <w:t xml:space="preserve">Banco BBVA Perú, 2026f, p. 4</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1">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blueprint muestra que la atención del reclamo requiere articular su registro, investigación y resolución. El resultado extremo a extremo de este proceso puede dimensionarse mediante las estadísticas mensuales publicadas por BBVA Perú. Entre abril y junio de 2026 se absolvieron 13,959 reclamos por operaciones no reconocidas sin abono temporal en cuentas de ahorro con tarjeta de débito, tarjetas de crédito y cuentas corrientes. El tiempo promedio ponderado de absolución fue de 11.29 días y 3,019 casos, equivalentes al 21.63 %, fueron resueltos a favor del usuario. Estas cifras adquieren especial relevancia frente al plazo regulatorio de quince días hábiles fijado para la resolución de reclamos, que admite prórroga excepcional cuando el caso requiere el pronunciamiento previo de un tercero (</w:t>
      </w:r>
      <w:r w:rsidDel="00000000" w:rsidR="00000000" w:rsidRPr="00000000">
        <w:rPr>
          <w:rFonts w:ascii="Times New Roman" w:cs="Times New Roman" w:eastAsia="Times New Roman" w:hAnsi="Times New Roman"/>
          <w:rtl w:val="0"/>
        </w:rPr>
        <w:t xml:space="preserve">Banco BBVA Perú, 2026a, 2026b, 2026c; SBS, 2022, arts. 7.1 y 7.</w:t>
      </w: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2">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heading=h.bk530kpbc0nv" w:id="19"/>
      <w:bookmarkEnd w:id="19"/>
      <w:r w:rsidDel="00000000" w:rsidR="00000000" w:rsidRPr="00000000">
        <w:rPr>
          <w:rFonts w:ascii="Times New Roman" w:cs="Times New Roman" w:eastAsia="Times New Roman" w:hAnsi="Times New Roman"/>
          <w:b w:val="1"/>
          <w:bCs w:val="1"/>
          <w:sz w:val="22"/>
          <w:szCs w:val="22"/>
          <w:rtl w:val="0"/>
        </w:rPr>
        <w:t xml:space="preserve">Customer journey map del proceso E2E-3: contratación de productos por canal digital</w:t>
      </w:r>
    </w:p>
    <w:p w:rsidR="00000000" w:rsidDel="00000000" w:rsidP="00000000" w:rsidRDefault="00000000" w:rsidRPr="00000000" w14:paraId="00000243">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El tercer proceso analiza la contratación de productos en banca de personas. El punto de partida es un dato del </w:t>
      </w:r>
      <w:r w:rsidDel="00000000" w:rsidR="00000000" w:rsidRPr="00000000">
        <w:rPr>
          <w:rFonts w:ascii="Times New Roman" w:cs="Times New Roman" w:eastAsia="Times New Roman" w:hAnsi="Times New Roman"/>
          <w:i w:val="0"/>
          <w:iCs w:val="0"/>
          <w:rtl w:val="0"/>
        </w:rPr>
        <w:t xml:space="preserve">propio informe de gerencia:</w:t>
      </w:r>
      <w:r w:rsidDel="00000000" w:rsidR="00000000" w:rsidRPr="00000000">
        <w:rPr>
          <w:rFonts w:ascii="Times New Roman" w:cs="Times New Roman" w:eastAsia="Times New Roman" w:hAnsi="Times New Roman"/>
          <w:i w:val="0"/>
          <w:iCs w:val="0"/>
          <w:rtl w:val="0"/>
        </w:rPr>
        <w:t xml:space="preserve"> al cierre del segundo trimestre de 2026 las ventas digitales representaron el 79.57 % de las ventas totales del banco, la app concentró el 85 % de las operaciones monetarias y se acumularon más de 350 millones de transacciones, con un crecimiento de 38 % (</w:t>
      </w:r>
      <w:r w:rsidDel="00000000" w:rsidR="00000000" w:rsidRPr="00000000">
        <w:rPr>
          <w:rFonts w:ascii="Times New Roman" w:cs="Times New Roman" w:eastAsia="Times New Roman" w:hAnsi="Times New Roman"/>
          <w:i w:val="0"/>
          <w:iCs w:val="0"/>
          <w:rtl w:val="0"/>
        </w:rPr>
        <w:t xml:space="preserve">Banco BBVA Perú, 2026f, p. 3</w:t>
      </w:r>
      <w:r w:rsidDel="00000000" w:rsidR="00000000" w:rsidRPr="00000000">
        <w:rPr>
          <w:rFonts w:ascii="Times New Roman" w:cs="Times New Roman" w:eastAsia="Times New Roman" w:hAnsi="Times New Roman"/>
          <w:i w:val="0"/>
          <w:iCs w:val="0"/>
          <w:rtl w:val="0"/>
        </w:rPr>
        <w:t xml:space="preserve">). La entidad define la venta digital como aquella operación que no cuenta con ningún tipo de asistencia, desde su origen hasta la contratación (</w:t>
      </w:r>
      <w:r w:rsidDel="00000000" w:rsidR="00000000" w:rsidRPr="00000000">
        <w:rPr>
          <w:rFonts w:ascii="Times New Roman" w:cs="Times New Roman" w:eastAsia="Times New Roman" w:hAnsi="Times New Roman"/>
          <w:i w:val="0"/>
          <w:iCs w:val="0"/>
          <w:rtl w:val="0"/>
        </w:rPr>
        <w:t xml:space="preserve">Banco BBVA Perú, 2026f, p. 3</w:t>
      </w:r>
      <w:r w:rsidDel="00000000" w:rsidR="00000000" w:rsidRPr="00000000">
        <w:rPr>
          <w:rFonts w:ascii="Times New Roman" w:cs="Times New Roman" w:eastAsia="Times New Roman" w:hAnsi="Times New Roman"/>
          <w:i w:val="0"/>
          <w:iCs w:val="0"/>
          <w:rtl w:val="0"/>
        </w:rPr>
        <w:t xml:space="preserve">). </w:t>
      </w:r>
      <w:r w:rsidDel="00000000" w:rsidR="00000000" w:rsidRPr="00000000">
        <w:rPr>
          <w:rtl w:val="0"/>
        </w:rPr>
      </w:r>
    </w:p>
    <w:p w:rsidR="00000000" w:rsidDel="00000000" w:rsidP="00000000" w:rsidRDefault="00000000" w:rsidRPr="00000000" w14:paraId="00000244">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Ese promedio agregado, sin embargo, oculta una dispersión considerable cuando se desagrega por producto. La penetración digital alcanza 93 % en operaciones de cambio de moneda y 54 % en préstamos de consumo, pero desciende a 50 % en tarjetas de crédito y a 33 % en cuentas (</w:t>
      </w:r>
      <w:r w:rsidDel="00000000" w:rsidR="00000000" w:rsidRPr="00000000">
        <w:rPr>
          <w:rFonts w:ascii="Times New Roman" w:cs="Times New Roman" w:eastAsia="Times New Roman" w:hAnsi="Times New Roman"/>
          <w:rtl w:val="0"/>
        </w:rPr>
        <w:t xml:space="preserve">Banco BBVA Perú, 2026f, p. 3</w:t>
      </w:r>
      <w:r w:rsidDel="00000000" w:rsidR="00000000" w:rsidRPr="00000000">
        <w:rPr>
          <w:rFonts w:ascii="Times New Roman" w:cs="Times New Roman" w:eastAsia="Times New Roman" w:hAnsi="Times New Roman"/>
          <w:rtl w:val="0"/>
        </w:rPr>
        <w:t xml:space="preserve">). La dispersión, además, no es estática. Al cierre de 2025 la penetración era de 94 % en cambio de moneda, 57 % en préstamos de consumo, 43 % en tarjetas de crédito y 35 % en cuentas, y las ventas digitales totales representaban el 80.0 % (Banco BBVA Perú, 2025). Entre ambos cortes, tres de los cuatro productos retrocedieron y solo las tarjetas de crédito avanzaron. Dicho de otro modo: dos de cada tres cuentas siguen contratándose por canal asistido, y esa proporción empeoró respecto del cierre del ejercicio anterior.</w:t>
      </w:r>
    </w:p>
    <w:p w:rsidR="00000000" w:rsidDel="00000000" w:rsidP="00000000" w:rsidRDefault="00000000" w:rsidRPr="00000000" w14:paraId="00000245">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evidencia pública describe el resultado del recorrido, pero no su causa. Una entrevista con el Service Owner de ATM y autoservicios de la entidad permite localizar dos elementos que las cifras no muestran. El primero es que el número de pasos del flujo depende del producto contratado, sean cuentas de ahorro, tarjetas, préstamos o seguros, y que la tendencia declarada es simplificarlo: a inicios de 2026 se puso en producción un proceso íntegramente digital que permite a una persona que no es cliente contratar en menos de cinco minutos. El segundo es que ese flujo se interrumpe ante determinados perfiles de solicitantes. Al evaluar casos borde, como usuarios menores de edad o con carné de extranjería, el sistema detiene el recorrido y deriva al solicitante a una oficina física (A. Moquillaza, comunicación personal, 11 de septiembre de 2026; </w:t>
      </w:r>
      <w:r w:rsidDel="00000000" w:rsidR="00000000" w:rsidRPr="00000000">
        <w:rPr>
          <w:rFonts w:ascii="Times New Roman" w:cs="Times New Roman" w:eastAsia="Times New Roman" w:hAnsi="Times New Roman"/>
          <w:rtl w:val="0"/>
        </w:rPr>
        <w:t xml:space="preserve">véase Anexo A</w:t>
      </w:r>
      <w:r w:rsidDel="00000000" w:rsidR="00000000" w:rsidRPr="00000000">
        <w:rPr>
          <w:rFonts w:ascii="Times New Roman" w:cs="Times New Roman" w:eastAsia="Times New Roman" w:hAnsi="Times New Roman"/>
          <w:rtl w:val="0"/>
        </w:rPr>
        <w:t xml:space="preserve">). Bajo la definición de venta digital adoptada por la entidad, toda operación derivada deja de contar como digital, de modo que estas interrupciones se acumulan dentro del 67 % de cuentas contratadas por canal asistido.</w:t>
      </w:r>
    </w:p>
    <w:p w:rsidR="00000000" w:rsidDel="00000000" w:rsidP="00000000" w:rsidRDefault="00000000" w:rsidRPr="00000000" w14:paraId="00000246">
      <w:pPr>
        <w:spacing w:after="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17</w:t>
      </w:r>
      <w:r w:rsidDel="00000000" w:rsidR="00000000" w:rsidRPr="00000000">
        <w:rPr>
          <w:rtl w:val="0"/>
        </w:rPr>
      </w:r>
    </w:p>
    <w:p w:rsidR="00000000" w:rsidDel="00000000" w:rsidP="00000000" w:rsidRDefault="00000000" w:rsidRPr="00000000" w14:paraId="00000247">
      <w:pP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Customer journey map de la contratación de productos por canal digital</w:t>
      </w:r>
      <w:r w:rsidDel="00000000" w:rsidR="00000000" w:rsidRPr="00000000">
        <w:rPr>
          <w:rtl w:val="0"/>
        </w:rPr>
      </w:r>
    </w:p>
    <w:tbl>
      <w:tblPr>
        <w:tblStyle w:val="Table17"/>
        <w:tblW w:w="9015.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500"/>
        <w:gridCol w:w="2100"/>
        <w:gridCol w:w="1995"/>
        <w:gridCol w:w="3420"/>
        <w:tblGridChange w:id="0">
          <w:tblGrid>
            <w:gridCol w:w="1500"/>
            <w:gridCol w:w="2100"/>
            <w:gridCol w:w="1995"/>
            <w:gridCol w:w="342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24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Etapa</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4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Acciones del cliente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4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Puntos de contacto y sistemas</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4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Dolor observado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4C">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1. Descubrimiento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4D">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Identifica una necesidad y explora la oferta.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4E">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App BBVA, web, publicidad, oficina.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4F">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entidad no publica tasas de conversión por punto de entrada.</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50">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2. Evaluación y elección</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51">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Compara condiciones, tasas y requisitos.</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52">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App, simuladores, asistente Blue Buddy.</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53">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La asimetría de penetración digital sugiere que ciertos productos no resultan comprensibles o confiables en autoservicio.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54">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3. Contratación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55">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Completa el proceso de alta del producto.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56">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Flujo digital de contratación, incluido el proceso íntegramente digital para no clientes; oficina; contact center. </w:t>
            </w:r>
          </w:p>
        </w:tc>
        <w:tc>
          <w:tcPr>
            <w:tcMar>
              <w:top w:w="60.0" w:type="dxa"/>
              <w:left w:w="90.0" w:type="dxa"/>
              <w:bottom w:w="60.0" w:type="dxa"/>
              <w:right w:w="90.0" w:type="dxa"/>
            </w:tcMar>
            <w:vAlign w:val="center"/>
          </w:tcPr>
          <w:p w:rsidR="00000000" w:rsidDel="00000000" w:rsidP="00000000" w:rsidRDefault="00000000" w:rsidRPr="00000000" w14:paraId="00000257">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Penetración digital de 33 % en cuentas y 50 % en tarjetas, frente a 93 % en cambio de moneda, con retroceso de dos puntos en cuentas respecto del cierre de 2025 (</w:t>
            </w:r>
            <w:r w:rsidDel="00000000" w:rsidR="00000000" w:rsidRPr="00000000">
              <w:rPr>
                <w:rFonts w:ascii="Times New Roman" w:cs="Times New Roman" w:eastAsia="Times New Roman" w:hAnsi="Times New Roman"/>
                <w:sz w:val="18"/>
                <w:szCs w:val="18"/>
                <w:rtl w:val="0"/>
              </w:rPr>
              <w:t xml:space="preserve">Banco BBVA Perú, 2025, 2026f, p. 3</w:t>
            </w:r>
            <w:r w:rsidDel="00000000" w:rsidR="00000000" w:rsidRPr="00000000">
              <w:rPr>
                <w:rFonts w:ascii="Times New Roman" w:cs="Times New Roman" w:eastAsia="Times New Roman" w:hAnsi="Times New Roman"/>
                <w:sz w:val="18"/>
                <w:szCs w:val="18"/>
                <w:rtl w:val="0"/>
              </w:rPr>
              <w:t xml:space="preserve">). El flujo se interrumpe ante casos borde, como menores de edad o titulares con carné de extranjería, y deriva al solicitante a una oficina física (A. Moquillaza, comunicación personal, 11 de setiembre de 2026). </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58">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4. Activación y primer uso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59">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Recibe el producto y realiza su primera operación.</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5A">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App BBVA, cajeros, agentes, Plin y QR.</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5B">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activación inmediata de la cuenta de ahorros, la tarjeta de débito digital y Plin se produce solo en la ruta por aplicativo; la contratación asistida no obtiene ese beneficio (</w:t>
            </w:r>
            <w:r w:rsidDel="00000000" w:rsidR="00000000" w:rsidRPr="00000000">
              <w:rPr>
                <w:rFonts w:ascii="Times New Roman" w:cs="Times New Roman" w:eastAsia="Times New Roman" w:hAnsi="Times New Roman"/>
                <w:sz w:val="18"/>
                <w:szCs w:val="18"/>
                <w:rtl w:val="0"/>
              </w:rPr>
              <w:t xml:space="preserve">Banco BBVA Perú, s. f.-d</w:t>
            </w:r>
            <w:r w:rsidDel="00000000" w:rsidR="00000000" w:rsidRPr="00000000">
              <w:rPr>
                <w:rFonts w:ascii="Times New Roman" w:cs="Times New Roman" w:eastAsia="Times New Roman" w:hAnsi="Times New Roman"/>
                <w:sz w:val="18"/>
                <w:szCs w:val="18"/>
                <w:rtl w:val="0"/>
              </w:rPr>
              <w:t xml:space="preserve">).</w:t>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5C">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5. Uso recurrente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5D">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Opera de forma habitual por el canal digital.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5E">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App BBVA (85 % de operaciones monetarias), Blue Buddy.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5F">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Aunque la app concentra el 85 % de las operaciones y supera los tres millones de usuarios, solo el 33 % de las cuentas se contrata digitalmente. Esto evidencia una brecha entre el uso recurrente del canal y su capacidad para captar digitalmente clientes de este producto (</w:t>
            </w:r>
            <w:r w:rsidDel="00000000" w:rsidR="00000000" w:rsidRPr="00000000">
              <w:rPr>
                <w:rFonts w:ascii="Times New Roman" w:cs="Times New Roman" w:eastAsia="Times New Roman" w:hAnsi="Times New Roman"/>
                <w:sz w:val="18"/>
                <w:szCs w:val="18"/>
                <w:rtl w:val="0"/>
              </w:rPr>
              <w:t xml:space="preserve">Banco BBVA Perú, 2026f, p. 3</w:t>
            </w:r>
            <w:r w:rsidDel="00000000" w:rsidR="00000000" w:rsidRPr="00000000">
              <w:rPr>
                <w:rFonts w:ascii="Times New Roman" w:cs="Times New Roman" w:eastAsia="Times New Roman" w:hAnsi="Times New Roman"/>
                <w:sz w:val="18"/>
                <w:szCs w:val="18"/>
                <w:rtl w:val="0"/>
              </w:rPr>
              <w:t xml:space="preserve">).</w:t>
            </w:r>
          </w:p>
        </w:tc>
      </w:tr>
    </w:tbl>
    <w:p w:rsidR="00000000" w:rsidDel="00000000" w:rsidP="00000000" w:rsidRDefault="00000000" w:rsidRPr="00000000" w14:paraId="00000260">
      <w:pPr>
        <w:spacing w:after="22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Banco BBVA Perú (</w:t>
      </w:r>
      <w:r w:rsidDel="00000000" w:rsidR="00000000" w:rsidRPr="00000000">
        <w:rPr>
          <w:rFonts w:ascii="Times New Roman" w:cs="Times New Roman" w:eastAsia="Times New Roman" w:hAnsi="Times New Roman"/>
          <w:rtl w:val="0"/>
        </w:rPr>
        <w:t xml:space="preserve">2025, 2026f, pp. 3-4</w:t>
      </w:r>
      <w:r w:rsidDel="00000000" w:rsidR="00000000" w:rsidRPr="00000000">
        <w:rPr>
          <w:rFonts w:ascii="Times New Roman" w:cs="Times New Roman" w:eastAsia="Times New Roman" w:hAnsi="Times New Roman"/>
          <w:rtl w:val="0"/>
        </w:rPr>
        <w:t xml:space="preserve">), en A. Moquillaza (comunicación personal, 11 de setiembre de 2026) y en los sistemas declarados en la </w:t>
      </w:r>
      <w:r w:rsidDel="00000000" w:rsidR="00000000" w:rsidRPr="00000000">
        <w:rPr>
          <w:rFonts w:ascii="Times New Roman" w:cs="Times New Roman" w:eastAsia="Times New Roman" w:hAnsi="Times New Roman"/>
          <w:rtl w:val="0"/>
        </w:rPr>
        <w:t xml:space="preserve">Tabla 8 (sección 1.7)</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1">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heading=h.nrrsniqgt5w0" w:id="20"/>
      <w:bookmarkEnd w:id="20"/>
      <w:r w:rsidDel="00000000" w:rsidR="00000000" w:rsidRPr="00000000">
        <w:rPr>
          <w:rFonts w:ascii="Times New Roman" w:cs="Times New Roman" w:eastAsia="Times New Roman" w:hAnsi="Times New Roman"/>
          <w:b w:val="1"/>
          <w:bCs w:val="1"/>
          <w:sz w:val="22"/>
          <w:szCs w:val="22"/>
          <w:rtl w:val="0"/>
        </w:rPr>
        <w:t xml:space="preserve">Inventario de dolores identificados</w:t>
      </w:r>
    </w:p>
    <w:p w:rsidR="00000000" w:rsidDel="00000000" w:rsidP="00000000" w:rsidRDefault="00000000" w:rsidRPr="00000000" w14:paraId="00000262">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Del análisis de los tres recorridos se desprenden </w:t>
      </w:r>
      <w:r w:rsidDel="00000000" w:rsidR="00000000" w:rsidRPr="00000000">
        <w:rPr>
          <w:rFonts w:ascii="Times New Roman" w:cs="Times New Roman" w:eastAsia="Times New Roman" w:hAnsi="Times New Roman"/>
          <w:rtl w:val="0"/>
        </w:rPr>
        <w:t xml:space="preserve">once</w:t>
      </w:r>
      <w:r w:rsidDel="00000000" w:rsidR="00000000" w:rsidRPr="00000000">
        <w:rPr>
          <w:rFonts w:ascii="Times New Roman" w:cs="Times New Roman" w:eastAsia="Times New Roman" w:hAnsi="Times New Roman"/>
          <w:i w:val="0"/>
          <w:iCs w:val="0"/>
          <w:rtl w:val="0"/>
        </w:rPr>
        <w:t xml:space="preserve"> dolores de negocio. La Tabla 18 los consolida indicando el proceso al que pertenecen, su formulación y la evidencia que los sustenta. Se incluyen dos dolores de carácter transversal (D4 y D10) que no se localizan en una etapa específica del recorrido, pero que condicionan la rentabilidad y el riesgo de los procesos analizados.</w:t>
      </w:r>
      <w:r w:rsidDel="00000000" w:rsidR="00000000" w:rsidRPr="00000000">
        <w:rPr>
          <w:rtl w:val="0"/>
        </w:rPr>
      </w:r>
    </w:p>
    <w:p w:rsidR="00000000" w:rsidDel="00000000" w:rsidP="00000000" w:rsidRDefault="00000000" w:rsidRPr="00000000" w14:paraId="00000263">
      <w:pPr>
        <w:spacing w:after="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18</w:t>
      </w:r>
      <w:r w:rsidDel="00000000" w:rsidR="00000000" w:rsidRPr="00000000">
        <w:rPr>
          <w:rtl w:val="0"/>
        </w:rPr>
      </w:r>
    </w:p>
    <w:p w:rsidR="00000000" w:rsidDel="00000000" w:rsidP="00000000" w:rsidRDefault="00000000" w:rsidRPr="00000000" w14:paraId="00000264">
      <w:pP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Inventario de dolores de negocio identificados</w:t>
      </w:r>
      <w:r w:rsidDel="00000000" w:rsidR="00000000" w:rsidRPr="00000000">
        <w:rPr>
          <w:rtl w:val="0"/>
        </w:rPr>
      </w:r>
    </w:p>
    <w:tbl>
      <w:tblPr>
        <w:tblStyle w:val="Table18"/>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800"/>
        <w:gridCol w:w="2900"/>
        <w:gridCol w:w="1200"/>
        <w:gridCol w:w="4126"/>
        <w:tblGridChange w:id="0">
          <w:tblGrid>
            <w:gridCol w:w="800"/>
            <w:gridCol w:w="2900"/>
            <w:gridCol w:w="1200"/>
            <w:gridCol w:w="4126"/>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26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Código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6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Dolor de negocio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6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Proceso E2E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6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Evidencia de sustento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69">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D1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6A">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Dos tercios de los créditos Pyme se otorgan</w:t>
            </w:r>
            <w:r w:rsidDel="00000000" w:rsidR="00000000" w:rsidRPr="00000000">
              <w:rPr>
                <w:rFonts w:ascii="Times New Roman" w:cs="Times New Roman" w:eastAsia="Times New Roman" w:hAnsi="Times New Roman"/>
                <w:i w:val="0"/>
                <w:iCs w:val="0"/>
                <w:sz w:val="18"/>
                <w:szCs w:val="18"/>
                <w:rtl w:val="0"/>
              </w:rPr>
              <w:t xml:space="preserve"> por canal asistido, pese a que la ruta digital resuelve el crédito en tres minutos.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6B">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E2E-1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6C">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Los créditos digitales representan un </w:t>
            </w:r>
            <w:r w:rsidDel="00000000" w:rsidR="00000000" w:rsidRPr="00000000">
              <w:rPr>
                <w:rFonts w:ascii="Times New Roman" w:cs="Times New Roman" w:eastAsia="Times New Roman" w:hAnsi="Times New Roman"/>
                <w:sz w:val="18"/>
                <w:szCs w:val="18"/>
                <w:rtl w:val="0"/>
              </w:rPr>
              <w:t xml:space="preserve">tercio de los créditos otorgados</w:t>
            </w:r>
            <w:r w:rsidDel="00000000" w:rsidR="00000000" w:rsidRPr="00000000">
              <w:rPr>
                <w:rFonts w:ascii="Times New Roman" w:cs="Times New Roman" w:eastAsia="Times New Roman" w:hAnsi="Times New Roman"/>
                <w:i w:val="0"/>
                <w:iCs w:val="0"/>
                <w:sz w:val="18"/>
                <w:szCs w:val="18"/>
                <w:rtl w:val="0"/>
              </w:rPr>
              <w:t xml:space="preserve"> y se obtienen en tres minutos promedio (Reusche, 2026).</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6D">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D2</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6E">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La satisfacción del segmento Pyme es la más baja de la entidad, en contraste con su crecimiento comercial.</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6F">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E2E-1</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70">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NPS Pyme de 33.6 frente a 52.57 en retail (</w:t>
            </w:r>
            <w:r w:rsidDel="00000000" w:rsidR="00000000" w:rsidRPr="00000000">
              <w:rPr>
                <w:rFonts w:ascii="Times New Roman" w:cs="Times New Roman" w:eastAsia="Times New Roman" w:hAnsi="Times New Roman"/>
                <w:i w:val="0"/>
                <w:iCs w:val="0"/>
                <w:sz w:val="18"/>
                <w:szCs w:val="18"/>
                <w:rtl w:val="0"/>
              </w:rPr>
              <w:t xml:space="preserve">Banco BBVA Perú, 2026g</w:t>
            </w:r>
            <w:r w:rsidDel="00000000" w:rsidR="00000000" w:rsidRPr="00000000">
              <w:rPr>
                <w:rFonts w:ascii="Times New Roman" w:cs="Times New Roman" w:eastAsia="Times New Roman" w:hAnsi="Times New Roman"/>
                <w:i w:val="0"/>
                <w:iCs w:val="0"/>
                <w:sz w:val="18"/>
                <w:szCs w:val="18"/>
                <w:rtl w:val="0"/>
              </w:rPr>
              <w:t xml:space="preserve">), con crecimiento de facturación de 48 % (Reusche, 2026).</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71">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D3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72">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La evaluación crediticia depende de información financiera que la microempresa no produce de forma estructurada.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73">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E2E-1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74">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Solo una de cada cuatro microempresas accede a crédito; la falta de información verificable eleva tasas y restringe líneas (Melo, 2026).</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75">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D4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76">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El segmento de microempresa concentra el mayor riesgo crediticio del sistema.</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77">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Transversal E2E-1</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78">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Morosidad MYPE de 6.9 % frente a 3.3 % del sistema financiero a marzo de 2026 (Salazar Herrada, 2026).</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79">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D5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7A">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Alta exposición sancionatoria del sector por operaciones no reconocidas.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7B">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E2E-2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7C">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2,601 de 2,891 sanciones del Indecopi recayeron en el sistema financiero, con multas por 3,978.8 UIT (Andina, 2025).</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7D">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D6</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7E">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El ritmo de sanciones por operaciones no reconocidas se ha acelerado.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7F">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E2E-2</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80">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De 1,284 sanciones acumuladas a julio de 2023 (Diario Oficial El Peruano, 2023) a 2,601 a marzo de 2025 (Andina, 2025).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81">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D7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82">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atención de operaciones no reconocidas sin abono temporal presenta un volumen significativo y un tiempo de absolución relevante para la experiencia del cliente. </w:t>
            </w:r>
          </w:p>
        </w:tc>
        <w:tc>
          <w:tcPr>
            <w:tcMar>
              <w:top w:w="60.0" w:type="dxa"/>
              <w:left w:w="90.0" w:type="dxa"/>
              <w:bottom w:w="60.0" w:type="dxa"/>
              <w:right w:w="90.0" w:type="dxa"/>
            </w:tcMar>
            <w:vAlign w:val="center"/>
          </w:tcPr>
          <w:p w:rsidR="00000000" w:rsidDel="00000000" w:rsidP="00000000" w:rsidRDefault="00000000" w:rsidRPr="00000000" w14:paraId="00000283">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E2E-2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84">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Durante el 2T2026 se absolvieron 13,959 reclamos en los tres productos comprendidos en el análisis, con un tiempo promedio ponderado de 11.29 días; el 21.63 % fue resuelto a favor del usuario (</w:t>
            </w:r>
            <w:r w:rsidDel="00000000" w:rsidR="00000000" w:rsidRPr="00000000">
              <w:rPr>
                <w:rFonts w:ascii="Times New Roman" w:cs="Times New Roman" w:eastAsia="Times New Roman" w:hAnsi="Times New Roman"/>
                <w:sz w:val="18"/>
                <w:szCs w:val="18"/>
                <w:rtl w:val="0"/>
              </w:rPr>
              <w:t xml:space="preserve">cálculo propio con base en Banco BBVA Perú, 2026a, 2026b, 2026c</w:t>
            </w:r>
            <w:r w:rsidDel="00000000" w:rsidR="00000000" w:rsidRPr="00000000">
              <w:rPr>
                <w:rFonts w:ascii="Times New Roman" w:cs="Times New Roman" w:eastAsia="Times New Roman" w:hAnsi="Times New Roman"/>
                <w:sz w:val="18"/>
                <w:szCs w:val="18"/>
                <w:rtl w:val="0"/>
              </w:rPr>
              <w:t xml:space="preserve">). </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85">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D8</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86">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crecimiento de la transaccionalidad digital amplía la superficie de exposición a incidentes y operaciones fraudulentas. </w:t>
            </w:r>
          </w:p>
        </w:tc>
        <w:tc>
          <w:tcPr>
            <w:shd w:fill="f2f5fa" w:val="clear"/>
            <w:tcMar>
              <w:top w:w="60.0" w:type="dxa"/>
              <w:left w:w="90.0" w:type="dxa"/>
              <w:bottom w:w="60.0" w:type="dxa"/>
              <w:right w:w="90.0" w:type="dxa"/>
            </w:tcMar>
            <w:vAlign w:val="center"/>
          </w:tcPr>
          <w:p w:rsidR="00000000" w:rsidDel="00000000" w:rsidP="00000000" w:rsidRDefault="00000000" w:rsidRPr="00000000" w14:paraId="00000287">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E2E-2</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88">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BBVA Perú registró más de 350 millones de transacciones acumuladas, con un crecimiento interanual del 38 % al cierre del 2T2026 (</w:t>
            </w:r>
            <w:r w:rsidDel="00000000" w:rsidR="00000000" w:rsidRPr="00000000">
              <w:rPr>
                <w:rFonts w:ascii="Times New Roman" w:cs="Times New Roman" w:eastAsia="Times New Roman" w:hAnsi="Times New Roman"/>
                <w:sz w:val="18"/>
                <w:szCs w:val="18"/>
                <w:rtl w:val="0"/>
              </w:rPr>
              <w:t xml:space="preserve">Banco BBVA Perú, 2026f, p. 3</w:t>
            </w:r>
            <w:r w:rsidDel="00000000" w:rsidR="00000000" w:rsidRPr="00000000">
              <w:rPr>
                <w:rFonts w:ascii="Times New Roman" w:cs="Times New Roman" w:eastAsia="Times New Roman" w:hAnsi="Times New Roman"/>
                <w:sz w:val="18"/>
                <w:szCs w:val="18"/>
                <w:rtl w:val="0"/>
              </w:rPr>
              <w:t xml:space="preserve">). </w:t>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89">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D9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8A">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penetración digital es dispar entre productos y retrocede en la mayoría: dos de cada tres cuentas se contratan por canal asistido. </w:t>
            </w:r>
          </w:p>
        </w:tc>
        <w:tc>
          <w:tcPr>
            <w:tcMar>
              <w:top w:w="60.0" w:type="dxa"/>
              <w:left w:w="90.0" w:type="dxa"/>
              <w:bottom w:w="60.0" w:type="dxa"/>
              <w:right w:w="90.0" w:type="dxa"/>
            </w:tcMar>
            <w:vAlign w:val="center"/>
          </w:tcPr>
          <w:p w:rsidR="00000000" w:rsidDel="00000000" w:rsidP="00000000" w:rsidRDefault="00000000" w:rsidRPr="00000000" w14:paraId="0000028B">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E2E-3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8C">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Penetración digital de 33 % en cuentas y 50 % en tarjetas, frente a 93 % en cambio de moneda; tres de los cuatro productos retrocedieron frente al cierre de 2025 (</w:t>
            </w:r>
            <w:r w:rsidDel="00000000" w:rsidR="00000000" w:rsidRPr="00000000">
              <w:rPr>
                <w:rFonts w:ascii="Times New Roman" w:cs="Times New Roman" w:eastAsia="Times New Roman" w:hAnsi="Times New Roman"/>
                <w:sz w:val="18"/>
                <w:szCs w:val="18"/>
                <w:rtl w:val="0"/>
              </w:rPr>
              <w:t xml:space="preserve">Banco BBVA Perú, 2025, 2026f, p. 3</w:t>
            </w:r>
            <w:r w:rsidDel="00000000" w:rsidR="00000000" w:rsidRPr="00000000">
              <w:rPr>
                <w:rFonts w:ascii="Times New Roman" w:cs="Times New Roman" w:eastAsia="Times New Roman" w:hAnsi="Times New Roman"/>
                <w:sz w:val="18"/>
                <w:szCs w:val="18"/>
                <w:rtl w:val="0"/>
              </w:rPr>
              <w:t xml:space="preserve">). </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8D">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D10</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8E">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La rentabilidad se ubica por debajo del promedio de los bancos grandes del sistema.</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8F">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Transversal E2E-3</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90">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ROE de 18.7 % a junio de 2026 frente a 20.1 % del sistema bancario a mayo de 2026 (</w:t>
            </w:r>
            <w:r w:rsidDel="00000000" w:rsidR="00000000" w:rsidRPr="00000000">
              <w:rPr>
                <w:rFonts w:ascii="Times New Roman" w:cs="Times New Roman" w:eastAsia="Times New Roman" w:hAnsi="Times New Roman"/>
                <w:sz w:val="18"/>
                <w:szCs w:val="18"/>
                <w:rtl w:val="0"/>
              </w:rPr>
              <w:t xml:space="preserve">Banco BBVA Perú, 2026f, pp. 19 y 32</w:t>
            </w:r>
            <w:r w:rsidDel="00000000" w:rsidR="00000000" w:rsidRPr="00000000">
              <w:rPr>
                <w:rFonts w:ascii="Times New Roman" w:cs="Times New Roman" w:eastAsia="Times New Roman" w:hAnsi="Times New Roman"/>
                <w:sz w:val="18"/>
                <w:szCs w:val="18"/>
                <w:rtl w:val="0"/>
              </w:rPr>
              <w:t xml:space="preserve">). </w:t>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14:paraId="00000291">
            <w:pPr>
              <w:spacing w:after="0" w:line="240" w:lineRule="auto"/>
              <w:jc w:val="left"/>
              <w:rPr>
                <w:rFonts w:ascii="Times New Roman" w:cs="Times New Roman" w:eastAsia="Times New Roman" w:hAnsi="Times New Roman"/>
                <w:b w:val="1"/>
                <w:bCs w:val="1"/>
                <w:i w:val="0"/>
                <w:iCs w:val="0"/>
                <w:sz w:val="18"/>
                <w:szCs w:val="18"/>
              </w:rPr>
            </w:pPr>
            <w:r w:rsidDel="00000000" w:rsidR="00000000" w:rsidRPr="00000000">
              <w:rPr>
                <w:rFonts w:ascii="Times New Roman" w:cs="Times New Roman" w:eastAsia="Times New Roman" w:hAnsi="Times New Roman"/>
                <w:b w:val="1"/>
                <w:bCs w:val="1"/>
                <w:sz w:val="18"/>
                <w:szCs w:val="18"/>
                <w:rtl w:val="0"/>
              </w:rPr>
              <w:t xml:space="preserve">D11</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292">
            <w:pPr>
              <w:spacing w:after="0" w:line="240" w:lineRule="auto"/>
              <w:jc w:val="left"/>
              <w:rPr>
                <w:rFonts w:ascii="Times New Roman" w:cs="Times New Roman" w:eastAsia="Times New Roman" w:hAnsi="Times New Roman"/>
                <w:i w:val="0"/>
                <w:iCs w:val="0"/>
                <w:sz w:val="18"/>
                <w:szCs w:val="18"/>
              </w:rPr>
            </w:pPr>
            <w:r w:rsidDel="00000000" w:rsidR="00000000" w:rsidRPr="00000000">
              <w:rPr>
                <w:rFonts w:ascii="Times New Roman" w:cs="Times New Roman" w:eastAsia="Times New Roman" w:hAnsi="Times New Roman"/>
                <w:sz w:val="18"/>
                <w:szCs w:val="18"/>
                <w:rtl w:val="0"/>
              </w:rPr>
              <w:t xml:space="preserve">El flujo de contratación digital se interrumpe ante perfiles de solicitante no contemplados y deriva al cliente a una oficina física. </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293">
            <w:pPr>
              <w:spacing w:after="0" w:line="240" w:lineRule="auto"/>
              <w:jc w:val="left"/>
              <w:rPr>
                <w:rFonts w:ascii="Times New Roman" w:cs="Times New Roman" w:eastAsia="Times New Roman" w:hAnsi="Times New Roman"/>
                <w:i w:val="0"/>
                <w:iCs w:val="0"/>
                <w:sz w:val="18"/>
                <w:szCs w:val="18"/>
              </w:rPr>
            </w:pPr>
            <w:r w:rsidDel="00000000" w:rsidR="00000000" w:rsidRPr="00000000">
              <w:rPr>
                <w:rFonts w:ascii="Times New Roman" w:cs="Times New Roman" w:eastAsia="Times New Roman" w:hAnsi="Times New Roman"/>
                <w:sz w:val="18"/>
                <w:szCs w:val="18"/>
                <w:rtl w:val="0"/>
              </w:rPr>
              <w:t xml:space="preserve">E2E-3 </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294">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 evaluar casos borde, como usuarios menores de edad o con carné de extranjería, el sistema detiene el recorrido y deriva a oficina (A. Moquillaza, comunicación personal, 11 de setiembre de 2026). </w:t>
            </w:r>
          </w:p>
        </w:tc>
      </w:tr>
    </w:tbl>
    <w:p w:rsidR="00000000" w:rsidDel="00000000" w:rsidP="00000000" w:rsidRDefault="00000000" w:rsidRPr="00000000" w14:paraId="00000295">
      <w:pPr>
        <w:spacing w:after="22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i w:val="0"/>
          <w:iCs w:val="0"/>
          <w:rtl w:val="0"/>
        </w:rPr>
        <w:t xml:space="preserve">Elaboración propia.</w:t>
      </w:r>
      <w:r w:rsidDel="00000000" w:rsidR="00000000" w:rsidRPr="00000000">
        <w:rPr>
          <w:rtl w:val="0"/>
        </w:rPr>
      </w:r>
    </w:p>
    <w:p w:rsidR="00000000" w:rsidDel="00000000" w:rsidP="00000000" w:rsidRDefault="00000000" w:rsidRPr="00000000" w14:paraId="00000296">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heading=h.nrgrj4r1z3o5" w:id="21"/>
      <w:bookmarkEnd w:id="21"/>
      <w:r w:rsidDel="00000000" w:rsidR="00000000" w:rsidRPr="00000000">
        <w:rPr>
          <w:rFonts w:ascii="Times New Roman" w:cs="Times New Roman" w:eastAsia="Times New Roman" w:hAnsi="Times New Roman"/>
          <w:b w:val="1"/>
          <w:bCs w:val="1"/>
          <w:sz w:val="22"/>
          <w:szCs w:val="22"/>
          <w:rtl w:val="0"/>
        </w:rPr>
        <w:t xml:space="preserve">Criterios y escala de evaluación</w:t>
      </w:r>
    </w:p>
    <w:p w:rsidR="00000000" w:rsidDel="00000000" w:rsidP="00000000" w:rsidRDefault="00000000" w:rsidRPr="00000000" w14:paraId="00000297">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Los seis criterios exigidos por el enunciado se operacionalizan en la Tabla 19. La ponderación asignada refleja el propósito del plan estratégico de sistemas de información: se privilegia el impacto estratégico porque un dolor que no compromete un objetivo declarado no justifica inversión tecnológica, y se otorga peso equivalente al impacto económico y al impacto en la experiencia, que son las dos vías por las que un dolor destruye valor. La viabilidad tecnológica opera como filtro de realismo, mientras </w:t>
      </w:r>
      <w:r w:rsidDel="00000000" w:rsidR="00000000" w:rsidRPr="00000000">
        <w:rPr>
          <w:rFonts w:ascii="Times New Roman" w:cs="Times New Roman" w:eastAsia="Times New Roman" w:hAnsi="Times New Roman"/>
          <w:rtl w:val="0"/>
        </w:rPr>
        <w:t xml:space="preserve">que la urgencia</w:t>
      </w:r>
      <w:r w:rsidDel="00000000" w:rsidR="00000000" w:rsidRPr="00000000">
        <w:rPr>
          <w:rFonts w:ascii="Times New Roman" w:cs="Times New Roman" w:eastAsia="Times New Roman" w:hAnsi="Times New Roman"/>
          <w:i w:val="0"/>
          <w:iCs w:val="0"/>
          <w:rtl w:val="0"/>
        </w:rPr>
        <w:t xml:space="preserve"> y medición modulan la secuencia de atención sin alterar sustantivamente la jerarquía.</w:t>
      </w:r>
      <w:r w:rsidDel="00000000" w:rsidR="00000000" w:rsidRPr="00000000">
        <w:rPr>
          <w:rtl w:val="0"/>
        </w:rPr>
      </w:r>
    </w:p>
    <w:p w:rsidR="00000000" w:rsidDel="00000000" w:rsidP="00000000" w:rsidRDefault="00000000" w:rsidRPr="00000000" w14:paraId="00000298">
      <w:pPr>
        <w:spacing w:after="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19</w:t>
      </w:r>
      <w:r w:rsidDel="00000000" w:rsidR="00000000" w:rsidRPr="00000000">
        <w:rPr>
          <w:rtl w:val="0"/>
        </w:rPr>
      </w:r>
    </w:p>
    <w:p w:rsidR="00000000" w:rsidDel="00000000" w:rsidP="00000000" w:rsidRDefault="00000000" w:rsidRPr="00000000" w14:paraId="00000299">
      <w:pP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Criterios de evaluación, pregunta orientadora y ponderación</w:t>
      </w:r>
      <w:r w:rsidDel="00000000" w:rsidR="00000000" w:rsidRPr="00000000">
        <w:rPr>
          <w:rtl w:val="0"/>
        </w:rPr>
      </w:r>
    </w:p>
    <w:tbl>
      <w:tblPr>
        <w:tblStyle w:val="Table19"/>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700"/>
        <w:gridCol w:w="2500"/>
        <w:gridCol w:w="700"/>
        <w:gridCol w:w="4126"/>
        <w:tblGridChange w:id="0">
          <w:tblGrid>
            <w:gridCol w:w="1700"/>
            <w:gridCol w:w="2500"/>
            <w:gridCol w:w="700"/>
            <w:gridCol w:w="4126"/>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29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Criterio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9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Pregunta orientadora</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9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Peso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9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Escala de calificación (1 a 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9E">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Impacto estratégico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9F">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¿El dolor afecta objetivos clave del negocio?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A0">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25 %</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A1">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1: no se vincula a ningún objetivo. 5: compromete dos o más prioridades del ciclo 2025-2029.</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A2">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Impacto económico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A3">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¿Genera pérdida de ingresos o sobrecostos?</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A4">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20 %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A5">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1: efecto económico no identificable. 5: pérdida o sobrecosto material y recurrente.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A6">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Impacto en experiencia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A7">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¿Afecta al cliente?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A8">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20 %</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A9">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1: imperceptible para el cliente. 5: afecta directamente su satisfacción o permanencia.</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AA">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Viabilidad tecnológica</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AB">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¿Puede abordarse con datos, sistemas y automatización?</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AC">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15 %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AD">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1: requiere capacidades inexistentes. 5: abordable con la plataforma y los datos ya disponibles.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AE">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Urgencia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AF">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¿Es un problema relevante para la dirección?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B0">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10 %</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B1">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1: sin presión temporal. 5: exposición regulatoria o competitiva inmediata.</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B2">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Medición</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B3">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¿Se puede medir antes y después?</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B4">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10 %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B5">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1: sin indicador disponible ni construible. 5: indicador con línea base pública y medición periódica.</w:t>
            </w:r>
            <w:r w:rsidDel="00000000" w:rsidR="00000000" w:rsidRPr="00000000">
              <w:rPr>
                <w:rtl w:val="0"/>
              </w:rPr>
            </w:r>
          </w:p>
        </w:tc>
      </w:tr>
    </w:tbl>
    <w:p w:rsidR="00000000" w:rsidDel="00000000" w:rsidP="00000000" w:rsidRDefault="00000000" w:rsidRPr="00000000" w14:paraId="000002B6">
      <w:pPr>
        <w:spacing w:after="22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i w:val="0"/>
          <w:iCs w:val="0"/>
          <w:rtl w:val="0"/>
        </w:rPr>
        <w:t xml:space="preserve">Elaboración propia sobre la base de los criterios establecidos en el enunciado del trabajo del curso.</w:t>
      </w:r>
      <w:r w:rsidDel="00000000" w:rsidR="00000000" w:rsidRPr="00000000">
        <w:rPr>
          <w:rtl w:val="0"/>
        </w:rPr>
      </w:r>
    </w:p>
    <w:p w:rsidR="00000000" w:rsidDel="00000000" w:rsidP="00000000" w:rsidRDefault="00000000" w:rsidRPr="00000000" w14:paraId="000002B7">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heading=h.i2ro92yvyk1r" w:id="22"/>
      <w:bookmarkEnd w:id="22"/>
      <w:r w:rsidDel="00000000" w:rsidR="00000000" w:rsidRPr="00000000">
        <w:rPr>
          <w:rFonts w:ascii="Times New Roman" w:cs="Times New Roman" w:eastAsia="Times New Roman" w:hAnsi="Times New Roman"/>
          <w:b w:val="1"/>
          <w:bCs w:val="1"/>
          <w:sz w:val="22"/>
          <w:szCs w:val="22"/>
          <w:rtl w:val="0"/>
        </w:rPr>
        <w:t xml:space="preserve">Matriz de priorización</w:t>
      </w:r>
    </w:p>
    <w:p w:rsidR="00000000" w:rsidDel="00000000" w:rsidP="00000000" w:rsidRDefault="00000000" w:rsidRPr="00000000" w14:paraId="000002B8">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La Tabla 20 presenta la calificación de cada dolor en los seis criterios y el puntaje ponderado resultante. La calificación constituye un juicio del equipo fundamentado en la evidencia consignada en la Tabla 18; no se trata de una medición efectuada por la entidad.</w:t>
      </w:r>
      <w:r w:rsidDel="00000000" w:rsidR="00000000" w:rsidRPr="00000000">
        <w:rPr>
          <w:rtl w:val="0"/>
        </w:rPr>
      </w:r>
    </w:p>
    <w:p w:rsidR="00000000" w:rsidDel="00000000" w:rsidP="00000000" w:rsidRDefault="00000000" w:rsidRPr="00000000" w14:paraId="000002B9">
      <w:pPr>
        <w:spacing w:after="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20</w:t>
      </w:r>
      <w:r w:rsidDel="00000000" w:rsidR="00000000" w:rsidRPr="00000000">
        <w:rPr>
          <w:rtl w:val="0"/>
        </w:rPr>
      </w:r>
    </w:p>
    <w:p w:rsidR="00000000" w:rsidDel="00000000" w:rsidP="00000000" w:rsidRDefault="00000000" w:rsidRPr="00000000" w14:paraId="000002BA">
      <w:pP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Matriz de priorización de los dolores de negocio</w:t>
      </w:r>
      <w:r w:rsidDel="00000000" w:rsidR="00000000" w:rsidRPr="00000000">
        <w:rPr>
          <w:rtl w:val="0"/>
        </w:rPr>
      </w:r>
    </w:p>
    <w:tbl>
      <w:tblPr>
        <w:tblStyle w:val="Table20"/>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850"/>
        <w:gridCol w:w="950"/>
        <w:gridCol w:w="950"/>
        <w:gridCol w:w="1200"/>
        <w:gridCol w:w="1000"/>
        <w:gridCol w:w="900"/>
        <w:gridCol w:w="900"/>
        <w:gridCol w:w="1050"/>
        <w:gridCol w:w="1226"/>
        <w:tblGridChange w:id="0">
          <w:tblGrid>
            <w:gridCol w:w="850"/>
            <w:gridCol w:w="950"/>
            <w:gridCol w:w="950"/>
            <w:gridCol w:w="1200"/>
            <w:gridCol w:w="1000"/>
            <w:gridCol w:w="900"/>
            <w:gridCol w:w="900"/>
            <w:gridCol w:w="1050"/>
            <w:gridCol w:w="1226"/>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2B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Dolor</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B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Impacto</w:t>
            </w:r>
            <w:r w:rsidDel="00000000" w:rsidR="00000000" w:rsidRPr="00000000">
              <w:rPr>
                <w:rtl w:val="0"/>
              </w:rPr>
            </w:r>
          </w:p>
          <w:p w:rsidR="00000000" w:rsidDel="00000000" w:rsidP="00000000" w:rsidRDefault="00000000" w:rsidRPr="00000000" w14:paraId="000002B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estratégico</w:t>
            </w:r>
            <w:r w:rsidDel="00000000" w:rsidR="00000000" w:rsidRPr="00000000">
              <w:rPr>
                <w:rtl w:val="0"/>
              </w:rPr>
            </w:r>
          </w:p>
          <w:p w:rsidR="00000000" w:rsidDel="00000000" w:rsidP="00000000" w:rsidRDefault="00000000" w:rsidRPr="00000000" w14:paraId="000002B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(25 %)</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B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Impacto</w:t>
            </w:r>
            <w:r w:rsidDel="00000000" w:rsidR="00000000" w:rsidRPr="00000000">
              <w:rPr>
                <w:rtl w:val="0"/>
              </w:rPr>
            </w:r>
          </w:p>
          <w:p w:rsidR="00000000" w:rsidDel="00000000" w:rsidP="00000000" w:rsidRDefault="00000000" w:rsidRPr="00000000" w14:paraId="000002C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económico</w:t>
            </w:r>
            <w:r w:rsidDel="00000000" w:rsidR="00000000" w:rsidRPr="00000000">
              <w:rPr>
                <w:rtl w:val="0"/>
              </w:rPr>
            </w:r>
          </w:p>
          <w:p w:rsidR="00000000" w:rsidDel="00000000" w:rsidP="00000000" w:rsidRDefault="00000000" w:rsidRPr="00000000" w14:paraId="000002C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(20 %)</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C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Impacto en</w:t>
            </w:r>
            <w:r w:rsidDel="00000000" w:rsidR="00000000" w:rsidRPr="00000000">
              <w:rPr>
                <w:rtl w:val="0"/>
              </w:rPr>
            </w:r>
          </w:p>
          <w:p w:rsidR="00000000" w:rsidDel="00000000" w:rsidP="00000000" w:rsidRDefault="00000000" w:rsidRPr="00000000" w14:paraId="000002C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experiencia</w:t>
            </w:r>
            <w:r w:rsidDel="00000000" w:rsidR="00000000" w:rsidRPr="00000000">
              <w:rPr>
                <w:rtl w:val="0"/>
              </w:rPr>
            </w:r>
          </w:p>
          <w:p w:rsidR="00000000" w:rsidDel="00000000" w:rsidP="00000000" w:rsidRDefault="00000000" w:rsidRPr="00000000" w14:paraId="000002C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(20 %)</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C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Viabilidad</w:t>
            </w:r>
            <w:r w:rsidDel="00000000" w:rsidR="00000000" w:rsidRPr="00000000">
              <w:rPr>
                <w:rtl w:val="0"/>
              </w:rPr>
            </w:r>
          </w:p>
          <w:p w:rsidR="00000000" w:rsidDel="00000000" w:rsidP="00000000" w:rsidRDefault="00000000" w:rsidRPr="00000000" w14:paraId="000002C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tecnológica</w:t>
            </w:r>
            <w:r w:rsidDel="00000000" w:rsidR="00000000" w:rsidRPr="00000000">
              <w:rPr>
                <w:rtl w:val="0"/>
              </w:rPr>
            </w:r>
          </w:p>
          <w:p w:rsidR="00000000" w:rsidDel="00000000" w:rsidP="00000000" w:rsidRDefault="00000000" w:rsidRPr="00000000" w14:paraId="000002C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(15 %)</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C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Urgencia</w:t>
            </w:r>
            <w:r w:rsidDel="00000000" w:rsidR="00000000" w:rsidRPr="00000000">
              <w:rPr>
                <w:rtl w:val="0"/>
              </w:rPr>
            </w:r>
          </w:p>
          <w:p w:rsidR="00000000" w:rsidDel="00000000" w:rsidP="00000000" w:rsidRDefault="00000000" w:rsidRPr="00000000" w14:paraId="000002C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(10 %)</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C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Medición</w:t>
            </w:r>
            <w:r w:rsidDel="00000000" w:rsidR="00000000" w:rsidRPr="00000000">
              <w:rPr>
                <w:rtl w:val="0"/>
              </w:rPr>
            </w:r>
          </w:p>
          <w:p w:rsidR="00000000" w:rsidDel="00000000" w:rsidP="00000000" w:rsidRDefault="00000000" w:rsidRPr="00000000" w14:paraId="000002C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(10 %)</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C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Puntaje</w:t>
            </w:r>
            <w:r w:rsidDel="00000000" w:rsidR="00000000" w:rsidRPr="00000000">
              <w:rPr>
                <w:rtl w:val="0"/>
              </w:rPr>
            </w:r>
          </w:p>
          <w:p w:rsidR="00000000" w:rsidDel="00000000" w:rsidP="00000000" w:rsidRDefault="00000000" w:rsidRPr="00000000" w14:paraId="000002C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ponderado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C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Orden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C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D1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D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D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D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D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D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D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D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4.70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D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1.º</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D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D5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D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D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D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D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D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D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D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4.55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E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2.º</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E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D7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4.50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3.º</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E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D9</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E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E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E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E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E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3</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F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F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4.40</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F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4.º</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F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F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Mar>
              <w:top w:w="60.0" w:type="dxa"/>
              <w:left w:w="90.0" w:type="dxa"/>
              <w:bottom w:w="60.0" w:type="dxa"/>
              <w:right w:w="90.0" w:type="dxa"/>
            </w:tcMar>
            <w:vAlign w:val="center"/>
          </w:tcPr>
          <w:p w:rsidR="00000000" w:rsidDel="00000000" w:rsidP="00000000" w:rsidRDefault="00000000" w:rsidRPr="00000000" w14:paraId="000002F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Mar>
              <w:top w:w="60.0" w:type="dxa"/>
              <w:left w:w="90.0" w:type="dxa"/>
              <w:bottom w:w="60.0" w:type="dxa"/>
              <w:right w:w="90.0" w:type="dxa"/>
            </w:tcMar>
            <w:vAlign w:val="center"/>
          </w:tcPr>
          <w:p w:rsidR="00000000" w:rsidDel="00000000" w:rsidP="00000000" w:rsidRDefault="00000000" w:rsidRPr="00000000" w14:paraId="000002F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Mar>
              <w:top w:w="60.0" w:type="dxa"/>
              <w:left w:w="90.0" w:type="dxa"/>
              <w:bottom w:w="60.0" w:type="dxa"/>
              <w:right w:w="90.0" w:type="dxa"/>
            </w:tcMar>
            <w:vAlign w:val="center"/>
          </w:tcPr>
          <w:p w:rsidR="00000000" w:rsidDel="00000000" w:rsidP="00000000" w:rsidRDefault="00000000" w:rsidRPr="00000000" w14:paraId="000002F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Mar>
              <w:top w:w="60.0" w:type="dxa"/>
              <w:left w:w="90.0" w:type="dxa"/>
              <w:bottom w:w="60.0" w:type="dxa"/>
              <w:right w:w="90.0" w:type="dxa"/>
            </w:tcMar>
            <w:vAlign w:val="center"/>
          </w:tcPr>
          <w:p w:rsidR="00000000" w:rsidDel="00000000" w:rsidP="00000000" w:rsidRDefault="00000000" w:rsidRPr="00000000" w14:paraId="000002F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Mar>
              <w:top w:w="60.0" w:type="dxa"/>
              <w:left w:w="90.0" w:type="dxa"/>
              <w:bottom w:w="60.0" w:type="dxa"/>
              <w:right w:w="90.0" w:type="dxa"/>
            </w:tcMar>
            <w:vAlign w:val="center"/>
          </w:tcPr>
          <w:p w:rsidR="00000000" w:rsidDel="00000000" w:rsidP="00000000" w:rsidRDefault="00000000" w:rsidRPr="00000000" w14:paraId="000002F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Mar>
              <w:top w:w="60.0" w:type="dxa"/>
              <w:left w:w="90.0" w:type="dxa"/>
              <w:bottom w:w="60.0" w:type="dxa"/>
              <w:right w:w="90.0" w:type="dxa"/>
            </w:tcMar>
            <w:vAlign w:val="center"/>
          </w:tcPr>
          <w:p w:rsidR="00000000" w:rsidDel="00000000" w:rsidP="00000000" w:rsidRDefault="00000000" w:rsidRPr="00000000" w14:paraId="000002F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4.10</w:t>
            </w:r>
          </w:p>
        </w:tc>
        <w:tc>
          <w:tcPr>
            <w:tcMar>
              <w:top w:w="60.0" w:type="dxa"/>
              <w:left w:w="90.0" w:type="dxa"/>
              <w:bottom w:w="60.0" w:type="dxa"/>
              <w:right w:w="90.0" w:type="dxa"/>
            </w:tcMar>
            <w:vAlign w:val="center"/>
          </w:tcPr>
          <w:p w:rsidR="00000000" w:rsidDel="00000000" w:rsidP="00000000" w:rsidRDefault="00000000" w:rsidRPr="00000000" w14:paraId="000002F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5.º</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FC">
            <w:pP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D11</w:t>
            </w:r>
          </w:p>
        </w:tc>
        <w:tc>
          <w:tcPr>
            <w:shd w:fill="f2f5fa" w:val="clear"/>
            <w:tcMar>
              <w:top w:w="60.0" w:type="dxa"/>
              <w:left w:w="90.0" w:type="dxa"/>
              <w:bottom w:w="60.0" w:type="dxa"/>
              <w:right w:w="90.0" w:type="dxa"/>
            </w:tcMar>
            <w:vAlign w:val="center"/>
          </w:tcPr>
          <w:p w:rsidR="00000000" w:rsidDel="00000000" w:rsidP="00000000" w:rsidRDefault="00000000" w:rsidRPr="00000000" w14:paraId="000002F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shd w:fill="f2f5fa" w:val="clear"/>
            <w:tcMar>
              <w:top w:w="60.0" w:type="dxa"/>
              <w:left w:w="90.0" w:type="dxa"/>
              <w:bottom w:w="60.0" w:type="dxa"/>
              <w:right w:w="90.0" w:type="dxa"/>
            </w:tcMar>
            <w:vAlign w:val="center"/>
          </w:tcPr>
          <w:p w:rsidR="00000000" w:rsidDel="00000000" w:rsidP="00000000" w:rsidRDefault="00000000" w:rsidRPr="00000000" w14:paraId="000002F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shd w:fill="f2f5fa" w:val="clear"/>
            <w:tcMar>
              <w:top w:w="60.0" w:type="dxa"/>
              <w:left w:w="90.0" w:type="dxa"/>
              <w:bottom w:w="60.0" w:type="dxa"/>
              <w:right w:w="90.0" w:type="dxa"/>
            </w:tcMar>
            <w:vAlign w:val="center"/>
          </w:tcPr>
          <w:p w:rsidR="00000000" w:rsidDel="00000000" w:rsidP="00000000" w:rsidRDefault="00000000" w:rsidRPr="00000000" w14:paraId="000002F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shd w:fill="f2f5fa" w:val="clear"/>
            <w:tcMar>
              <w:top w:w="60.0" w:type="dxa"/>
              <w:left w:w="90.0" w:type="dxa"/>
              <w:bottom w:w="60.0" w:type="dxa"/>
              <w:right w:w="90.0" w:type="dxa"/>
            </w:tcMar>
            <w:vAlign w:val="center"/>
          </w:tcPr>
          <w:p w:rsidR="00000000" w:rsidDel="00000000" w:rsidP="00000000" w:rsidRDefault="00000000" w:rsidRPr="00000000" w14:paraId="0000030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shd w:fill="f2f5fa" w:val="clear"/>
            <w:tcMar>
              <w:top w:w="60.0" w:type="dxa"/>
              <w:left w:w="90.0" w:type="dxa"/>
              <w:bottom w:w="60.0" w:type="dxa"/>
              <w:right w:w="90.0" w:type="dxa"/>
            </w:tcMar>
            <w:vAlign w:val="center"/>
          </w:tcPr>
          <w:p w:rsidR="00000000" w:rsidDel="00000000" w:rsidP="00000000" w:rsidRDefault="00000000" w:rsidRPr="00000000" w14:paraId="0000030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shd w:fill="f2f5fa" w:val="clear"/>
            <w:tcMar>
              <w:top w:w="60.0" w:type="dxa"/>
              <w:left w:w="90.0" w:type="dxa"/>
              <w:bottom w:w="60.0" w:type="dxa"/>
              <w:right w:w="90.0" w:type="dxa"/>
            </w:tcMar>
            <w:vAlign w:val="center"/>
          </w:tcPr>
          <w:p w:rsidR="00000000" w:rsidDel="00000000" w:rsidP="00000000" w:rsidRDefault="00000000" w:rsidRPr="00000000" w14:paraId="0000030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shd w:fill="f2f5fa" w:val="clear"/>
            <w:tcMar>
              <w:top w:w="60.0" w:type="dxa"/>
              <w:left w:w="90.0" w:type="dxa"/>
              <w:bottom w:w="60.0" w:type="dxa"/>
              <w:right w:w="90.0" w:type="dxa"/>
            </w:tcMar>
            <w:vAlign w:val="center"/>
          </w:tcPr>
          <w:p w:rsidR="00000000" w:rsidDel="00000000" w:rsidP="00000000" w:rsidRDefault="00000000" w:rsidRPr="00000000" w14:paraId="0000030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4.05</w:t>
            </w:r>
          </w:p>
        </w:tc>
        <w:tc>
          <w:tcPr>
            <w:shd w:fill="f2f5fa" w:val="clear"/>
            <w:tcMar>
              <w:top w:w="60.0" w:type="dxa"/>
              <w:left w:w="90.0" w:type="dxa"/>
              <w:bottom w:w="60.0" w:type="dxa"/>
              <w:right w:w="90.0" w:type="dxa"/>
            </w:tcMar>
            <w:vAlign w:val="center"/>
          </w:tcPr>
          <w:p w:rsidR="00000000" w:rsidDel="00000000" w:rsidP="00000000" w:rsidRDefault="00000000" w:rsidRPr="00000000" w14:paraId="0000030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6.º</w:t>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14:paraId="0000030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D8</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30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30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30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30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30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30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30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4.00</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30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Fonts w:ascii="Times New Roman" w:cs="Times New Roman" w:eastAsia="Times New Roman" w:hAnsi="Times New Roman"/>
                <w:i w:val="0"/>
                <w:iCs w:val="0"/>
                <w:sz w:val="18"/>
                <w:szCs w:val="18"/>
                <w:rtl w:val="0"/>
              </w:rPr>
              <w:t xml:space="preserve">.º</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30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D6</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0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1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1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1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3</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1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1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1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3.95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1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Fonts w:ascii="Times New Roman" w:cs="Times New Roman" w:eastAsia="Times New Roman" w:hAnsi="Times New Roman"/>
                <w:i w:val="0"/>
                <w:iCs w:val="0"/>
                <w:sz w:val="18"/>
                <w:szCs w:val="18"/>
                <w:rtl w:val="0"/>
              </w:rPr>
              <w:t xml:space="preserve">.º</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14:paraId="0000031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D4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31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31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5</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31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2</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31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31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31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5</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31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3.90</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31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Fonts w:ascii="Times New Roman" w:cs="Times New Roman" w:eastAsia="Times New Roman" w:hAnsi="Times New Roman"/>
                <w:i w:val="0"/>
                <w:iCs w:val="0"/>
                <w:sz w:val="18"/>
                <w:szCs w:val="18"/>
                <w:rtl w:val="0"/>
              </w:rPr>
              <w:t xml:space="preserve">.º</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32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D3</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2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2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2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2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2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3</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2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3</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2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3.80</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2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Fonts w:ascii="Times New Roman" w:cs="Times New Roman" w:eastAsia="Times New Roman" w:hAnsi="Times New Roman"/>
                <w:i w:val="0"/>
                <w:iCs w:val="0"/>
                <w:sz w:val="18"/>
                <w:szCs w:val="18"/>
                <w:rtl w:val="0"/>
              </w:rPr>
              <w:t xml:space="preserve">.º</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14:paraId="0000032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D10</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32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32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5</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32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1</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32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2</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32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32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33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3.30</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33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1</w:t>
            </w: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i w:val="0"/>
                <w:iCs w:val="0"/>
                <w:sz w:val="18"/>
                <w:szCs w:val="18"/>
                <w:rtl w:val="0"/>
              </w:rPr>
              <w:t xml:space="preserve">.º</w:t>
            </w:r>
            <w:r w:rsidDel="00000000" w:rsidR="00000000" w:rsidRPr="00000000">
              <w:rPr>
                <w:rtl w:val="0"/>
              </w:rPr>
            </w:r>
          </w:p>
        </w:tc>
      </w:tr>
    </w:tbl>
    <w:p w:rsidR="00000000" w:rsidDel="00000000" w:rsidP="00000000" w:rsidRDefault="00000000" w:rsidRPr="00000000" w14:paraId="00000332">
      <w:pPr>
        <w:spacing w:after="22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i w:val="0"/>
          <w:iCs w:val="0"/>
          <w:rtl w:val="0"/>
        </w:rPr>
        <w:t xml:space="preserve">Elaboración propia. El puntaje ponderado se obtiene como la suma del producto de cada calificación por el peso del criterio correspondiente definido en la Tabla 19.</w:t>
      </w:r>
      <w:r w:rsidDel="00000000" w:rsidR="00000000" w:rsidRPr="00000000">
        <w:rPr>
          <w:rtl w:val="0"/>
        </w:rPr>
      </w:r>
    </w:p>
    <w:p w:rsidR="00000000" w:rsidDel="00000000" w:rsidP="00000000" w:rsidRDefault="00000000" w:rsidRPr="00000000" w14:paraId="00000333">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heading=h.cqdvxkhxfzrd" w:id="23"/>
      <w:bookmarkEnd w:id="23"/>
      <w:r w:rsidDel="00000000" w:rsidR="00000000" w:rsidRPr="00000000">
        <w:rPr>
          <w:rFonts w:ascii="Times New Roman" w:cs="Times New Roman" w:eastAsia="Times New Roman" w:hAnsi="Times New Roman"/>
          <w:b w:val="1"/>
          <w:bCs w:val="1"/>
          <w:sz w:val="22"/>
          <w:szCs w:val="22"/>
          <w:rtl w:val="0"/>
        </w:rPr>
        <w:t xml:space="preserve">Resultado de la priorización</w:t>
      </w:r>
    </w:p>
    <w:p w:rsidR="00000000" w:rsidDel="00000000" w:rsidP="00000000" w:rsidRDefault="00000000" w:rsidRPr="00000000" w14:paraId="00000334">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La matriz ordena los </w:t>
      </w:r>
      <w:r w:rsidDel="00000000" w:rsidR="00000000" w:rsidRPr="00000000">
        <w:rPr>
          <w:rFonts w:ascii="Times New Roman" w:cs="Times New Roman" w:eastAsia="Times New Roman" w:hAnsi="Times New Roman"/>
          <w:rtl w:val="0"/>
        </w:rPr>
        <w:t xml:space="preserve">once</w:t>
      </w:r>
      <w:r w:rsidDel="00000000" w:rsidR="00000000" w:rsidRPr="00000000">
        <w:rPr>
          <w:rFonts w:ascii="Times New Roman" w:cs="Times New Roman" w:eastAsia="Times New Roman" w:hAnsi="Times New Roman"/>
          <w:i w:val="0"/>
          <w:iCs w:val="0"/>
          <w:rtl w:val="0"/>
        </w:rPr>
        <w:t xml:space="preserve"> dolores en tres bloques claramente diferenciados. Un primer bloque de alta prioridad, con puntajes entre 4.40 y 4.70, reúne a D1, D5, D7 y D9: son dolores que comprometen simultáneamente objetivos estratégicos, resultado económico y experiencia del cliente, y que además resultan abordables con la plataforma de datos e inteligencia artificial ya desplegada. Un segundo bloque, entre 3.90 y 4.10, agrupa dolores relevantes cuya atención depende de resolver primero los del primer bloque. </w:t>
      </w:r>
      <w:r w:rsidDel="00000000" w:rsidR="00000000" w:rsidRPr="00000000">
        <w:rPr>
          <w:rFonts w:ascii="Times New Roman" w:cs="Times New Roman" w:eastAsia="Times New Roman" w:hAnsi="Times New Roman"/>
          <w:rtl w:val="0"/>
        </w:rPr>
        <w:t xml:space="preserve">Finalmente, el dolor D10 queda en último lugar: aunque su impacto económico es máximo, se trata de un efecto agregado antes que de un dolor de proceso, y su viabilidad tecnológica directa es baja.</w:t>
      </w:r>
    </w:p>
    <w:p w:rsidR="00000000" w:rsidDel="00000000" w:rsidP="00000000" w:rsidRDefault="00000000" w:rsidRPr="00000000" w14:paraId="00000335">
      <w:pPr>
        <w:spacing w:after="120" w:before="0" w:line="360" w:lineRule="auto"/>
        <w:jc w:val="both"/>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Los dolores D5 y D7 pertenecen al mismo proceso extremo a extremo y guardan una relación de causa y efecto: el dolor D7 describe la debilidad operativa en la resolución del reclamo, y el dolor D5, su consecuencia sancionatoria. Tra</w:t>
      </w:r>
      <w:r w:rsidDel="00000000" w:rsidR="00000000" w:rsidRPr="00000000">
        <w:rPr>
          <w:rFonts w:ascii="Times New Roman" w:cs="Times New Roman" w:eastAsia="Times New Roman" w:hAnsi="Times New Roman"/>
          <w:i w:val="0"/>
          <w:iCs w:val="0"/>
          <w:rtl w:val="0"/>
        </w:rPr>
        <w:t xml:space="preserve">tarlos como dos dolores críticos independientes conduciría a formular dos veces la misma iniciativa. Por ello se consolidan en un único dolor crítico, conservando el puntaje del componente de mayor calificación, y se incorpora D9 como tercer dolor crítico. Este criterio se declara de forma explícita porque modifica la selección respecto del orden estricto de la matriz.</w:t>
      </w:r>
    </w:p>
    <w:p w:rsidR="00000000" w:rsidDel="00000000" w:rsidP="00000000" w:rsidRDefault="00000000" w:rsidRPr="00000000" w14:paraId="00000336">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criterio equivalente se aplica al proceso E2E-3. Los dolores D9 y D11 describen el mismo fenómeno en dos niveles: el primero mide el resultado agregado y el segundo identifica uno de los mecanismos que lo producen. Por ello se consolidan en un único dolor crítico, conservando el puntaje del componente de mayor calificación. </w:t>
      </w:r>
    </w:p>
    <w:p w:rsidR="00000000" w:rsidDel="00000000" w:rsidP="00000000" w:rsidRDefault="00000000" w:rsidRPr="00000000" w14:paraId="00000337">
      <w:pPr>
        <w:pStyle w:val="Heading1"/>
        <w:numPr>
          <w:ilvl w:val="0"/>
          <w:numId w:val="1"/>
        </w:numPr>
        <w:ind w:left="566.9291338582675" w:hanging="360"/>
        <w:rPr>
          <w:rFonts w:ascii="Times New Roman" w:cs="Times New Roman" w:eastAsia="Times New Roman" w:hAnsi="Times New Roman"/>
          <w:b w:val="1"/>
          <w:bCs w:val="1"/>
        </w:rPr>
      </w:pPr>
      <w:bookmarkStart w:colFirst="0" w:colLast="0" w:name="_heading=h.2inxw94q36y" w:id="24"/>
      <w:bookmarkEnd w:id="24"/>
      <w:r w:rsidDel="00000000" w:rsidR="00000000" w:rsidRPr="00000000">
        <w:rPr>
          <w:rFonts w:ascii="Times New Roman" w:cs="Times New Roman" w:eastAsia="Times New Roman" w:hAnsi="Times New Roman"/>
          <w:b w:val="1"/>
          <w:bCs w:val="1"/>
          <w:sz w:val="22"/>
          <w:szCs w:val="22"/>
          <w:rtl w:val="0"/>
        </w:rPr>
        <w:t xml:space="preserve">Alineamiento estratégico del dolor priorizado</w:t>
      </w:r>
    </w:p>
    <w:p w:rsidR="00000000" w:rsidDel="00000000" w:rsidP="00000000" w:rsidRDefault="00000000" w:rsidRPr="00000000" w14:paraId="00000338">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heading=h.dopb11j5t37n" w:id="25"/>
      <w:bookmarkEnd w:id="25"/>
      <w:r w:rsidDel="00000000" w:rsidR="00000000" w:rsidRPr="00000000">
        <w:rPr>
          <w:rFonts w:ascii="Times New Roman" w:cs="Times New Roman" w:eastAsia="Times New Roman" w:hAnsi="Times New Roman"/>
          <w:b w:val="1"/>
          <w:bCs w:val="1"/>
          <w:sz w:val="22"/>
          <w:szCs w:val="22"/>
          <w:rtl w:val="0"/>
        </w:rPr>
        <w:t xml:space="preserve">Selección de los tres dolores críticos</w:t>
      </w:r>
    </w:p>
    <w:p w:rsidR="00000000" w:rsidDel="00000000" w:rsidP="00000000" w:rsidRDefault="00000000" w:rsidRPr="00000000" w14:paraId="00000339">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Aplicando el resultado de la matriz y la regla de no redundancia, se seleccionan los tres dolores críticos que se detallan en la Tabla 21. Los tres cubren procesos extremo a extremo distintos, lo que evita que el plan estratégico de sistemas de información concentre toda su capacidad de intervención en un solo frente.</w:t>
      </w:r>
      <w:r w:rsidDel="00000000" w:rsidR="00000000" w:rsidRPr="00000000">
        <w:rPr>
          <w:rtl w:val="0"/>
        </w:rPr>
      </w:r>
    </w:p>
    <w:p w:rsidR="00000000" w:rsidDel="00000000" w:rsidP="00000000" w:rsidRDefault="00000000" w:rsidRPr="00000000" w14:paraId="0000033A">
      <w:pPr>
        <w:spacing w:after="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21</w:t>
      </w:r>
      <w:r w:rsidDel="00000000" w:rsidR="00000000" w:rsidRPr="00000000">
        <w:rPr>
          <w:rtl w:val="0"/>
        </w:rPr>
      </w:r>
    </w:p>
    <w:p w:rsidR="00000000" w:rsidDel="00000000" w:rsidP="00000000" w:rsidRDefault="00000000" w:rsidRPr="00000000" w14:paraId="0000033B">
      <w:pP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Dolores críticos seleccionados</w:t>
      </w:r>
      <w:r w:rsidDel="00000000" w:rsidR="00000000" w:rsidRPr="00000000">
        <w:rPr>
          <w:rtl w:val="0"/>
        </w:rPr>
      </w:r>
    </w:p>
    <w:tbl>
      <w:tblPr>
        <w:tblStyle w:val="Table21"/>
        <w:tblW w:w="9015.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900"/>
        <w:gridCol w:w="5805"/>
        <w:gridCol w:w="1380"/>
        <w:gridCol w:w="930"/>
        <w:tblGridChange w:id="0">
          <w:tblGrid>
            <w:gridCol w:w="900"/>
            <w:gridCol w:w="5805"/>
            <w:gridCol w:w="1380"/>
            <w:gridCol w:w="93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33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Código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33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Denominación del dolor crítico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33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Proceso E2E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33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Puntaje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40">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DC1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41">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Baja digitalización de la originación de crédito Pyme: </w:t>
            </w:r>
            <w:r w:rsidDel="00000000" w:rsidR="00000000" w:rsidRPr="00000000">
              <w:rPr>
                <w:rFonts w:ascii="Times New Roman" w:cs="Times New Roman" w:eastAsia="Times New Roman" w:hAnsi="Times New Roman"/>
                <w:sz w:val="18"/>
                <w:szCs w:val="18"/>
                <w:rtl w:val="0"/>
              </w:rPr>
              <w:t xml:space="preserve">el canal digital representa solo un tercio de los créditos otorgados, pese a resolver la operación en tres minutos promedio. </w:t>
            </w:r>
          </w:p>
        </w:tc>
        <w:tc>
          <w:tcPr>
            <w:tcMar>
              <w:top w:w="60.0" w:type="dxa"/>
              <w:left w:w="90.0" w:type="dxa"/>
              <w:bottom w:w="60.0" w:type="dxa"/>
              <w:right w:w="90.0" w:type="dxa"/>
            </w:tcMar>
            <w:vAlign w:val="center"/>
          </w:tcPr>
          <w:p w:rsidR="00000000" w:rsidDel="00000000" w:rsidP="00000000" w:rsidRDefault="00000000" w:rsidRPr="00000000" w14:paraId="00000342">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E2E-1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43">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4.70</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344">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DC2</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45">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Tiempo de resolución y exposición sancionatoria por operaciones no reconocidas (integra D5 y D7).</w:t>
            </w:r>
          </w:p>
        </w:tc>
        <w:tc>
          <w:tcPr>
            <w:shd w:fill="f2f5fa" w:val="clear"/>
            <w:tcMar>
              <w:top w:w="60.0" w:type="dxa"/>
              <w:left w:w="90.0" w:type="dxa"/>
              <w:bottom w:w="60.0" w:type="dxa"/>
              <w:right w:w="90.0" w:type="dxa"/>
            </w:tcMar>
            <w:vAlign w:val="center"/>
          </w:tcPr>
          <w:p w:rsidR="00000000" w:rsidDel="00000000" w:rsidP="00000000" w:rsidRDefault="00000000" w:rsidRPr="00000000" w14:paraId="00000346">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E2E-2</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47">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4.55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48">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DC3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49">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Penetración digital dispar en la contratación de productos: dos de cada tres cuentas se contratan por canal asistido pese a existir una ruta de apertura íntegramente digital, cuyo recorrido se interrumpe ante perfiles de solicitante no contemplados (integra D9 y D11). </w:t>
            </w:r>
          </w:p>
        </w:tc>
        <w:tc>
          <w:tcPr>
            <w:tcMar>
              <w:top w:w="60.0" w:type="dxa"/>
              <w:left w:w="90.0" w:type="dxa"/>
              <w:bottom w:w="60.0" w:type="dxa"/>
              <w:right w:w="90.0" w:type="dxa"/>
            </w:tcMar>
            <w:vAlign w:val="center"/>
          </w:tcPr>
          <w:p w:rsidR="00000000" w:rsidDel="00000000" w:rsidP="00000000" w:rsidRDefault="00000000" w:rsidRPr="00000000" w14:paraId="0000034A">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E2E-3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4B">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4.40</w:t>
            </w:r>
            <w:r w:rsidDel="00000000" w:rsidR="00000000" w:rsidRPr="00000000">
              <w:rPr>
                <w:rtl w:val="0"/>
              </w:rPr>
            </w:r>
          </w:p>
        </w:tc>
      </w:tr>
    </w:tbl>
    <w:p w:rsidR="00000000" w:rsidDel="00000000" w:rsidP="00000000" w:rsidRDefault="00000000" w:rsidRPr="00000000" w14:paraId="0000034C">
      <w:pPr>
        <w:spacing w:after="22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la Tabla 20 y en la regla de no redundancia enunciada en la sección 3.9. Durante el 2T2026 se absolvieron 13,959 reclamos por operaciones no reconocidas sin abono temporal en los productos analizados, con un tiempo promedio ponderado de absolución de 11.29 días.</w:t>
      </w:r>
    </w:p>
    <w:p w:rsidR="00000000" w:rsidDel="00000000" w:rsidP="00000000" w:rsidRDefault="00000000" w:rsidRPr="00000000" w14:paraId="0000034D">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heading=h.c6u8x7ltb76k" w:id="26"/>
      <w:bookmarkEnd w:id="26"/>
      <w:r w:rsidDel="00000000" w:rsidR="00000000" w:rsidRPr="00000000">
        <w:rPr>
          <w:rFonts w:ascii="Times New Roman" w:cs="Times New Roman" w:eastAsia="Times New Roman" w:hAnsi="Times New Roman"/>
          <w:b w:val="1"/>
          <w:bCs w:val="1"/>
          <w:sz w:val="22"/>
          <w:szCs w:val="22"/>
          <w:rtl w:val="0"/>
        </w:rPr>
        <w:t xml:space="preserve">Matriz de alineamiento entre dolores críticos y objetivos estratégicos</w:t>
      </w:r>
    </w:p>
    <w:p w:rsidR="00000000" w:rsidDel="00000000" w:rsidP="00000000" w:rsidRDefault="00000000" w:rsidRPr="00000000" w14:paraId="0000034E">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Cada dolor crítico se vincula con los objetivos estratégicos definidos en la </w:t>
      </w:r>
      <w:r w:rsidDel="00000000" w:rsidR="00000000" w:rsidRPr="00000000">
        <w:rPr>
          <w:rFonts w:ascii="Times New Roman" w:cs="Times New Roman" w:eastAsia="Times New Roman" w:hAnsi="Times New Roman"/>
          <w:i w:val="0"/>
          <w:iCs w:val="0"/>
          <w:rtl w:val="0"/>
        </w:rPr>
        <w:t xml:space="preserve">Tabla 10 (sección 2.1)</w:t>
      </w:r>
      <w:r w:rsidDel="00000000" w:rsidR="00000000" w:rsidRPr="00000000">
        <w:rPr>
          <w:rFonts w:ascii="Times New Roman" w:cs="Times New Roman" w:eastAsia="Times New Roman" w:hAnsi="Times New Roman"/>
          <w:i w:val="0"/>
          <w:iCs w:val="0"/>
          <w:rtl w:val="0"/>
        </w:rPr>
        <w:t xml:space="preserve">, que traducen a la operación peruana las seis prioridades del ciclo 2025-2029 declaradas por el grupo </w:t>
      </w:r>
      <w:r w:rsidDel="00000000" w:rsidR="00000000" w:rsidRPr="00000000">
        <w:rPr>
          <w:rFonts w:ascii="Times New Roman" w:cs="Times New Roman" w:eastAsia="Times New Roman" w:hAnsi="Times New Roman"/>
          <w:i w:val="0"/>
          <w:iCs w:val="0"/>
          <w:rtl w:val="0"/>
        </w:rPr>
        <w:t xml:space="preserve">(</w:t>
      </w:r>
      <w:r w:rsidDel="00000000" w:rsidR="00000000" w:rsidRPr="00000000">
        <w:rPr>
          <w:rFonts w:ascii="Times New Roman" w:cs="Times New Roman" w:eastAsia="Times New Roman" w:hAnsi="Times New Roman"/>
          <w:i w:val="0"/>
          <w:iCs w:val="0"/>
          <w:rtl w:val="0"/>
        </w:rPr>
        <w:t xml:space="preserve">BBVA, 2025b</w:t>
      </w:r>
      <w:r w:rsidDel="00000000" w:rsidR="00000000" w:rsidRPr="00000000">
        <w:rPr>
          <w:rFonts w:ascii="Times New Roman" w:cs="Times New Roman" w:eastAsia="Times New Roman" w:hAnsi="Times New Roman"/>
          <w:i w:val="0"/>
          <w:iCs w:val="0"/>
          <w:rtl w:val="0"/>
        </w:rPr>
        <w:t xml:space="preserve">)</w:t>
      </w:r>
      <w:r w:rsidDel="00000000" w:rsidR="00000000" w:rsidRPr="00000000">
        <w:rPr>
          <w:rFonts w:ascii="Times New Roman" w:cs="Times New Roman" w:eastAsia="Times New Roman" w:hAnsi="Times New Roman"/>
          <w:i w:val="0"/>
          <w:iCs w:val="0"/>
          <w:rtl w:val="0"/>
        </w:rPr>
        <w:t xml:space="preserve">. La Tabla 22 explicita el mecanismo por el cual el dolor compromete cada objetivo, requisito indispensable para que </w:t>
      </w:r>
      <w:r w:rsidDel="00000000" w:rsidR="00000000" w:rsidRPr="00000000">
        <w:rPr>
          <w:rFonts w:ascii="Times New Roman" w:cs="Times New Roman" w:eastAsia="Times New Roman" w:hAnsi="Times New Roman"/>
          <w:i w:val="0"/>
          <w:iCs w:val="0"/>
          <w:rtl w:val="0"/>
        </w:rPr>
        <w:t xml:space="preserve">la iniciativa que se formula en la sección 5 pueda justificar su inversió</w:t>
      </w:r>
      <w:r w:rsidDel="00000000" w:rsidR="00000000" w:rsidRPr="00000000">
        <w:rPr>
          <w:rFonts w:ascii="Times New Roman" w:cs="Times New Roman" w:eastAsia="Times New Roman" w:hAnsi="Times New Roman"/>
          <w:i w:val="0"/>
          <w:iCs w:val="0"/>
          <w:rtl w:val="0"/>
        </w:rPr>
        <w:t xml:space="preserve">n</w:t>
      </w:r>
      <w:r w:rsidDel="00000000" w:rsidR="00000000" w:rsidRPr="00000000">
        <w:rPr>
          <w:rFonts w:ascii="Times New Roman" w:cs="Times New Roman" w:eastAsia="Times New Roman" w:hAnsi="Times New Roman"/>
          <w:i w:val="0"/>
          <w:iCs w:val="0"/>
          <w:rtl w:val="0"/>
        </w:rPr>
        <w:t xml:space="preserve">.</w:t>
      </w:r>
      <w:r w:rsidDel="00000000" w:rsidR="00000000" w:rsidRPr="00000000">
        <w:rPr>
          <w:rFonts w:ascii="Times New Roman" w:cs="Times New Roman" w:eastAsia="Times New Roman" w:hAnsi="Times New Roman"/>
          <w:i w:val="0"/>
          <w:iCs w:val="0"/>
          <w:rtl w:val="0"/>
        </w:rPr>
        <w:t xml:space="preserve"> Para que el alineamiento sea medible, la tabla incorpora, por cada objetivo afectado, su línea base real y su meta cuantitativa a 18 meses, tomadas de la </w:t>
      </w:r>
      <w:r w:rsidDel="00000000" w:rsidR="00000000" w:rsidRPr="00000000">
        <w:rPr>
          <w:rFonts w:ascii="Times New Roman" w:cs="Times New Roman" w:eastAsia="Times New Roman" w:hAnsi="Times New Roman"/>
          <w:i w:val="0"/>
          <w:iCs w:val="0"/>
          <w:rtl w:val="0"/>
        </w:rPr>
        <w:t xml:space="preserve">Tabla 10 (sección 2.1)</w:t>
      </w:r>
      <w:r w:rsidDel="00000000" w:rsidR="00000000" w:rsidRPr="00000000">
        <w:rPr>
          <w:rFonts w:ascii="Times New Roman" w:cs="Times New Roman" w:eastAsia="Times New Roman" w:hAnsi="Times New Roman"/>
          <w:i w:val="0"/>
          <w:iCs w:val="0"/>
          <w:rtl w:val="0"/>
        </w:rPr>
        <w:t xml:space="preserve">.</w:t>
      </w:r>
      <w:r w:rsidDel="00000000" w:rsidR="00000000" w:rsidRPr="00000000">
        <w:rPr>
          <w:rtl w:val="0"/>
        </w:rPr>
      </w:r>
    </w:p>
    <w:p w:rsidR="00000000" w:rsidDel="00000000" w:rsidP="00000000" w:rsidRDefault="00000000" w:rsidRPr="00000000" w14:paraId="0000034F">
      <w:pPr>
        <w:spacing w:after="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22</w:t>
      </w:r>
      <w:r w:rsidDel="00000000" w:rsidR="00000000" w:rsidRPr="00000000">
        <w:rPr>
          <w:rtl w:val="0"/>
        </w:rPr>
      </w:r>
    </w:p>
    <w:p w:rsidR="00000000" w:rsidDel="00000000" w:rsidP="00000000" w:rsidRDefault="00000000" w:rsidRPr="00000000" w14:paraId="00000350">
      <w:pP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Matriz de alineamiento entre dolores críticos y objetivos estratégicos</w:t>
      </w:r>
      <w:r w:rsidDel="00000000" w:rsidR="00000000" w:rsidRPr="00000000">
        <w:rPr>
          <w:rtl w:val="0"/>
        </w:rPr>
      </w:r>
    </w:p>
    <w:tbl>
      <w:tblPr>
        <w:tblStyle w:val="Table22"/>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800"/>
        <w:gridCol w:w="1750"/>
        <w:gridCol w:w="2600"/>
        <w:gridCol w:w="2000"/>
        <w:gridCol w:w="1876"/>
        <w:tblGridChange w:id="0">
          <w:tblGrid>
            <w:gridCol w:w="800"/>
            <w:gridCol w:w="1750"/>
            <w:gridCol w:w="2600"/>
            <w:gridCol w:w="2000"/>
            <w:gridCol w:w="1876"/>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35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Dolor crítico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35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Objetivo afectado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35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Mecanismo de afectación</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35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Línea base del objetivo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35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Meta del objetivo a 18 meses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56">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DC1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57">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OE3.</w:t>
            </w:r>
            <w:r w:rsidDel="00000000" w:rsidR="00000000" w:rsidRPr="00000000">
              <w:rPr>
                <w:rFonts w:ascii="Times New Roman" w:cs="Times New Roman" w:eastAsia="Times New Roman" w:hAnsi="Times New Roman"/>
                <w:i w:val="0"/>
                <w:iCs w:val="0"/>
                <w:sz w:val="18"/>
                <w:szCs w:val="18"/>
                <w:rtl w:val="0"/>
              </w:rPr>
              <w:t xml:space="preserve"> Crecer en todos los segmentos de empresas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58">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ruta digital resuelve el crédito en tres minutos en promedio, pero representa solo un tercio de los créditos otorgados al segmento; los dos tercios restantes dependen de la ruta asistida, lo que limita la contribución del canal digital al crecimiento (Reusche, 2026).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59">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Cuota de colocaciones en pymes 21.5 % y de colocaciones vigentes 22.09 % en 2025 (</w:t>
            </w:r>
            <w:r w:rsidDel="00000000" w:rsidR="00000000" w:rsidRPr="00000000">
              <w:rPr>
                <w:rFonts w:ascii="Times New Roman" w:cs="Times New Roman" w:eastAsia="Times New Roman" w:hAnsi="Times New Roman"/>
                <w:i w:val="0"/>
                <w:iCs w:val="0"/>
                <w:sz w:val="18"/>
                <w:szCs w:val="18"/>
                <w:rtl w:val="0"/>
              </w:rPr>
              <w:t xml:space="preserve">Banco BBVA Perú, 2026g</w:t>
            </w:r>
            <w:r w:rsidDel="00000000" w:rsidR="00000000" w:rsidRPr="00000000">
              <w:rPr>
                <w:rFonts w:ascii="Times New Roman" w:cs="Times New Roman" w:eastAsia="Times New Roman" w:hAnsi="Times New Roman"/>
                <w:i w:val="0"/>
                <w:iCs w:val="0"/>
                <w:sz w:val="18"/>
                <w:szCs w:val="18"/>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5A">
            <w:pPr>
              <w:spacing w:after="0" w:line="240" w:lineRule="auto"/>
              <w:jc w:val="left"/>
              <w:rPr>
                <w:rFonts w:ascii="Times New Roman" w:cs="Times New Roman" w:eastAsia="Times New Roman" w:hAnsi="Times New Roman"/>
                <w:sz w:val="18"/>
                <w:szCs w:val="18"/>
              </w:rPr>
            </w:pPr>
            <w:sdt>
              <w:sdtPr>
                <w:id w:val="1971989283"/>
                <w:tag w:val="goog_rdk_16"/>
              </w:sdtPr>
              <w:sdtContent>
                <w:r w:rsidDel="00000000" w:rsidR="00000000" w:rsidRPr="00000000">
                  <w:rPr>
                    <w:rFonts w:ascii="Gungsuh" w:cs="Gungsuh" w:eastAsia="Gungsuh" w:hAnsi="Gungsuh"/>
                    <w:i w:val="0"/>
                    <w:iCs w:val="0"/>
                    <w:sz w:val="18"/>
                    <w:szCs w:val="18"/>
                    <w:rtl w:val="0"/>
                  </w:rPr>
                  <w:t xml:space="preserve">Cuota en pymes ≥ 22.5 % y de colocaciones vigentes ≥ 22.5 % a 18 meses.</w:t>
                </w:r>
              </w:sdtContent>
            </w:sdt>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35B">
            <w:pPr>
              <w:spacing w:after="0" w:line="240" w:lineRule="auto"/>
              <w:jc w:val="left"/>
              <w:rPr>
                <w:rFonts w:ascii="Times New Roman" w:cs="Times New Roman" w:eastAsia="Times New Roman" w:hAnsi="Times New Roman"/>
                <w:sz w:val="18"/>
                <w:szCs w:val="18"/>
              </w:rPr>
            </w:pP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5C">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OE4.</w:t>
            </w:r>
            <w:r w:rsidDel="00000000" w:rsidR="00000000" w:rsidRPr="00000000">
              <w:rPr>
                <w:rFonts w:ascii="Times New Roman" w:cs="Times New Roman" w:eastAsia="Times New Roman" w:hAnsi="Times New Roman"/>
                <w:i w:val="0"/>
                <w:iCs w:val="0"/>
                <w:sz w:val="18"/>
                <w:szCs w:val="18"/>
                <w:rtl w:val="0"/>
              </w:rPr>
              <w:t xml:space="preserve"> Creación de valor y capital</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5D">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Dos de cada tres créditos se otorgan fuera de la ruta digital de tres minutos (Reusche, 2026) y requieren la intervención del ejecutivo comercial y del personal de formalización (Tabla 15), lo que limita la productividad y la escalabilidad de la originación.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5E">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Ratio de eficiencia 40.0 % y mora 2.69 % al 2T2026 (</w:t>
            </w:r>
            <w:r w:rsidDel="00000000" w:rsidR="00000000" w:rsidRPr="00000000">
              <w:rPr>
                <w:rFonts w:ascii="Times New Roman" w:cs="Times New Roman" w:eastAsia="Times New Roman" w:hAnsi="Times New Roman"/>
                <w:i w:val="0"/>
                <w:iCs w:val="0"/>
                <w:sz w:val="18"/>
                <w:szCs w:val="18"/>
                <w:rtl w:val="0"/>
              </w:rPr>
              <w:t xml:space="preserve">Banco BBVA Perú, 2026f</w:t>
            </w:r>
            <w:r w:rsidDel="00000000" w:rsidR="00000000" w:rsidRPr="00000000">
              <w:rPr>
                <w:rFonts w:ascii="Times New Roman" w:cs="Times New Roman" w:eastAsia="Times New Roman" w:hAnsi="Times New Roman"/>
                <w:i w:val="0"/>
                <w:iCs w:val="0"/>
                <w:sz w:val="18"/>
                <w:szCs w:val="18"/>
                <w:rtl w:val="0"/>
              </w:rPr>
              <w:t xml:space="preserve">).</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5F">
            <w:pPr>
              <w:spacing w:after="0" w:line="240" w:lineRule="auto"/>
              <w:jc w:val="left"/>
              <w:rPr>
                <w:rFonts w:ascii="Times New Roman" w:cs="Times New Roman" w:eastAsia="Times New Roman" w:hAnsi="Times New Roman"/>
                <w:sz w:val="18"/>
                <w:szCs w:val="18"/>
              </w:rPr>
            </w:pPr>
            <w:sdt>
              <w:sdtPr>
                <w:id w:val="-1491689114"/>
                <w:tag w:val="goog_rdk_17"/>
              </w:sdtPr>
              <w:sdtContent>
                <w:r w:rsidDel="00000000" w:rsidR="00000000" w:rsidRPr="00000000">
                  <w:rPr>
                    <w:rFonts w:ascii="Gungsuh" w:cs="Gungsuh" w:eastAsia="Gungsuh" w:hAnsi="Gungsuh"/>
                    <w:i w:val="0"/>
                    <w:iCs w:val="0"/>
                    <w:sz w:val="18"/>
                    <w:szCs w:val="18"/>
                    <w:rtl w:val="0"/>
                  </w:rPr>
                  <w:t xml:space="preserve">Ratio de eficiencia ≤ 40.0 % y mora ≤ 2.69 %.</w:t>
                </w:r>
              </w:sdtContent>
            </w:sdt>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60">
            <w:pPr>
              <w:spacing w:after="0" w:line="240" w:lineRule="auto"/>
              <w:jc w:val="left"/>
              <w:rPr>
                <w:rFonts w:ascii="Times New Roman" w:cs="Times New Roman" w:eastAsia="Times New Roman" w:hAnsi="Times New Roman"/>
                <w:sz w:val="18"/>
                <w:szCs w:val="18"/>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61">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OE5.</w:t>
            </w:r>
            <w:r w:rsidDel="00000000" w:rsidR="00000000" w:rsidRPr="00000000">
              <w:rPr>
                <w:rFonts w:ascii="Times New Roman" w:cs="Times New Roman" w:eastAsia="Times New Roman" w:hAnsi="Times New Roman"/>
                <w:i w:val="0"/>
                <w:iCs w:val="0"/>
                <w:sz w:val="18"/>
                <w:szCs w:val="18"/>
                <w:rtl w:val="0"/>
              </w:rPr>
              <w:t xml:space="preserve"> IA, innovación, datos y tecnologías Next Gen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62">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ruta asistida se apoya en documentación financiera que la microempresa no produce de forma estructurada (Melo, 2026); ampliar la originación digital requiere fortalecer la captura estructurada de información, los modelos de decisión y su integración con los canales digitales del segmento Pyme. </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63">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Ventas digitales 79.57 % al 2T2026 (</w:t>
            </w:r>
            <w:r w:rsidDel="00000000" w:rsidR="00000000" w:rsidRPr="00000000">
              <w:rPr>
                <w:rFonts w:ascii="Times New Roman" w:cs="Times New Roman" w:eastAsia="Times New Roman" w:hAnsi="Times New Roman"/>
                <w:i w:val="0"/>
                <w:iCs w:val="0"/>
                <w:sz w:val="18"/>
                <w:szCs w:val="18"/>
                <w:rtl w:val="0"/>
              </w:rPr>
              <w:t xml:space="preserve">Banco BBVA Perú, 2026f, p. 3</w:t>
            </w:r>
            <w:r w:rsidDel="00000000" w:rsidR="00000000" w:rsidRPr="00000000">
              <w:rPr>
                <w:rFonts w:ascii="Times New Roman" w:cs="Times New Roman" w:eastAsia="Times New Roman" w:hAnsi="Times New Roman"/>
                <w:i w:val="0"/>
                <w:iCs w:val="0"/>
                <w:sz w:val="18"/>
                <w:szCs w:val="18"/>
                <w:rtl w:val="0"/>
              </w:rPr>
              <w:t xml:space="preserve">); clientes Pyme digitales 74 % al cierre de 2025 (</w:t>
            </w:r>
            <w:r w:rsidDel="00000000" w:rsidR="00000000" w:rsidRPr="00000000">
              <w:rPr>
                <w:rFonts w:ascii="Times New Roman" w:cs="Times New Roman" w:eastAsia="Times New Roman" w:hAnsi="Times New Roman"/>
                <w:i w:val="0"/>
                <w:iCs w:val="0"/>
                <w:sz w:val="18"/>
                <w:szCs w:val="18"/>
                <w:rtl w:val="0"/>
              </w:rPr>
              <w:t xml:space="preserve">BBVA, 2026a</w:t>
            </w:r>
            <w:r w:rsidDel="00000000" w:rsidR="00000000" w:rsidRPr="00000000">
              <w:rPr>
                <w:rFonts w:ascii="Times New Roman" w:cs="Times New Roman" w:eastAsia="Times New Roman" w:hAnsi="Times New Roman"/>
                <w:i w:val="0"/>
                <w:iCs w:val="0"/>
                <w:sz w:val="18"/>
                <w:szCs w:val="18"/>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64">
            <w:pPr>
              <w:spacing w:after="0" w:line="240" w:lineRule="auto"/>
              <w:jc w:val="left"/>
              <w:rPr>
                <w:rFonts w:ascii="Times New Roman" w:cs="Times New Roman" w:eastAsia="Times New Roman" w:hAnsi="Times New Roman"/>
                <w:sz w:val="18"/>
                <w:szCs w:val="18"/>
              </w:rPr>
            </w:pPr>
            <w:sdt>
              <w:sdtPr>
                <w:id w:val="-312458763"/>
                <w:tag w:val="goog_rdk_18"/>
              </w:sdtPr>
              <w:sdtContent>
                <w:r w:rsidDel="00000000" w:rsidR="00000000" w:rsidRPr="00000000">
                  <w:rPr>
                    <w:rFonts w:ascii="Gungsuh" w:cs="Gungsuh" w:eastAsia="Gungsuh" w:hAnsi="Gungsuh"/>
                    <w:i w:val="0"/>
                    <w:iCs w:val="0"/>
                    <w:sz w:val="18"/>
                    <w:szCs w:val="18"/>
                    <w:rtl w:val="0"/>
                  </w:rPr>
                  <w:t xml:space="preserve">Ventas digitales ≥ 85 %; clientes Pyme digitales ≥ 85 %.</w:t>
                </w:r>
              </w:sdtContent>
            </w:sdt>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365">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DC2</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66">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OE1.</w:t>
            </w:r>
            <w:r w:rsidDel="00000000" w:rsidR="00000000" w:rsidRPr="00000000">
              <w:rPr>
                <w:rFonts w:ascii="Times New Roman" w:cs="Times New Roman" w:eastAsia="Times New Roman" w:hAnsi="Times New Roman"/>
                <w:i w:val="0"/>
                <w:iCs w:val="0"/>
                <w:sz w:val="18"/>
                <w:szCs w:val="18"/>
                <w:rtl w:val="0"/>
              </w:rPr>
              <w:t xml:space="preserve"> Perspectiva del cliente de manera radical</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67">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cliente espera la absolución de su reclamo 11.29 días en promedio, 1.41 veces el promedio del conjunto de reclamos de la entidad en el 2T2026 (Tabla 24), lo que afecta su percepción de rapidez y seguridad del servicio. </w:t>
            </w:r>
            <w:r w:rsidDel="00000000" w:rsidR="00000000" w:rsidRPr="00000000">
              <w:rPr>
                <w:rFonts w:ascii="Times New Roman" w:cs="Times New Roman" w:eastAsia="Times New Roman" w:hAnsi="Times New Roman"/>
                <w:i w:val="0"/>
                <w:iCs w:val="0"/>
                <w:sz w:val="18"/>
                <w:szCs w:val="18"/>
                <w:rtl w:val="0"/>
              </w:rPr>
              <w:t xml:space="preserve">.</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68">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NPS Retail 52.57 % en 2025 (</w:t>
            </w:r>
            <w:r w:rsidDel="00000000" w:rsidR="00000000" w:rsidRPr="00000000">
              <w:rPr>
                <w:rFonts w:ascii="Times New Roman" w:cs="Times New Roman" w:eastAsia="Times New Roman" w:hAnsi="Times New Roman"/>
                <w:i w:val="0"/>
                <w:iCs w:val="0"/>
                <w:sz w:val="18"/>
                <w:szCs w:val="18"/>
                <w:rtl w:val="0"/>
              </w:rPr>
              <w:t xml:space="preserve">Banco BBVA Perú, 2026g, p. 26</w:t>
            </w:r>
            <w:r w:rsidDel="00000000" w:rsidR="00000000" w:rsidRPr="00000000">
              <w:rPr>
                <w:rFonts w:ascii="Times New Roman" w:cs="Times New Roman" w:eastAsia="Times New Roman" w:hAnsi="Times New Roman"/>
                <w:i w:val="0"/>
                <w:iCs w:val="0"/>
                <w:sz w:val="18"/>
                <w:szCs w:val="18"/>
                <w:rtl w:val="0"/>
              </w:rPr>
              <w:t xml:space="preserve">); tiempo promedio de absolución 11.29 días al 2T2026 (cálculo propio, Tabla 24).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69">
            <w:pPr>
              <w:spacing w:after="0" w:line="240" w:lineRule="auto"/>
              <w:jc w:val="left"/>
              <w:rPr>
                <w:rFonts w:ascii="Times New Roman" w:cs="Times New Roman" w:eastAsia="Times New Roman" w:hAnsi="Times New Roman"/>
                <w:sz w:val="18"/>
                <w:szCs w:val="18"/>
              </w:rPr>
            </w:pPr>
            <w:sdt>
              <w:sdtPr>
                <w:id w:val="-1919198147"/>
                <w:tag w:val="goog_rdk_19"/>
              </w:sdtPr>
              <w:sdtContent>
                <w:r w:rsidDel="00000000" w:rsidR="00000000" w:rsidRPr="00000000">
                  <w:rPr>
                    <w:rFonts w:ascii="Gungsuh" w:cs="Gungsuh" w:eastAsia="Gungsuh" w:hAnsi="Gungsuh"/>
                    <w:i w:val="0"/>
                    <w:iCs w:val="0"/>
                    <w:sz w:val="18"/>
                    <w:szCs w:val="18"/>
                    <w:rtl w:val="0"/>
                  </w:rPr>
                  <w:t xml:space="preserve">NPS Retail ≥ 52.57 %; </w:t>
                </w:r>
              </w:sdtContent>
            </w:sdt>
            <w:sdt>
              <w:sdtPr>
                <w:id w:val="-677661283"/>
                <w:tag w:val="goog_rdk_20"/>
              </w:sdtPr>
              <w:sdtContent>
                <w:r w:rsidDel="00000000" w:rsidR="00000000" w:rsidRPr="00000000">
                  <w:rPr>
                    <w:rFonts w:ascii="Gungsuh" w:cs="Gungsuh" w:eastAsia="Gungsuh" w:hAnsi="Gungsuh"/>
                    <w:i w:val="0"/>
                    <w:iCs w:val="0"/>
                    <w:sz w:val="18"/>
                    <w:szCs w:val="18"/>
                    <w:rtl w:val="0"/>
                  </w:rPr>
                  <w:t xml:space="preserve">razón de absolución frente al promedio general ≤ 1.0 (Tabla 24)</w:t>
                </w:r>
              </w:sdtContent>
            </w:sdt>
            <w:r w:rsidDel="00000000" w:rsidR="00000000" w:rsidRPr="00000000">
              <w:rPr>
                <w:rFonts w:ascii="Times New Roman" w:cs="Times New Roman" w:eastAsia="Times New Roman" w:hAnsi="Times New Roman"/>
                <w:i w:val="0"/>
                <w:iCs w:val="0"/>
                <w:sz w:val="18"/>
                <w:szCs w:val="18"/>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6A">
            <w:pPr>
              <w:spacing w:after="0" w:line="240" w:lineRule="auto"/>
              <w:jc w:val="left"/>
              <w:rPr>
                <w:rFonts w:ascii="Times New Roman" w:cs="Times New Roman" w:eastAsia="Times New Roman" w:hAnsi="Times New Roman"/>
                <w:sz w:val="18"/>
                <w:szCs w:val="18"/>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6B">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OE5.</w:t>
            </w:r>
            <w:r w:rsidDel="00000000" w:rsidR="00000000" w:rsidRPr="00000000">
              <w:rPr>
                <w:rFonts w:ascii="Times New Roman" w:cs="Times New Roman" w:eastAsia="Times New Roman" w:hAnsi="Times New Roman"/>
                <w:i w:val="0"/>
                <w:iCs w:val="0"/>
                <w:sz w:val="18"/>
                <w:szCs w:val="18"/>
                <w:rtl w:val="0"/>
              </w:rPr>
              <w:t xml:space="preserve"> IA, innovación, datos y tecnologías Next Gen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6C">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investigación revisa de forma manual las trazas de cada operación (Tabla 16), aunque esas trazas y las estadísticas mensuales de reclamos permiten aplicar analítica y automatización a la prevención, la priorización y el seguimiento de los casos. </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6D">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Adopción interna de Blue Buddy 90 % y más de 14,000 consultas en junio de 2026 (</w:t>
            </w:r>
            <w:r w:rsidDel="00000000" w:rsidR="00000000" w:rsidRPr="00000000">
              <w:rPr>
                <w:rFonts w:ascii="Times New Roman" w:cs="Times New Roman" w:eastAsia="Times New Roman" w:hAnsi="Times New Roman"/>
                <w:i w:val="0"/>
                <w:iCs w:val="0"/>
                <w:sz w:val="18"/>
                <w:szCs w:val="18"/>
                <w:rtl w:val="0"/>
              </w:rPr>
              <w:t xml:space="preserve">Banco BBVA Perú, 2026f, p. 4</w:t>
            </w:r>
            <w:r w:rsidDel="00000000" w:rsidR="00000000" w:rsidRPr="00000000">
              <w:rPr>
                <w:rFonts w:ascii="Times New Roman" w:cs="Times New Roman" w:eastAsia="Times New Roman" w:hAnsi="Times New Roman"/>
                <w:i w:val="0"/>
                <w:iCs w:val="0"/>
                <w:sz w:val="18"/>
                <w:szCs w:val="18"/>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6E">
            <w:pPr>
              <w:spacing w:after="0" w:line="240" w:lineRule="auto"/>
              <w:jc w:val="left"/>
              <w:rPr>
                <w:rFonts w:ascii="Times New Roman" w:cs="Times New Roman" w:eastAsia="Times New Roman" w:hAnsi="Times New Roman"/>
                <w:sz w:val="18"/>
                <w:szCs w:val="18"/>
              </w:rPr>
            </w:pPr>
            <w:sdt>
              <w:sdtPr>
                <w:id w:val="137961229"/>
                <w:tag w:val="goog_rdk_21"/>
              </w:sdtPr>
              <w:sdtContent>
                <w:r w:rsidDel="00000000" w:rsidR="00000000" w:rsidRPr="00000000">
                  <w:rPr>
                    <w:rFonts w:ascii="Gungsuh" w:cs="Gungsuh" w:eastAsia="Gungsuh" w:hAnsi="Gungsuh"/>
                    <w:i w:val="0"/>
                    <w:iCs w:val="0"/>
                    <w:sz w:val="18"/>
                    <w:szCs w:val="18"/>
                    <w:rtl w:val="0"/>
                  </w:rPr>
                  <w:t xml:space="preserve">Adopción interna ≥ 95 % y al menos tres casos de IA priorizados en producción.</w:t>
                </w:r>
              </w:sdtContent>
            </w:sdt>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36F">
            <w:pPr>
              <w:spacing w:after="0" w:line="240" w:lineRule="auto"/>
              <w:jc w:val="left"/>
              <w:rPr>
                <w:rFonts w:ascii="Times New Roman" w:cs="Times New Roman" w:eastAsia="Times New Roman" w:hAnsi="Times New Roman"/>
                <w:sz w:val="18"/>
                <w:szCs w:val="18"/>
              </w:rPr>
            </w:pP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70">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OE6.</w:t>
            </w:r>
            <w:r w:rsidDel="00000000" w:rsidR="00000000" w:rsidRPr="00000000">
              <w:rPr>
                <w:rFonts w:ascii="Times New Roman" w:cs="Times New Roman" w:eastAsia="Times New Roman" w:hAnsi="Times New Roman"/>
                <w:i w:val="0"/>
                <w:iCs w:val="0"/>
                <w:sz w:val="18"/>
                <w:szCs w:val="18"/>
                <w:rtl w:val="0"/>
              </w:rPr>
              <w:t xml:space="preserve"> Empatía y equipo ganador</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7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Los 13,959 reclamos por operaciones no reconocidas absueltos en el 2T2026 (Tabla 24) representan una carga recurrente de revisión y coordinación para las áreas de atención, operaciones y fraude.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72">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Índice de compromiso de colaboradores 93/100 en 2025 (</w:t>
            </w:r>
            <w:r w:rsidDel="00000000" w:rsidR="00000000" w:rsidRPr="00000000">
              <w:rPr>
                <w:rFonts w:ascii="Times New Roman" w:cs="Times New Roman" w:eastAsia="Times New Roman" w:hAnsi="Times New Roman"/>
                <w:i w:val="0"/>
                <w:iCs w:val="0"/>
                <w:sz w:val="18"/>
                <w:szCs w:val="18"/>
                <w:rtl w:val="0"/>
              </w:rPr>
              <w:t xml:space="preserve">Banco BBVA Perú, 2026g, p. 12</w:t>
            </w:r>
            <w:r w:rsidDel="00000000" w:rsidR="00000000" w:rsidRPr="00000000">
              <w:rPr>
                <w:rFonts w:ascii="Times New Roman" w:cs="Times New Roman" w:eastAsia="Times New Roman" w:hAnsi="Times New Roman"/>
                <w:i w:val="0"/>
                <w:iCs w:val="0"/>
                <w:sz w:val="18"/>
                <w:szCs w:val="18"/>
                <w:rtl w:val="0"/>
              </w:rPr>
              <w:t xml:space="preserve">).</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73">
            <w:pPr>
              <w:spacing w:after="0" w:line="240" w:lineRule="auto"/>
              <w:jc w:val="left"/>
              <w:rPr>
                <w:rFonts w:ascii="Times New Roman" w:cs="Times New Roman" w:eastAsia="Times New Roman" w:hAnsi="Times New Roman"/>
                <w:sz w:val="18"/>
                <w:szCs w:val="18"/>
              </w:rPr>
            </w:pPr>
            <w:sdt>
              <w:sdtPr>
                <w:id w:val="-542886348"/>
                <w:tag w:val="goog_rdk_22"/>
              </w:sdtPr>
              <w:sdtContent>
                <w:r w:rsidDel="00000000" w:rsidR="00000000" w:rsidRPr="00000000">
                  <w:rPr>
                    <w:rFonts w:ascii="Gungsuh" w:cs="Gungsuh" w:eastAsia="Gungsuh" w:hAnsi="Gungsuh"/>
                    <w:i w:val="0"/>
                    <w:iCs w:val="0"/>
                    <w:sz w:val="18"/>
                    <w:szCs w:val="18"/>
                    <w:rtl w:val="0"/>
                  </w:rPr>
                  <w:t xml:space="preserve">Índice de compromiso ≥ 93/100.</w:t>
                </w:r>
              </w:sdtContent>
            </w:sdt>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74">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DC3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75">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OE1.</w:t>
            </w:r>
            <w:r w:rsidDel="00000000" w:rsidR="00000000" w:rsidRPr="00000000">
              <w:rPr>
                <w:rFonts w:ascii="Times New Roman" w:cs="Times New Roman" w:eastAsia="Times New Roman" w:hAnsi="Times New Roman"/>
                <w:i w:val="0"/>
                <w:iCs w:val="0"/>
                <w:sz w:val="18"/>
                <w:szCs w:val="18"/>
                <w:rtl w:val="0"/>
              </w:rPr>
              <w:t xml:space="preserve"> Perspectiva del cliente de manera radical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76">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participación digital varía entre productos: alcanza 93 % en cambio de moneda, pero solo 50 % en tarjetas de crédito y 33 % en cuentas (Banco BBVA Perú, 2026f, p. 3). Además, la derivación a oficina de perfiles no contemplados interrumpe el recorrido del solicitante (A. Moquillaza, comunicación personal, 11 de setiembre de 2026). </w:t>
            </w:r>
            <w:r w:rsidDel="00000000" w:rsidR="00000000" w:rsidRPr="00000000">
              <w:rPr>
                <w:rFonts w:ascii="Times New Roman" w:cs="Times New Roman" w:eastAsia="Times New Roman" w:hAnsi="Times New Roman"/>
                <w:sz w:val="18"/>
                <w:szCs w:val="18"/>
                <w:rtl w:val="0"/>
              </w:rPr>
              <w:t xml:space="preserve"> </w:t>
            </w:r>
          </w:p>
        </w:tc>
        <w:tc>
          <w:tcPr>
            <w:tcMar>
              <w:top w:w="60.0" w:type="dxa"/>
              <w:left w:w="90.0" w:type="dxa"/>
              <w:bottom w:w="60.0" w:type="dxa"/>
              <w:right w:w="90.0" w:type="dxa"/>
            </w:tcMar>
            <w:vAlign w:val="center"/>
          </w:tcPr>
          <w:p w:rsidR="00000000" w:rsidDel="00000000" w:rsidP="00000000" w:rsidRDefault="00000000" w:rsidRPr="00000000" w14:paraId="00000377">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NPS Retail 52.57 % en 2025 (</w:t>
            </w:r>
            <w:r w:rsidDel="00000000" w:rsidR="00000000" w:rsidRPr="00000000">
              <w:rPr>
                <w:rFonts w:ascii="Times New Roman" w:cs="Times New Roman" w:eastAsia="Times New Roman" w:hAnsi="Times New Roman"/>
                <w:sz w:val="18"/>
                <w:szCs w:val="18"/>
                <w:rtl w:val="0"/>
              </w:rPr>
              <w:t xml:space="preserve">Banco BBVA Perú, 2026g, p. 26</w:t>
            </w:r>
            <w:r w:rsidDel="00000000" w:rsidR="00000000" w:rsidRPr="00000000">
              <w:rPr>
                <w:rFonts w:ascii="Times New Roman" w:cs="Times New Roman" w:eastAsia="Times New Roman" w:hAnsi="Times New Roman"/>
                <w:sz w:val="18"/>
                <w:szCs w:val="18"/>
                <w:rtl w:val="0"/>
              </w:rPr>
              <w:t xml:space="preserve">); penetración digital en cuentas 33 % al 2T2026 (</w:t>
            </w:r>
            <w:r w:rsidDel="00000000" w:rsidR="00000000" w:rsidRPr="00000000">
              <w:rPr>
                <w:rFonts w:ascii="Times New Roman" w:cs="Times New Roman" w:eastAsia="Times New Roman" w:hAnsi="Times New Roman"/>
                <w:sz w:val="18"/>
                <w:szCs w:val="18"/>
                <w:rtl w:val="0"/>
              </w:rPr>
              <w:t xml:space="preserve">Banco BBVA Perú, 2026f, p. 3</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78">
            <w:pPr>
              <w:spacing w:after="0" w:line="240" w:lineRule="auto"/>
              <w:jc w:val="left"/>
              <w:rPr>
                <w:rFonts w:ascii="Times New Roman" w:cs="Times New Roman" w:eastAsia="Times New Roman" w:hAnsi="Times New Roman"/>
                <w:sz w:val="18"/>
                <w:szCs w:val="18"/>
              </w:rPr>
            </w:pPr>
            <w:sdt>
              <w:sdtPr>
                <w:id w:val="1717650151"/>
                <w:tag w:val="goog_rdk_23"/>
              </w:sdtPr>
              <w:sdtContent>
                <w:r w:rsidDel="00000000" w:rsidR="00000000" w:rsidRPr="00000000">
                  <w:rPr>
                    <w:rFonts w:ascii="Gungsuh" w:cs="Gungsuh" w:eastAsia="Gungsuh" w:hAnsi="Gungsuh"/>
                    <w:sz w:val="18"/>
                    <w:szCs w:val="18"/>
                    <w:rtl w:val="0"/>
                  </w:rPr>
                  <w:t xml:space="preserve">NPS Retail ≥ 52.57 %; penetración en cuentas ≥ 55 % (Tabla 25).</w:t>
                </w:r>
              </w:sdtContent>
            </w:sdt>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379">
            <w:pPr>
              <w:spacing w:after="0" w:line="240" w:lineRule="auto"/>
              <w:jc w:val="left"/>
              <w:rPr>
                <w:rFonts w:ascii="Times New Roman" w:cs="Times New Roman" w:eastAsia="Times New Roman" w:hAnsi="Times New Roman"/>
                <w:sz w:val="18"/>
                <w:szCs w:val="18"/>
              </w:rPr>
            </w:pP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7A">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OE4.</w:t>
            </w:r>
            <w:r w:rsidDel="00000000" w:rsidR="00000000" w:rsidRPr="00000000">
              <w:rPr>
                <w:rFonts w:ascii="Times New Roman" w:cs="Times New Roman" w:eastAsia="Times New Roman" w:hAnsi="Times New Roman"/>
                <w:i w:val="0"/>
                <w:iCs w:val="0"/>
                <w:sz w:val="18"/>
                <w:szCs w:val="18"/>
                <w:rtl w:val="0"/>
              </w:rPr>
              <w:t xml:space="preserve"> Creación de valor y capital</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7B">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Dos de cada tres cuentas se contratan con asistencia, frente a un 79.57 % de ventas digitales en el conjunto de la entidad (Banco BBVA Perú, 2026f, p. 3); elevar la participación digital en cuentas permitiría originar sin asistencia una mayor proporción de las ventas, en línea con la estrategia digital de la entidad.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7C">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ROE 18.7 % frente a 20.1 % del sistema (2T2026 y mayo de 2026); ratio de eficiencia 40.0 % (</w:t>
            </w:r>
            <w:r w:rsidDel="00000000" w:rsidR="00000000" w:rsidRPr="00000000">
              <w:rPr>
                <w:rFonts w:ascii="Times New Roman" w:cs="Times New Roman" w:eastAsia="Times New Roman" w:hAnsi="Times New Roman"/>
                <w:i w:val="0"/>
                <w:iCs w:val="0"/>
                <w:sz w:val="18"/>
                <w:szCs w:val="18"/>
                <w:rtl w:val="0"/>
              </w:rPr>
              <w:t xml:space="preserve">Banco BBVA Perú, 2026f, pp. 19 y 32</w:t>
            </w:r>
            <w:r w:rsidDel="00000000" w:rsidR="00000000" w:rsidRPr="00000000">
              <w:rPr>
                <w:rFonts w:ascii="Times New Roman" w:cs="Times New Roman" w:eastAsia="Times New Roman" w:hAnsi="Times New Roman"/>
                <w:i w:val="0"/>
                <w:iCs w:val="0"/>
                <w:sz w:val="18"/>
                <w:szCs w:val="18"/>
                <w:rtl w:val="0"/>
              </w:rPr>
              <w:t xml:space="preserve">).</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7D">
            <w:pPr>
              <w:spacing w:after="0" w:line="240" w:lineRule="auto"/>
              <w:jc w:val="left"/>
              <w:rPr>
                <w:rFonts w:ascii="Times New Roman" w:cs="Times New Roman" w:eastAsia="Times New Roman" w:hAnsi="Times New Roman"/>
                <w:sz w:val="18"/>
                <w:szCs w:val="18"/>
              </w:rPr>
            </w:pPr>
            <w:sdt>
              <w:sdtPr>
                <w:id w:val="-704574151"/>
                <w:tag w:val="goog_rdk_24"/>
              </w:sdtPr>
              <w:sdtContent>
                <w:r w:rsidDel="00000000" w:rsidR="00000000" w:rsidRPr="00000000">
                  <w:rPr>
                    <w:rFonts w:ascii="Gungsuh" w:cs="Gungsuh" w:eastAsia="Gungsuh" w:hAnsi="Gungsuh"/>
                    <w:i w:val="0"/>
                    <w:iCs w:val="0"/>
                    <w:sz w:val="18"/>
                    <w:szCs w:val="18"/>
                    <w:rtl w:val="0"/>
                  </w:rPr>
                  <w:t xml:space="preserve">ROE ≥ 19.5 %; ratio de eficiencia ≤ 40.0 %.</w:t>
                </w:r>
              </w:sdtContent>
            </w:sdt>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7E">
            <w:pPr>
              <w:spacing w:after="0" w:line="240" w:lineRule="auto"/>
              <w:jc w:val="left"/>
              <w:rPr>
                <w:rFonts w:ascii="Times New Roman" w:cs="Times New Roman" w:eastAsia="Times New Roman" w:hAnsi="Times New Roman"/>
                <w:sz w:val="18"/>
                <w:szCs w:val="18"/>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7F">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OE5.</w:t>
            </w:r>
            <w:r w:rsidDel="00000000" w:rsidR="00000000" w:rsidRPr="00000000">
              <w:rPr>
                <w:rFonts w:ascii="Times New Roman" w:cs="Times New Roman" w:eastAsia="Times New Roman" w:hAnsi="Times New Roman"/>
                <w:i w:val="0"/>
                <w:iCs w:val="0"/>
                <w:sz w:val="18"/>
                <w:szCs w:val="18"/>
                <w:rtl w:val="0"/>
              </w:rPr>
              <w:t xml:space="preserve"> IA, innovación, datos y tecnologías Next Gen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80">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brecha de adopción entre productos puede atenderse con mejoras de experiencia en la App, personalización basada en datos y asistencia contextual durante la contratación, capacidades que habilita la plataforma de datos e IA. </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81">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Ventas digitales 79.57 % y más de tres millones de usuarios activos de la app al 2T2026 (</w:t>
            </w:r>
            <w:r w:rsidDel="00000000" w:rsidR="00000000" w:rsidRPr="00000000">
              <w:rPr>
                <w:rFonts w:ascii="Times New Roman" w:cs="Times New Roman" w:eastAsia="Times New Roman" w:hAnsi="Times New Roman"/>
                <w:i w:val="0"/>
                <w:iCs w:val="0"/>
                <w:sz w:val="18"/>
                <w:szCs w:val="18"/>
                <w:rtl w:val="0"/>
              </w:rPr>
              <w:t xml:space="preserve">Banco BBVA Perú, 2026f, p. 3</w:t>
            </w:r>
            <w:r w:rsidDel="00000000" w:rsidR="00000000" w:rsidRPr="00000000">
              <w:rPr>
                <w:rFonts w:ascii="Times New Roman" w:cs="Times New Roman" w:eastAsia="Times New Roman" w:hAnsi="Times New Roman"/>
                <w:i w:val="0"/>
                <w:iCs w:val="0"/>
                <w:sz w:val="18"/>
                <w:szCs w:val="18"/>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82">
            <w:pPr>
              <w:spacing w:after="0" w:line="240" w:lineRule="auto"/>
              <w:jc w:val="left"/>
              <w:rPr>
                <w:rFonts w:ascii="Times New Roman" w:cs="Times New Roman" w:eastAsia="Times New Roman" w:hAnsi="Times New Roman"/>
                <w:sz w:val="18"/>
                <w:szCs w:val="18"/>
              </w:rPr>
            </w:pPr>
            <w:sdt>
              <w:sdtPr>
                <w:id w:val="-1581340432"/>
                <w:tag w:val="goog_rdk_25"/>
              </w:sdtPr>
              <w:sdtContent>
                <w:r w:rsidDel="00000000" w:rsidR="00000000" w:rsidRPr="00000000">
                  <w:rPr>
                    <w:rFonts w:ascii="Gungsuh" w:cs="Gungsuh" w:eastAsia="Gungsuh" w:hAnsi="Gungsuh"/>
                    <w:i w:val="0"/>
                    <w:iCs w:val="0"/>
                    <w:sz w:val="18"/>
                    <w:szCs w:val="18"/>
                    <w:rtl w:val="0"/>
                  </w:rPr>
                  <w:t xml:space="preserve">Ventas digitales ≥ 85 %.</w:t>
                </w:r>
              </w:sdtContent>
            </w:sdt>
            <w:r w:rsidDel="00000000" w:rsidR="00000000" w:rsidRPr="00000000">
              <w:rPr>
                <w:rtl w:val="0"/>
              </w:rPr>
            </w:r>
          </w:p>
        </w:tc>
      </w:tr>
    </w:tbl>
    <w:p w:rsidR="00000000" w:rsidDel="00000000" w:rsidP="00000000" w:rsidRDefault="00000000" w:rsidRPr="00000000" w14:paraId="00000383">
      <w:pPr>
        <w:spacing w:after="22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i w:val="0"/>
          <w:iCs w:val="0"/>
          <w:rtl w:val="0"/>
        </w:rPr>
        <w:t xml:space="preserve">Elaboración propia. La codificación de objetivos corresponde a la </w:t>
      </w:r>
      <w:r w:rsidDel="00000000" w:rsidR="00000000" w:rsidRPr="00000000">
        <w:rPr>
          <w:rFonts w:ascii="Times New Roman" w:cs="Times New Roman" w:eastAsia="Times New Roman" w:hAnsi="Times New Roman"/>
          <w:i w:val="0"/>
          <w:iCs w:val="0"/>
          <w:rtl w:val="0"/>
        </w:rPr>
        <w:t xml:space="preserve">Tabla 10 (sección 2.1)</w:t>
      </w:r>
      <w:r w:rsidDel="00000000" w:rsidR="00000000" w:rsidRPr="00000000">
        <w:rPr>
          <w:rFonts w:ascii="Times New Roman" w:cs="Times New Roman" w:eastAsia="Times New Roman" w:hAnsi="Times New Roman"/>
          <w:i w:val="0"/>
          <w:iCs w:val="0"/>
          <w:rtl w:val="0"/>
        </w:rPr>
        <w:t xml:space="preserve">, elaborada a partir de </w:t>
      </w:r>
      <w:r w:rsidDel="00000000" w:rsidR="00000000" w:rsidRPr="00000000">
        <w:rPr>
          <w:rFonts w:ascii="Times New Roman" w:cs="Times New Roman" w:eastAsia="Times New Roman" w:hAnsi="Times New Roman"/>
          <w:i w:val="0"/>
          <w:iCs w:val="0"/>
          <w:rtl w:val="0"/>
        </w:rPr>
        <w:t xml:space="preserve">BBVA (</w:t>
      </w:r>
      <w:r w:rsidDel="00000000" w:rsidR="00000000" w:rsidRPr="00000000">
        <w:rPr>
          <w:rFonts w:ascii="Times New Roman" w:cs="Times New Roman" w:eastAsia="Times New Roman" w:hAnsi="Times New Roman"/>
          <w:i w:val="0"/>
          <w:iCs w:val="0"/>
          <w:rtl w:val="0"/>
        </w:rPr>
        <w:t xml:space="preserve">2025b</w:t>
      </w:r>
      <w:r w:rsidDel="00000000" w:rsidR="00000000" w:rsidRPr="00000000">
        <w:rPr>
          <w:rFonts w:ascii="Times New Roman" w:cs="Times New Roman" w:eastAsia="Times New Roman" w:hAnsi="Times New Roman"/>
          <w:i w:val="0"/>
          <w:iCs w:val="0"/>
          <w:rtl w:val="0"/>
        </w:rPr>
        <w:t xml:space="preserve">)</w:t>
      </w:r>
      <w:r w:rsidDel="00000000" w:rsidR="00000000" w:rsidRPr="00000000">
        <w:rPr>
          <w:rFonts w:ascii="Times New Roman" w:cs="Times New Roman" w:eastAsia="Times New Roman" w:hAnsi="Times New Roman"/>
          <w:i w:val="0"/>
          <w:iCs w:val="0"/>
          <w:rtl w:val="0"/>
        </w:rPr>
        <w:t xml:space="preserve">.</w:t>
      </w:r>
      <w:r w:rsidDel="00000000" w:rsidR="00000000" w:rsidRPr="00000000">
        <w:rPr>
          <w:rFonts w:ascii="Times New Roman" w:cs="Times New Roman" w:eastAsia="Times New Roman" w:hAnsi="Times New Roman"/>
          <w:i w:val="1"/>
          <w:iCs w:val="1"/>
          <w:rtl w:val="0"/>
        </w:rPr>
        <w:t xml:space="preserve"> Las líneas base y las metas de los objetivos corresponden a la </w:t>
      </w:r>
      <w:r w:rsidDel="00000000" w:rsidR="00000000" w:rsidRPr="00000000">
        <w:rPr>
          <w:rFonts w:ascii="Times New Roman" w:cs="Times New Roman" w:eastAsia="Times New Roman" w:hAnsi="Times New Roman"/>
          <w:i w:val="1"/>
          <w:iCs w:val="1"/>
          <w:rtl w:val="0"/>
        </w:rPr>
        <w:t xml:space="preserve">Tabla 10 (sección 2.1)</w:t>
      </w:r>
      <w:r w:rsidDel="00000000" w:rsidR="00000000" w:rsidRPr="00000000">
        <w:rPr>
          <w:rFonts w:ascii="Times New Roman" w:cs="Times New Roman" w:eastAsia="Times New Roman" w:hAnsi="Times New Roman"/>
          <w:i w:val="1"/>
          <w:iCs w:val="1"/>
          <w:rtl w:val="0"/>
        </w:rPr>
        <w:t xml:space="preserve"> y a las </w:t>
      </w:r>
      <w:r w:rsidDel="00000000" w:rsidR="00000000" w:rsidRPr="00000000">
        <w:rPr>
          <w:rFonts w:ascii="Times New Roman" w:cs="Times New Roman" w:eastAsia="Times New Roman" w:hAnsi="Times New Roman"/>
          <w:i w:val="1"/>
          <w:iCs w:val="1"/>
          <w:rtl w:val="0"/>
        </w:rPr>
        <w:t xml:space="preserve">Tablas 23 a 25 (sección 4.3)</w:t>
      </w:r>
      <w:r w:rsidDel="00000000" w:rsidR="00000000" w:rsidRPr="00000000">
        <w:rPr>
          <w:rFonts w:ascii="Times New Roman" w:cs="Times New Roman" w:eastAsia="Times New Roman" w:hAnsi="Times New Roman"/>
          <w:i w:val="1"/>
          <w:iCs w:val="1"/>
          <w:rtl w:val="0"/>
        </w:rPr>
        <w:t xml:space="preserve">; las metas son propuestas del equipo.</w:t>
      </w:r>
      <w:r w:rsidDel="00000000" w:rsidR="00000000" w:rsidRPr="00000000">
        <w:rPr>
          <w:rtl w:val="0"/>
        </w:rPr>
      </w:r>
    </w:p>
    <w:p w:rsidR="00000000" w:rsidDel="00000000" w:rsidP="00000000" w:rsidRDefault="00000000" w:rsidRPr="00000000" w14:paraId="00000384">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heading=h.siqiz0lzs85m" w:id="27"/>
      <w:bookmarkEnd w:id="27"/>
      <w:r w:rsidDel="00000000" w:rsidR="00000000" w:rsidRPr="00000000">
        <w:rPr>
          <w:rFonts w:ascii="Times New Roman" w:cs="Times New Roman" w:eastAsia="Times New Roman" w:hAnsi="Times New Roman"/>
          <w:b w:val="1"/>
          <w:bCs w:val="1"/>
          <w:sz w:val="22"/>
          <w:szCs w:val="22"/>
          <w:rtl w:val="0"/>
        </w:rPr>
        <w:t xml:space="preserve">Indicadores base de los dolores críticos</w:t>
      </w:r>
    </w:p>
    <w:p w:rsidR="00000000" w:rsidDel="00000000" w:rsidP="00000000" w:rsidRDefault="00000000" w:rsidRPr="00000000" w14:paraId="00000385">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dolor solo es gestionable si puede medirse antes y después de una intervención. Las Tablas 23, 24 y 25 presentan los indicadores seleccionados para monitorear los tres dolores críticos, incluyendo su definición operativa, línea base pública y fuente correspondiente. Las metas propuestas constituyen la elaboración del equipo y deberán validarse con la </w:t>
      </w:r>
      <w:r w:rsidDel="00000000" w:rsidR="00000000" w:rsidRPr="00000000">
        <w:rPr>
          <w:rFonts w:ascii="Times New Roman" w:cs="Times New Roman" w:eastAsia="Times New Roman" w:hAnsi="Times New Roman"/>
          <w:rtl w:val="0"/>
        </w:rPr>
        <w:t xml:space="preserve">entidad. Cada</w:t>
      </w:r>
      <w:r w:rsidDel="00000000" w:rsidR="00000000" w:rsidRPr="00000000">
        <w:rPr>
          <w:rFonts w:ascii="Times New Roman" w:cs="Times New Roman" w:eastAsia="Times New Roman" w:hAnsi="Times New Roman"/>
          <w:rtl w:val="0"/>
        </w:rPr>
        <w:t xml:space="preserve"> indicador consigna su línea base real con periodo de corte y fuente, y una meta cuantificada a 18 meses. Cuando la entidad no publica la cifra, </w:t>
      </w:r>
      <w:r w:rsidDel="00000000" w:rsidR="00000000" w:rsidRPr="00000000">
        <w:rPr>
          <w:rFonts w:ascii="Times New Roman" w:cs="Times New Roman" w:eastAsia="Times New Roman" w:hAnsi="Times New Roman"/>
          <w:rtl w:val="0"/>
        </w:rPr>
        <w:t xml:space="preserve">se declara de forma expresa que la entidad no publica el dato, como en la Tabla 10, se consigna la referencia aproximada o la cota verificable más cercana</w:t>
      </w:r>
      <w:r w:rsidDel="00000000" w:rsidR="00000000" w:rsidRPr="00000000">
        <w:rPr>
          <w:rFonts w:ascii="Times New Roman" w:cs="Times New Roman" w:eastAsia="Times New Roman" w:hAnsi="Times New Roman"/>
          <w:rtl w:val="0"/>
        </w:rPr>
        <w:t xml:space="preserve"> y se fija el protocolo de medición (fórmula, fuente interna, frecuencia y responsable) con una meta relativa a la línea base que se levante en los primeros 90 días.</w:t>
      </w:r>
      <w:r w:rsidDel="00000000" w:rsidR="00000000" w:rsidRPr="00000000">
        <w:rPr>
          <w:rtl w:val="0"/>
        </w:rPr>
      </w:r>
    </w:p>
    <w:p w:rsidR="00000000" w:rsidDel="00000000" w:rsidP="00000000" w:rsidRDefault="00000000" w:rsidRPr="00000000" w14:paraId="00000386">
      <w:pPr>
        <w:spacing w:after="0" w:before="200" w:line="360" w:lineRule="auto"/>
        <w:rPr>
          <w:rFonts w:ascii="Times New Roman" w:cs="Times New Roman" w:eastAsia="Times New Roman" w:hAnsi="Times New Roman"/>
          <w:b w:val="1"/>
          <w:bCs w:val="1"/>
          <w:i w:val="0"/>
          <w:iCs w:val="0"/>
        </w:rPr>
      </w:pPr>
      <w:r w:rsidDel="00000000" w:rsidR="00000000" w:rsidRPr="00000000">
        <w:rPr>
          <w:rFonts w:ascii="Times New Roman" w:cs="Times New Roman" w:eastAsia="Times New Roman" w:hAnsi="Times New Roman"/>
          <w:b w:val="1"/>
          <w:bCs w:val="1"/>
          <w:i w:val="0"/>
          <w:iCs w:val="0"/>
          <w:rtl w:val="0"/>
        </w:rPr>
        <w:t xml:space="preserve">Tabla 23</w:t>
      </w:r>
    </w:p>
    <w:p w:rsidR="00000000" w:rsidDel="00000000" w:rsidP="00000000" w:rsidRDefault="00000000" w:rsidRPr="00000000" w14:paraId="00000387">
      <w:pPr>
        <w:spacing w:after="0" w:before="20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88">
      <w:pP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Indicadores base del dolor crítico DC1: originación de crédito Pyme</w:t>
      </w:r>
      <w:r w:rsidDel="00000000" w:rsidR="00000000" w:rsidRPr="00000000">
        <w:rPr>
          <w:rtl w:val="0"/>
        </w:rPr>
      </w:r>
    </w:p>
    <w:tbl>
      <w:tblPr>
        <w:tblStyle w:val="Table23"/>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700"/>
        <w:gridCol w:w="2100"/>
        <w:gridCol w:w="2900"/>
        <w:gridCol w:w="2326"/>
        <w:tblGridChange w:id="0">
          <w:tblGrid>
            <w:gridCol w:w="1700"/>
            <w:gridCol w:w="2100"/>
            <w:gridCol w:w="2900"/>
            <w:gridCol w:w="2326"/>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38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Indicador</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38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Definición operativa</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38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Línea base y fuente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38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Meta propuesta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8D">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Tasa de originación digital Pyme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8E">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Colocaciones Pyme originadas íntegramente por canal digital sobre el total de colocaciones del segmento.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8F">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33 % (un </w:t>
            </w:r>
            <w:r w:rsidDel="00000000" w:rsidR="00000000" w:rsidRPr="00000000">
              <w:rPr>
                <w:rFonts w:ascii="Times New Roman" w:cs="Times New Roman" w:eastAsia="Times New Roman" w:hAnsi="Times New Roman"/>
                <w:sz w:val="18"/>
                <w:szCs w:val="18"/>
                <w:rtl w:val="0"/>
              </w:rPr>
              <w:t xml:space="preserve">tercio de los créditos otorgados</w:t>
            </w:r>
            <w:r w:rsidDel="00000000" w:rsidR="00000000" w:rsidRPr="00000000">
              <w:rPr>
                <w:rFonts w:ascii="Times New Roman" w:cs="Times New Roman" w:eastAsia="Times New Roman" w:hAnsi="Times New Roman"/>
                <w:i w:val="0"/>
                <w:iCs w:val="0"/>
                <w:sz w:val="18"/>
                <w:szCs w:val="18"/>
                <w:rtl w:val="0"/>
              </w:rPr>
              <w:t xml:space="preserve">). Fuente: Reusche (2026).</w:t>
            </w:r>
            <w:r w:rsidDel="00000000" w:rsidR="00000000" w:rsidRPr="00000000">
              <w:rPr>
                <w:rFonts w:ascii="Times New Roman" w:cs="Times New Roman" w:eastAsia="Times New Roman" w:hAnsi="Times New Roman"/>
                <w:i w:val="0"/>
                <w:iCs w:val="0"/>
                <w:sz w:val="18"/>
                <w:szCs w:val="18"/>
                <w:rtl w:val="0"/>
              </w:rPr>
              <w:t xml:space="preserve"> Tendencia: aproximadamente 30 % al cierre de 2025 (</w:t>
            </w:r>
            <w:r w:rsidDel="00000000" w:rsidR="00000000" w:rsidRPr="00000000">
              <w:rPr>
                <w:rFonts w:ascii="Times New Roman" w:cs="Times New Roman" w:eastAsia="Times New Roman" w:hAnsi="Times New Roman"/>
                <w:i w:val="0"/>
                <w:iCs w:val="0"/>
                <w:sz w:val="18"/>
                <w:szCs w:val="18"/>
                <w:rtl w:val="0"/>
              </w:rPr>
              <w:t xml:space="preserve">BBVA, 2026e</w:t>
            </w:r>
            <w:r w:rsidDel="00000000" w:rsidR="00000000" w:rsidRPr="00000000">
              <w:rPr>
                <w:rFonts w:ascii="Times New Roman" w:cs="Times New Roman" w:eastAsia="Times New Roman" w:hAnsi="Times New Roman"/>
                <w:i w:val="0"/>
                <w:iCs w:val="0"/>
                <w:sz w:val="18"/>
                <w:szCs w:val="18"/>
                <w:rtl w:val="0"/>
              </w:rPr>
              <w:t xml:space="preserve">), es decir, unos 3 puntos en el semestre.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90">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60 % en </w:t>
            </w:r>
            <w:r w:rsidDel="00000000" w:rsidR="00000000" w:rsidRPr="00000000">
              <w:rPr>
                <w:rFonts w:ascii="Times New Roman" w:cs="Times New Roman" w:eastAsia="Times New Roman" w:hAnsi="Times New Roman"/>
                <w:i w:val="0"/>
                <w:iCs w:val="0"/>
                <w:sz w:val="18"/>
                <w:szCs w:val="18"/>
                <w:rtl w:val="0"/>
              </w:rPr>
              <w:t xml:space="preserve">18 meses</w:t>
            </w:r>
            <w:r w:rsidDel="00000000" w:rsidR="00000000" w:rsidRPr="00000000">
              <w:rPr>
                <w:rFonts w:ascii="Times New Roman" w:cs="Times New Roman" w:eastAsia="Times New Roman" w:hAnsi="Times New Roman"/>
                <w:i w:val="0"/>
                <w:iCs w:val="0"/>
                <w:sz w:val="18"/>
                <w:szCs w:val="18"/>
                <w:rtl w:val="0"/>
              </w:rPr>
              <w:t xml:space="preserve"> (+27 puntos). Exige un ritmo cercano a 18 puntos por año, frente a unos 6 observados entre el cierre de 2025 y el 2T2026 (estimación gruesa, porque ambas cifras son aproximadas).</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391">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Tiempo de ciclo del crédito digital Pyme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92">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Tiempo desde la solicitud hasta la aprobación del crédito digital. </w:t>
            </w:r>
          </w:p>
        </w:tc>
        <w:tc>
          <w:tcPr>
            <w:shd w:fill="f2f5fa" w:val="clear"/>
            <w:tcMar>
              <w:top w:w="60.0" w:type="dxa"/>
              <w:left w:w="90.0" w:type="dxa"/>
              <w:bottom w:w="60.0" w:type="dxa"/>
              <w:right w:w="90.0" w:type="dxa"/>
            </w:tcMar>
            <w:vAlign w:val="center"/>
          </w:tcPr>
          <w:p w:rsidR="00000000" w:rsidDel="00000000" w:rsidP="00000000" w:rsidRDefault="00000000" w:rsidRPr="00000000" w14:paraId="00000393">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minutos promedio al cierre del 2T2026. Fuente: Reusche </w:t>
            </w:r>
            <w:r w:rsidDel="00000000" w:rsidR="00000000" w:rsidRPr="00000000">
              <w:rPr>
                <w:rFonts w:ascii="Times New Roman" w:cs="Times New Roman" w:eastAsia="Times New Roman" w:hAnsi="Times New Roman"/>
                <w:sz w:val="18"/>
                <w:szCs w:val="18"/>
                <w:rtl w:val="0"/>
              </w:rPr>
              <w:t xml:space="preserve">(2026). La contratación</w:t>
            </w:r>
            <w:r w:rsidDel="00000000" w:rsidR="00000000" w:rsidRPr="00000000">
              <w:rPr>
                <w:rFonts w:ascii="Times New Roman" w:cs="Times New Roman" w:eastAsia="Times New Roman" w:hAnsi="Times New Roman"/>
                <w:sz w:val="18"/>
                <w:szCs w:val="18"/>
                <w:rtl w:val="0"/>
              </w:rPr>
              <w:t xml:space="preserve"> del Préstamo Digital Negocio se declara en menos de 2 minutos (</w:t>
            </w:r>
            <w:r w:rsidDel="00000000" w:rsidR="00000000" w:rsidRPr="00000000">
              <w:rPr>
                <w:rFonts w:ascii="Times New Roman" w:cs="Times New Roman" w:eastAsia="Times New Roman" w:hAnsi="Times New Roman"/>
                <w:sz w:val="18"/>
                <w:szCs w:val="18"/>
                <w:rtl w:val="0"/>
              </w:rPr>
              <w:t xml:space="preserve">Banco BBVA Perú, s. f.-l</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94">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Mantener en tres minutos o menos. </w:t>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95">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Tiempo de ciclo de la ruta asistida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96">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Tiempo desde la solicitud hasta la aprobación en canal asistido.</w:t>
            </w:r>
            <w:r w:rsidDel="00000000" w:rsidR="00000000" w:rsidRPr="00000000">
              <w:rPr>
                <w:rFonts w:ascii="Times New Roman" w:cs="Times New Roman" w:eastAsia="Times New Roman" w:hAnsi="Times New Roman"/>
                <w:i w:val="0"/>
                <w:iCs w:val="0"/>
                <w:sz w:val="18"/>
                <w:szCs w:val="18"/>
                <w:rtl w:val="0"/>
              </w:rPr>
              <w:t xml:space="preserve"> Medición: marca de tiempo de solicitud y de aprobación en el sistema de originación; mediana y percentil 90; frecuencia mensual; responsable: Banca Pyme.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97">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entidad no publica este indicador.</w:t>
            </w:r>
            <w:r w:rsidDel="00000000" w:rsidR="00000000" w:rsidRPr="00000000">
              <w:rPr>
                <w:rFonts w:ascii="Times New Roman" w:cs="Times New Roman" w:eastAsia="Times New Roman" w:hAnsi="Times New Roman"/>
                <w:sz w:val="18"/>
                <w:szCs w:val="18"/>
                <w:rtl w:val="0"/>
              </w:rPr>
              <w:t xml:space="preserve"> Cota inferior verificable: la ruta digital se resuelve en 3 minutos (Reusche, 2026), de modo que la ruta asistida, que exige documentación financiera no estructurada (Melo, 2026), tarda más de 3 minutos. Línea base a levantar en los primeros 90 días.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98">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Reducir 30 % la mediana respecto de la línea base levantada, a 18 meses (propuesta del equipo).</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399">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Costo unitario de originación por canal</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9A">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Costo total del proceso dividido entre el número de créditos originados en cada canal.</w:t>
            </w:r>
            <w:r w:rsidDel="00000000" w:rsidR="00000000" w:rsidRPr="00000000">
              <w:rPr>
                <w:rFonts w:ascii="Times New Roman" w:cs="Times New Roman" w:eastAsia="Times New Roman" w:hAnsi="Times New Roman"/>
                <w:i w:val="0"/>
                <w:iCs w:val="0"/>
                <w:sz w:val="18"/>
                <w:szCs w:val="18"/>
                <w:rtl w:val="0"/>
              </w:rPr>
              <w:t xml:space="preserve"> Medición: costo total del proceso (personal, tecnología y soporte) entre créditos desembolsados por canal; frecuencia trimestral; responsable: Finanzas.</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9B">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entidad no publica este indicador. Referencia aproximada:</w:t>
            </w:r>
            <w:r w:rsidDel="00000000" w:rsidR="00000000" w:rsidRPr="00000000">
              <w:rPr>
                <w:rFonts w:ascii="Times New Roman" w:cs="Times New Roman" w:eastAsia="Times New Roman" w:hAnsi="Times New Roman"/>
                <w:sz w:val="18"/>
                <w:szCs w:val="18"/>
                <w:rtl w:val="0"/>
              </w:rPr>
              <w:t xml:space="preserve"> ratio de eficiencia de 40.0 % al 2T2026 (</w:t>
            </w:r>
            <w:r w:rsidDel="00000000" w:rsidR="00000000" w:rsidRPr="00000000">
              <w:rPr>
                <w:rFonts w:ascii="Times New Roman" w:cs="Times New Roman" w:eastAsia="Times New Roman" w:hAnsi="Times New Roman"/>
                <w:sz w:val="18"/>
                <w:szCs w:val="18"/>
                <w:rtl w:val="0"/>
              </w:rPr>
              <w:t xml:space="preserve">Banco BBVA Perú, 2026f</w:t>
            </w:r>
            <w:r w:rsidDel="00000000" w:rsidR="00000000" w:rsidRPr="00000000">
              <w:rPr>
                <w:rFonts w:ascii="Times New Roman" w:cs="Times New Roman" w:eastAsia="Times New Roman" w:hAnsi="Times New Roman"/>
                <w:sz w:val="18"/>
                <w:szCs w:val="18"/>
                <w:rtl w:val="0"/>
              </w:rPr>
              <w:t xml:space="preserve">), que no distingue canal ni segmento. Línea base a levantar en los primeros 90 días.</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9C">
            <w:pPr>
              <w:spacing w:after="0" w:line="240" w:lineRule="auto"/>
              <w:jc w:val="left"/>
              <w:rPr>
                <w:rFonts w:ascii="Times New Roman" w:cs="Times New Roman" w:eastAsia="Times New Roman" w:hAnsi="Times New Roman"/>
                <w:sz w:val="18"/>
                <w:szCs w:val="18"/>
              </w:rPr>
            </w:pPr>
            <w:sdt>
              <w:sdtPr>
                <w:id w:val="-267907959"/>
                <w:tag w:val="goog_rdk_26"/>
              </w:sdtPr>
              <w:sdtContent>
                <w:r w:rsidDel="00000000" w:rsidR="00000000" w:rsidRPr="00000000">
                  <w:rPr>
                    <w:rFonts w:ascii="Gungsuh" w:cs="Gungsuh" w:eastAsia="Gungsuh" w:hAnsi="Gungsuh"/>
                    <w:i w:val="0"/>
                    <w:iCs w:val="0"/>
                    <w:sz w:val="18"/>
                    <w:szCs w:val="18"/>
                    <w:rtl w:val="0"/>
                  </w:rPr>
                  <w:t xml:space="preserve">Reducir 20 % el costo unitario promedio ponderado del segmento a 18 meses (propuesta del equipo), con ratio de eficiencia institucional ≤ 40.0 %.</w:t>
                </w:r>
              </w:sdtContent>
            </w:sdt>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9D">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Transaccionalidad digital del portafolio Pyme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9E">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Portafolio Pyme que transacciona por canales digitales sobre el total del segmento.</w:t>
            </w:r>
          </w:p>
        </w:tc>
        <w:tc>
          <w:tcPr>
            <w:tcMar>
              <w:top w:w="60.0" w:type="dxa"/>
              <w:left w:w="90.0" w:type="dxa"/>
              <w:bottom w:w="60.0" w:type="dxa"/>
              <w:right w:w="90.0" w:type="dxa"/>
            </w:tcMar>
            <w:vAlign w:val="center"/>
          </w:tcPr>
          <w:p w:rsidR="00000000" w:rsidDel="00000000" w:rsidP="00000000" w:rsidRDefault="00000000" w:rsidRPr="00000000" w14:paraId="0000039F">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75 % al cierre del 2T2026. Fuente: Reusche (2026).</w:t>
            </w:r>
          </w:p>
        </w:tc>
        <w:tc>
          <w:tcPr>
            <w:tcMar>
              <w:top w:w="60.0" w:type="dxa"/>
              <w:left w:w="90.0" w:type="dxa"/>
              <w:bottom w:w="60.0" w:type="dxa"/>
              <w:right w:w="90.0" w:type="dxa"/>
            </w:tcMar>
            <w:vAlign w:val="center"/>
          </w:tcPr>
          <w:p w:rsidR="00000000" w:rsidDel="00000000" w:rsidP="00000000" w:rsidRDefault="00000000" w:rsidRPr="00000000" w14:paraId="000003A0">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85 % en </w:t>
            </w:r>
            <w:r w:rsidDel="00000000" w:rsidR="00000000" w:rsidRPr="00000000">
              <w:rPr>
                <w:rFonts w:ascii="Times New Roman" w:cs="Times New Roman" w:eastAsia="Times New Roman" w:hAnsi="Times New Roman"/>
                <w:i w:val="0"/>
                <w:iCs w:val="0"/>
                <w:sz w:val="18"/>
                <w:szCs w:val="18"/>
                <w:rtl w:val="0"/>
              </w:rPr>
              <w:t xml:space="preserve">12 meses</w:t>
            </w:r>
            <w:r w:rsidDel="00000000" w:rsidR="00000000" w:rsidRPr="00000000">
              <w:rPr>
                <w:rFonts w:ascii="Times New Roman" w:cs="Times New Roman" w:eastAsia="Times New Roman" w:hAnsi="Times New Roman"/>
                <w:i w:val="0"/>
                <w:iCs w:val="0"/>
                <w:sz w:val="18"/>
                <w:szCs w:val="18"/>
                <w:rtl w:val="0"/>
              </w:rPr>
              <w:t xml:space="preserve">.</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3A1">
            <w:pPr>
              <w:spacing w:after="0" w:line="240" w:lineRule="auto"/>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Clientes Pyme digitales </w:t>
            </w:r>
          </w:p>
        </w:tc>
        <w:tc>
          <w:tcPr>
            <w:shd w:fill="f2f5fa" w:val="clear"/>
            <w:tcMar>
              <w:top w:w="60.0" w:type="dxa"/>
              <w:left w:w="90.0" w:type="dxa"/>
              <w:bottom w:w="60.0" w:type="dxa"/>
              <w:right w:w="90.0" w:type="dxa"/>
            </w:tcMar>
            <w:vAlign w:val="center"/>
          </w:tcPr>
          <w:p w:rsidR="00000000" w:rsidDel="00000000" w:rsidP="00000000" w:rsidRDefault="00000000" w:rsidRPr="00000000" w14:paraId="000003A2">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Clientes Pyme que operan por canales digitales sobre el total de clientes del segmento. </w:t>
            </w:r>
          </w:p>
        </w:tc>
        <w:tc>
          <w:tcPr>
            <w:shd w:fill="f2f5fa" w:val="clear"/>
            <w:tcMar>
              <w:top w:w="60.0" w:type="dxa"/>
              <w:left w:w="90.0" w:type="dxa"/>
              <w:bottom w:w="60.0" w:type="dxa"/>
              <w:right w:w="90.0" w:type="dxa"/>
            </w:tcMar>
            <w:vAlign w:val="center"/>
          </w:tcPr>
          <w:p w:rsidR="00000000" w:rsidDel="00000000" w:rsidP="00000000" w:rsidRDefault="00000000" w:rsidRPr="00000000" w14:paraId="000003A3">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74 % al cierre de 2025. Fuente: BBVA (</w:t>
            </w:r>
            <w:r w:rsidDel="00000000" w:rsidR="00000000" w:rsidRPr="00000000">
              <w:rPr>
                <w:rFonts w:ascii="Times New Roman" w:cs="Times New Roman" w:eastAsia="Times New Roman" w:hAnsi="Times New Roman"/>
                <w:sz w:val="18"/>
                <w:szCs w:val="18"/>
                <w:rtl w:val="0"/>
              </w:rPr>
              <w:t xml:space="preserve">2026a</w:t>
            </w:r>
            <w:r w:rsidDel="00000000" w:rsidR="00000000" w:rsidRPr="00000000">
              <w:rPr>
                <w:rFonts w:ascii="Times New Roman" w:cs="Times New Roman" w:eastAsia="Times New Roman" w:hAnsi="Times New Roman"/>
                <w:sz w:val="18"/>
                <w:szCs w:val="18"/>
                <w:rtl w:val="0"/>
              </w:rPr>
              <w:t xml:space="preserve">). </w:t>
            </w:r>
          </w:p>
        </w:tc>
        <w:tc>
          <w:tcPr>
            <w:shd w:fill="f2f5fa" w:val="clear"/>
            <w:tcMar>
              <w:top w:w="60.0" w:type="dxa"/>
              <w:left w:w="90.0" w:type="dxa"/>
              <w:bottom w:w="60.0" w:type="dxa"/>
              <w:right w:w="90.0" w:type="dxa"/>
            </w:tcMar>
            <w:vAlign w:val="center"/>
          </w:tcPr>
          <w:p w:rsidR="00000000" w:rsidDel="00000000" w:rsidP="00000000" w:rsidRDefault="00000000" w:rsidRPr="00000000" w14:paraId="000003A4">
            <w:pPr>
              <w:spacing w:after="0" w:line="240" w:lineRule="auto"/>
              <w:jc w:val="left"/>
              <w:rPr>
                <w:rFonts w:ascii="Times New Roman" w:cs="Times New Roman" w:eastAsia="Times New Roman" w:hAnsi="Times New Roman"/>
                <w:i w:val="0"/>
                <w:iCs w:val="0"/>
                <w:sz w:val="18"/>
                <w:szCs w:val="18"/>
              </w:rPr>
            </w:pPr>
            <w:r w:rsidDel="00000000" w:rsidR="00000000" w:rsidRPr="00000000">
              <w:rPr>
                <w:rFonts w:ascii="Times New Roman" w:cs="Times New Roman" w:eastAsia="Times New Roman" w:hAnsi="Times New Roman"/>
                <w:sz w:val="18"/>
                <w:szCs w:val="18"/>
                <w:rtl w:val="0"/>
              </w:rPr>
              <w:t xml:space="preserve">85 % en </w:t>
            </w:r>
            <w:r w:rsidDel="00000000" w:rsidR="00000000" w:rsidRPr="00000000">
              <w:rPr>
                <w:rFonts w:ascii="Times New Roman" w:cs="Times New Roman" w:eastAsia="Times New Roman" w:hAnsi="Times New Roman"/>
                <w:sz w:val="18"/>
                <w:szCs w:val="18"/>
                <w:rtl w:val="0"/>
              </w:rPr>
              <w:t xml:space="preserve">18 meses</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14:paraId="000003A5">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NPS del segmento Pyme</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3A6">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Índice de recomendación neta del segmento.</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3A7">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33.6 en 2025, frente a 52.57 en retail: brecha de 18.97 puntos. Fuente: Banco BBVA Perú (</w:t>
            </w:r>
            <w:r w:rsidDel="00000000" w:rsidR="00000000" w:rsidRPr="00000000">
              <w:rPr>
                <w:rFonts w:ascii="Times New Roman" w:cs="Times New Roman" w:eastAsia="Times New Roman" w:hAnsi="Times New Roman"/>
                <w:i w:val="0"/>
                <w:iCs w:val="0"/>
                <w:sz w:val="18"/>
                <w:szCs w:val="18"/>
                <w:rtl w:val="0"/>
              </w:rPr>
              <w:t xml:space="preserve">2026g, p. 26</w:t>
            </w:r>
            <w:r w:rsidDel="00000000" w:rsidR="00000000" w:rsidRPr="00000000">
              <w:rPr>
                <w:rFonts w:ascii="Times New Roman" w:cs="Times New Roman" w:eastAsia="Times New Roman" w:hAnsi="Times New Roman"/>
                <w:i w:val="0"/>
                <w:iCs w:val="0"/>
                <w:sz w:val="18"/>
                <w:szCs w:val="18"/>
                <w:rtl w:val="0"/>
              </w:rPr>
              <w:t xml:space="preserve">).</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3A8">
            <w:pPr>
              <w:spacing w:after="0" w:line="240" w:lineRule="auto"/>
              <w:jc w:val="left"/>
              <w:rPr>
                <w:rFonts w:ascii="Times New Roman" w:cs="Times New Roman" w:eastAsia="Times New Roman" w:hAnsi="Times New Roman"/>
                <w:sz w:val="18"/>
                <w:szCs w:val="18"/>
              </w:rPr>
            </w:pPr>
            <w:sdt>
              <w:sdtPr>
                <w:id w:val="-240724137"/>
                <w:tag w:val="goog_rdk_27"/>
              </w:sdtPr>
              <w:sdtContent>
                <w:r w:rsidDel="00000000" w:rsidR="00000000" w:rsidRPr="00000000">
                  <w:rPr>
                    <w:rFonts w:ascii="Gungsuh" w:cs="Gungsuh" w:eastAsia="Gungsuh" w:hAnsi="Gungsuh"/>
                    <w:i w:val="0"/>
                    <w:iCs w:val="0"/>
                    <w:sz w:val="18"/>
                    <w:szCs w:val="18"/>
                    <w:rtl w:val="0"/>
                  </w:rPr>
                  <w:t xml:space="preserve">NPS Pyme ≥ 43.0 a 18 meses (brecha con retail ≤ 9.6 puntos, cerca de la mitad de la actual), coherente con la meta del OE1 en la </w:t>
                </w:r>
              </w:sdtContent>
            </w:sdt>
            <w:r w:rsidDel="00000000" w:rsidR="00000000" w:rsidRPr="00000000">
              <w:rPr>
                <w:rFonts w:ascii="Times New Roman" w:cs="Times New Roman" w:eastAsia="Times New Roman" w:hAnsi="Times New Roman"/>
                <w:i w:val="0"/>
                <w:iCs w:val="0"/>
                <w:sz w:val="18"/>
                <w:szCs w:val="18"/>
                <w:rtl w:val="0"/>
              </w:rPr>
              <w:t xml:space="preserve">Tabla 10 (sección 2.1)</w:t>
            </w:r>
            <w:r w:rsidDel="00000000" w:rsidR="00000000" w:rsidRPr="00000000">
              <w:rPr>
                <w:rFonts w:ascii="Times New Roman" w:cs="Times New Roman" w:eastAsia="Times New Roman" w:hAnsi="Times New Roman"/>
                <w:i w:val="0"/>
                <w:iCs w:val="0"/>
                <w:sz w:val="18"/>
                <w:szCs w:val="18"/>
                <w:rtl w:val="0"/>
              </w:rPr>
              <w:t xml:space="preserve">.</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3A9">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Tasa de aprobación de solicitudes Pyme</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AA">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Solicitudes aprobadas sobre solicitudes presentadas.</w:t>
            </w:r>
            <w:r w:rsidDel="00000000" w:rsidR="00000000" w:rsidRPr="00000000">
              <w:rPr>
                <w:rFonts w:ascii="Times New Roman" w:cs="Times New Roman" w:eastAsia="Times New Roman" w:hAnsi="Times New Roman"/>
                <w:i w:val="0"/>
                <w:iCs w:val="0"/>
                <w:sz w:val="18"/>
                <w:szCs w:val="18"/>
                <w:rtl w:val="0"/>
              </w:rPr>
              <w:t xml:space="preserve"> Medición: solicitudes aprobadas sobre presentadas por canal; frecuencia mensual; responsable: Riesgos Pyme.</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AB">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entidad no publica este indicador.</w:t>
            </w:r>
            <w:r w:rsidDel="00000000" w:rsidR="00000000" w:rsidRPr="00000000">
              <w:rPr>
                <w:rFonts w:ascii="Times New Roman" w:cs="Times New Roman" w:eastAsia="Times New Roman" w:hAnsi="Times New Roman"/>
                <w:sz w:val="18"/>
                <w:szCs w:val="18"/>
                <w:rtl w:val="0"/>
              </w:rPr>
              <w:t xml:space="preserve"> Referencia sectorial, no comparable de forma directa: una de cada cuatro microempresas accede a crédito (Melo, 2026). Línea base a levantar en los primeros 90 días.</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AC">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Elevar 5 puntos porcentuales la tasa de la ruta digital respecto de la línea base levantada, sin superar la mora de 2.69 % (propuesta del equipo).</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3AD">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Principalidad de clientes Pyme</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AE">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Clientes Pyme que manejan de forma principal sus cuentas corrientes y de ahorro transaccionales en la entidad sobre el total de clientes del segmento.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AF">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48 % al 2T2026. Fuente: Reusche (2026).</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B0">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55 % en </w:t>
            </w:r>
            <w:r w:rsidDel="00000000" w:rsidR="00000000" w:rsidRPr="00000000">
              <w:rPr>
                <w:rFonts w:ascii="Times New Roman" w:cs="Times New Roman" w:eastAsia="Times New Roman" w:hAnsi="Times New Roman"/>
                <w:i w:val="0"/>
                <w:iCs w:val="0"/>
                <w:sz w:val="18"/>
                <w:szCs w:val="18"/>
                <w:rtl w:val="0"/>
              </w:rPr>
              <w:t xml:space="preserve">18 meses</w:t>
            </w:r>
            <w:r w:rsidDel="00000000" w:rsidR="00000000" w:rsidRPr="00000000">
              <w:rPr>
                <w:rFonts w:ascii="Times New Roman" w:cs="Times New Roman" w:eastAsia="Times New Roman" w:hAnsi="Times New Roman"/>
                <w:i w:val="0"/>
                <w:iCs w:val="0"/>
                <w:sz w:val="18"/>
                <w:szCs w:val="18"/>
                <w:rtl w:val="0"/>
              </w:rPr>
              <w:t xml:space="preserve"> (+7 puntos; propuesta del equipo).</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3B1">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Calidad de cartera (límite de control del crecimiento digital)</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B2">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Ratio de mora de la entidad, para verificar que la ampliación de la originación digital no deteriore la calidad de cartera.</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B3">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2.69 % al 2T2026, frente a 2.83 % del sistema bancario a mayo de 2026 (</w:t>
            </w:r>
            <w:r w:rsidDel="00000000" w:rsidR="00000000" w:rsidRPr="00000000">
              <w:rPr>
                <w:rFonts w:ascii="Times New Roman" w:cs="Times New Roman" w:eastAsia="Times New Roman" w:hAnsi="Times New Roman"/>
                <w:sz w:val="18"/>
                <w:szCs w:val="18"/>
                <w:rtl w:val="0"/>
              </w:rPr>
              <w:t xml:space="preserve">Banco BBVA Perú, 2026f, pp. 17 y 24</w:t>
            </w:r>
            <w:r w:rsidDel="00000000" w:rsidR="00000000" w:rsidRPr="00000000">
              <w:rPr>
                <w:rFonts w:ascii="Times New Roman" w:cs="Times New Roman" w:eastAsia="Times New Roman" w:hAnsi="Times New Roman"/>
                <w:sz w:val="18"/>
                <w:szCs w:val="18"/>
                <w:rtl w:val="0"/>
              </w:rPr>
              <w:t xml:space="preserve">). Referencia sectorial: morosidad MYPE de 6.9 % frente a 3.3 % del sistema financiero a marzo de 2026 (Salazar Herrada, 2026).</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B4">
            <w:pPr>
              <w:spacing w:after="0" w:line="240" w:lineRule="auto"/>
              <w:jc w:val="left"/>
              <w:rPr>
                <w:rFonts w:ascii="Times New Roman" w:cs="Times New Roman" w:eastAsia="Times New Roman" w:hAnsi="Times New Roman"/>
                <w:sz w:val="18"/>
                <w:szCs w:val="18"/>
              </w:rPr>
            </w:pPr>
            <w:sdt>
              <w:sdtPr>
                <w:id w:val="298745838"/>
                <w:tag w:val="goog_rdk_28"/>
              </w:sdtPr>
              <w:sdtContent>
                <w:r w:rsidDel="00000000" w:rsidR="00000000" w:rsidRPr="00000000">
                  <w:rPr>
                    <w:rFonts w:ascii="Gungsuh" w:cs="Gungsuh" w:eastAsia="Gungsuh" w:hAnsi="Gungsuh"/>
                    <w:i w:val="0"/>
                    <w:iCs w:val="0"/>
                    <w:sz w:val="18"/>
                    <w:szCs w:val="18"/>
                    <w:rtl w:val="0"/>
                  </w:rPr>
                  <w:t xml:space="preserve">Mantener la mora ≤ 2.69 % mientras la originación digital pasa a 60 % (propuesta del equipo).</w:t>
                </w:r>
              </w:sdtContent>
            </w:sdt>
            <w:r w:rsidDel="00000000" w:rsidR="00000000" w:rsidRPr="00000000">
              <w:rPr>
                <w:rtl w:val="0"/>
              </w:rPr>
            </w:r>
          </w:p>
        </w:tc>
      </w:tr>
    </w:tbl>
    <w:p w:rsidR="00000000" w:rsidDel="00000000" w:rsidP="00000000" w:rsidRDefault="00000000" w:rsidRPr="00000000" w14:paraId="000003B5">
      <w:pPr>
        <w:spacing w:after="22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Reusche (2026), Banco BBVA Perú (</w:t>
      </w:r>
      <w:r w:rsidDel="00000000" w:rsidR="00000000" w:rsidRPr="00000000">
        <w:rPr>
          <w:rFonts w:ascii="Times New Roman" w:cs="Times New Roman" w:eastAsia="Times New Roman" w:hAnsi="Times New Roman"/>
          <w:rtl w:val="0"/>
        </w:rPr>
        <w:t xml:space="preserve">2026g</w:t>
      </w:r>
      <w:r w:rsidDel="00000000" w:rsidR="00000000" w:rsidRPr="00000000">
        <w:rPr>
          <w:rFonts w:ascii="Times New Roman" w:cs="Times New Roman" w:eastAsia="Times New Roman" w:hAnsi="Times New Roman"/>
          <w:rtl w:val="0"/>
        </w:rPr>
        <w:t xml:space="preserve">) y Melo (2026). Las metas propuestas corresponden al equipo y no constituyen compromisos declarados por la entidad. </w:t>
      </w:r>
    </w:p>
    <w:p w:rsidR="00000000" w:rsidDel="00000000" w:rsidP="00000000" w:rsidRDefault="00000000" w:rsidRPr="00000000" w14:paraId="000003B6">
      <w:pPr>
        <w:spacing w:after="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24</w:t>
      </w:r>
      <w:r w:rsidDel="00000000" w:rsidR="00000000" w:rsidRPr="00000000">
        <w:rPr>
          <w:rtl w:val="0"/>
        </w:rPr>
      </w:r>
    </w:p>
    <w:p w:rsidR="00000000" w:rsidDel="00000000" w:rsidP="00000000" w:rsidRDefault="00000000" w:rsidRPr="00000000" w14:paraId="000003B7">
      <w:pP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Indicadores base del dolor crítico DC2: operaciones no reconocidas</w:t>
      </w:r>
      <w:r w:rsidDel="00000000" w:rsidR="00000000" w:rsidRPr="00000000">
        <w:rPr>
          <w:rtl w:val="0"/>
        </w:rPr>
      </w:r>
    </w:p>
    <w:tbl>
      <w:tblPr>
        <w:tblStyle w:val="Table24"/>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200"/>
        <w:gridCol w:w="2200"/>
        <w:gridCol w:w="2535"/>
        <w:gridCol w:w="1291"/>
        <w:gridCol w:w="1800"/>
        <w:tblGridChange w:id="0">
          <w:tblGrid>
            <w:gridCol w:w="1200"/>
            <w:gridCol w:w="2200"/>
            <w:gridCol w:w="2535"/>
            <w:gridCol w:w="1291"/>
            <w:gridCol w:w="180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3B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Indicador</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3B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Definición operativa</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3B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Línea base y fuente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3BB">
            <w:pPr>
              <w:spacing w:after="0" w:line="240" w:lineRule="auto"/>
              <w:jc w:val="center"/>
              <w:rPr>
                <w:rFonts w:ascii="Times New Roman" w:cs="Times New Roman" w:eastAsia="Times New Roman" w:hAnsi="Times New Roman"/>
                <w:b w:val="1"/>
                <w:bCs w:val="1"/>
                <w:i w:val="0"/>
                <w:iCs w:val="0"/>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Referencia comparativa </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3B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Meta propuesta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BD">
            <w:pPr>
              <w:spacing w:after="0" w:line="240" w:lineRule="auto"/>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Tiempo promedio de absolución </w:t>
            </w:r>
          </w:p>
        </w:tc>
        <w:tc>
          <w:tcPr>
            <w:tcMar>
              <w:top w:w="60.0" w:type="dxa"/>
              <w:left w:w="90.0" w:type="dxa"/>
              <w:bottom w:w="60.0" w:type="dxa"/>
              <w:right w:w="90.0" w:type="dxa"/>
            </w:tcMar>
            <w:vAlign w:val="center"/>
          </w:tcPr>
          <w:p w:rsidR="00000000" w:rsidDel="00000000" w:rsidP="00000000" w:rsidRDefault="00000000" w:rsidRPr="00000000" w14:paraId="000003BE">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Tiempo promedio ponderado de absolución de reclamos por operaciones no reconocidas sin abono temporal en los tres productos donde la entidad difunde esta materia.</w:t>
            </w:r>
          </w:p>
        </w:tc>
        <w:tc>
          <w:tcPr>
            <w:tcMar>
              <w:top w:w="60.0" w:type="dxa"/>
              <w:left w:w="90.0" w:type="dxa"/>
              <w:bottom w:w="60.0" w:type="dxa"/>
              <w:right w:w="90.0" w:type="dxa"/>
            </w:tcMar>
            <w:vAlign w:val="center"/>
          </w:tcPr>
          <w:p w:rsidR="00000000" w:rsidDel="00000000" w:rsidP="00000000" w:rsidRDefault="00000000" w:rsidRPr="00000000" w14:paraId="000003BF">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11.29 en el 2T2026. Cálculo propio con base en Banco BBVA Perú (</w:t>
            </w:r>
            <w:r w:rsidDel="00000000" w:rsidR="00000000" w:rsidRPr="00000000">
              <w:rPr>
                <w:rFonts w:ascii="Times New Roman" w:cs="Times New Roman" w:eastAsia="Times New Roman" w:hAnsi="Times New Roman"/>
                <w:sz w:val="18"/>
                <w:szCs w:val="18"/>
                <w:rtl w:val="0"/>
              </w:rPr>
              <w:t xml:space="preserve">2026a, 2026b, 2026c</w:t>
            </w:r>
            <w:r w:rsidDel="00000000" w:rsidR="00000000" w:rsidRPr="00000000">
              <w:rPr>
                <w:rFonts w:ascii="Times New Roman" w:cs="Times New Roman" w:eastAsia="Times New Roman" w:hAnsi="Times New Roman"/>
                <w:sz w:val="18"/>
                <w:szCs w:val="18"/>
                <w:rtl w:val="0"/>
              </w:rPr>
              <w:t xml:space="preserve">). </w:t>
            </w:r>
          </w:p>
        </w:tc>
        <w:tc>
          <w:tcPr>
            <w:tcMar>
              <w:top w:w="60.0" w:type="dxa"/>
              <w:left w:w="90.0" w:type="dxa"/>
              <w:bottom w:w="60.0" w:type="dxa"/>
              <w:right w:w="90.0" w:type="dxa"/>
            </w:tcMar>
            <w:vAlign w:val="center"/>
          </w:tcPr>
          <w:p w:rsidR="00000000" w:rsidDel="00000000" w:rsidP="00000000" w:rsidRDefault="00000000" w:rsidRPr="00000000" w14:paraId="000003C0">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8.02 para el conjunto de reclamos absueltos por la entidad en el mismo periodo. </w:t>
            </w:r>
          </w:p>
        </w:tc>
        <w:tc>
          <w:tcPr>
            <w:tcMar>
              <w:top w:w="60.0" w:type="dxa"/>
              <w:left w:w="90.0" w:type="dxa"/>
              <w:bottom w:w="60.0" w:type="dxa"/>
              <w:right w:w="90.0" w:type="dxa"/>
            </w:tcMar>
            <w:vAlign w:val="center"/>
          </w:tcPr>
          <w:p w:rsidR="00000000" w:rsidDel="00000000" w:rsidP="00000000" w:rsidRDefault="00000000" w:rsidRPr="00000000" w14:paraId="000003C1">
            <w:pPr>
              <w:spacing w:after="0" w:line="240" w:lineRule="auto"/>
              <w:jc w:val="left"/>
              <w:rPr>
                <w:rFonts w:ascii="Times New Roman" w:cs="Times New Roman" w:eastAsia="Times New Roman" w:hAnsi="Times New Roman"/>
                <w:sz w:val="18"/>
                <w:szCs w:val="18"/>
              </w:rPr>
            </w:pPr>
            <w:sdt>
              <w:sdtPr>
                <w:id w:val="700931395"/>
                <w:tag w:val="goog_rdk_29"/>
              </w:sdtPr>
              <w:sdtContent>
                <w:r w:rsidDel="00000000" w:rsidR="00000000" w:rsidRPr="00000000">
                  <w:rPr>
                    <w:rFonts w:ascii="Gungsuh" w:cs="Gungsuh" w:eastAsia="Gungsuh" w:hAnsi="Gungsuh"/>
                    <w:sz w:val="18"/>
                    <w:szCs w:val="18"/>
                    <w:rtl w:val="0"/>
                  </w:rPr>
                  <w:t xml:space="preserve">Razón ≤ 1.0 frente al promedio general de la entidad (1.41 en el 2T2026, es decir, 11.29 contra 8.02 días), en </w:t>
                </w:r>
              </w:sdtContent>
            </w:sdt>
            <w:r w:rsidDel="00000000" w:rsidR="00000000" w:rsidRPr="00000000">
              <w:rPr>
                <w:rFonts w:ascii="Times New Roman" w:cs="Times New Roman" w:eastAsia="Times New Roman" w:hAnsi="Times New Roman"/>
                <w:sz w:val="18"/>
                <w:szCs w:val="18"/>
                <w:rtl w:val="0"/>
              </w:rPr>
              <w:t xml:space="preserve">18 meses</w:t>
            </w:r>
            <w:r w:rsidDel="00000000" w:rsidR="00000000" w:rsidRPr="00000000">
              <w:rPr>
                <w:rFonts w:ascii="Times New Roman" w:cs="Times New Roman" w:eastAsia="Times New Roman" w:hAnsi="Times New Roman"/>
                <w:sz w:val="18"/>
                <w:szCs w:val="18"/>
                <w:rtl w:val="0"/>
              </w:rPr>
              <w:t xml:space="preserve">. Se expresa como razón y no como cifra absoluta de días porque ambos promedios varían entre periodos (propuesta del equipo).</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3C2">
            <w:pPr>
              <w:spacing w:after="0" w:line="240" w:lineRule="auto"/>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Tasa de resolución a favor del usuario </w:t>
            </w:r>
          </w:p>
        </w:tc>
        <w:tc>
          <w:tcPr>
            <w:shd w:fill="f2f5fa" w:val="clear"/>
            <w:tcMar>
              <w:top w:w="60.0" w:type="dxa"/>
              <w:left w:w="90.0" w:type="dxa"/>
              <w:bottom w:w="60.0" w:type="dxa"/>
              <w:right w:w="90.0" w:type="dxa"/>
            </w:tcMar>
            <w:vAlign w:val="center"/>
          </w:tcPr>
          <w:p w:rsidR="00000000" w:rsidDel="00000000" w:rsidP="00000000" w:rsidRDefault="00000000" w:rsidRPr="00000000" w14:paraId="000003C3">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Reclamos de la materia resueltos a favor del usuario sobre el total de reclamos absueltos de la materia. </w:t>
            </w:r>
          </w:p>
        </w:tc>
        <w:tc>
          <w:tcPr>
            <w:shd w:fill="f2f5fa" w:val="clear"/>
            <w:tcMar>
              <w:top w:w="60.0" w:type="dxa"/>
              <w:left w:w="90.0" w:type="dxa"/>
              <w:bottom w:w="60.0" w:type="dxa"/>
              <w:right w:w="90.0" w:type="dxa"/>
            </w:tcMar>
            <w:vAlign w:val="center"/>
          </w:tcPr>
          <w:p w:rsidR="00000000" w:rsidDel="00000000" w:rsidP="00000000" w:rsidRDefault="00000000" w:rsidRPr="00000000" w14:paraId="000003C4">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21.63 %, equivalente a 3,019 de 13,959 reclamos absueltos en el 2T2026. Misma fuente. </w:t>
            </w:r>
          </w:p>
        </w:tc>
        <w:tc>
          <w:tcPr>
            <w:shd w:fill="f2f5fa" w:val="clear"/>
            <w:tcMar>
              <w:top w:w="60.0" w:type="dxa"/>
              <w:left w:w="90.0" w:type="dxa"/>
              <w:bottom w:w="60.0" w:type="dxa"/>
              <w:right w:w="90.0" w:type="dxa"/>
            </w:tcMar>
            <w:vAlign w:val="center"/>
          </w:tcPr>
          <w:p w:rsidR="00000000" w:rsidDel="00000000" w:rsidP="00000000" w:rsidRDefault="00000000" w:rsidRPr="00000000" w14:paraId="000003C5">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29.43 % para el conjunto de reclamos absueltos por la entidad. </w:t>
            </w:r>
          </w:p>
        </w:tc>
        <w:tc>
          <w:tcPr>
            <w:shd w:fill="f2f5fa" w:val="clear"/>
            <w:tcMar>
              <w:top w:w="60.0" w:type="dxa"/>
              <w:left w:w="90.0" w:type="dxa"/>
              <w:bottom w:w="60.0" w:type="dxa"/>
              <w:right w:w="90.0" w:type="dxa"/>
            </w:tcMar>
            <w:vAlign w:val="center"/>
          </w:tcPr>
          <w:p w:rsidR="00000000" w:rsidDel="00000000" w:rsidP="00000000" w:rsidRDefault="00000000" w:rsidRPr="00000000" w14:paraId="000003C6">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Indicador de seguimiento: se registra cada trimestre, sin banda ni meta, porque una tasa mayor o menor a favor del usuario no implica por sí sola una mejora del proceso.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C7">
            <w:pPr>
              <w:spacing w:after="0" w:line="240" w:lineRule="auto"/>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Incidencia de reclamos de la materia </w:t>
            </w:r>
          </w:p>
        </w:tc>
        <w:tc>
          <w:tcPr>
            <w:tcMar>
              <w:top w:w="60.0" w:type="dxa"/>
              <w:left w:w="90.0" w:type="dxa"/>
              <w:bottom w:w="60.0" w:type="dxa"/>
              <w:right w:w="90.0" w:type="dxa"/>
            </w:tcMar>
            <w:vAlign w:val="center"/>
          </w:tcPr>
          <w:p w:rsidR="00000000" w:rsidDel="00000000" w:rsidP="00000000" w:rsidRDefault="00000000" w:rsidRPr="00000000" w14:paraId="000003C8">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Reclamos absueltos de la materia por cada cien mil operaciones del periodo. </w:t>
            </w:r>
          </w:p>
        </w:tc>
        <w:tc>
          <w:tcPr>
            <w:tcMar>
              <w:top w:w="60.0" w:type="dxa"/>
              <w:left w:w="90.0" w:type="dxa"/>
              <w:bottom w:w="60.0" w:type="dxa"/>
              <w:right w:w="90.0" w:type="dxa"/>
            </w:tcMar>
            <w:vAlign w:val="center"/>
          </w:tcPr>
          <w:p w:rsidR="00000000" w:rsidDel="00000000" w:rsidP="00000000" w:rsidRDefault="00000000" w:rsidRPr="00000000" w14:paraId="000003C9">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3.03 por cada cien mil operaciones, sobre 460,998,733 operaciones en el 2T2026. Misma fuente. </w:t>
            </w:r>
          </w:p>
        </w:tc>
        <w:tc>
          <w:tcPr>
            <w:tcMar>
              <w:top w:w="60.0" w:type="dxa"/>
              <w:left w:w="90.0" w:type="dxa"/>
              <w:bottom w:w="60.0" w:type="dxa"/>
              <w:right w:w="90.0" w:type="dxa"/>
            </w:tcMar>
            <w:vAlign w:val="center"/>
          </w:tcPr>
          <w:p w:rsidR="00000000" w:rsidDel="00000000" w:rsidP="00000000" w:rsidRDefault="00000000" w:rsidRPr="00000000" w14:paraId="000003CA">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15.17 por cada cien mil considerando todos los reclamos absueltos. </w:t>
            </w:r>
          </w:p>
        </w:tc>
        <w:tc>
          <w:tcPr>
            <w:tcMar>
              <w:top w:w="60.0" w:type="dxa"/>
              <w:left w:w="90.0" w:type="dxa"/>
              <w:bottom w:w="60.0" w:type="dxa"/>
              <w:right w:w="90.0" w:type="dxa"/>
            </w:tcMar>
            <w:vAlign w:val="center"/>
          </w:tcPr>
          <w:p w:rsidR="00000000" w:rsidDel="00000000" w:rsidP="00000000" w:rsidRDefault="00000000" w:rsidRPr="00000000" w14:paraId="000003CB">
            <w:pPr>
              <w:spacing w:after="0" w:line="240" w:lineRule="auto"/>
              <w:jc w:val="left"/>
              <w:rPr>
                <w:rFonts w:ascii="Times New Roman" w:cs="Times New Roman" w:eastAsia="Times New Roman" w:hAnsi="Times New Roman"/>
                <w:sz w:val="18"/>
                <w:szCs w:val="18"/>
              </w:rPr>
            </w:pPr>
            <w:sdt>
              <w:sdtPr>
                <w:id w:val="-1497690381"/>
                <w:tag w:val="goog_rdk_30"/>
              </w:sdtPr>
              <w:sdtContent>
                <w:r w:rsidDel="00000000" w:rsidR="00000000" w:rsidRPr="00000000">
                  <w:rPr>
                    <w:rFonts w:ascii="Gungsuh" w:cs="Gungsuh" w:eastAsia="Gungsuh" w:hAnsi="Gungsuh"/>
                    <w:sz w:val="18"/>
                    <w:szCs w:val="18"/>
                    <w:rtl w:val="0"/>
                  </w:rPr>
                  <w:t xml:space="preserve">≤ 2.42 por cada cien mil operaciones (-20 %) en </w:t>
                </w:r>
              </w:sdtContent>
            </w:sdt>
            <w:r w:rsidDel="00000000" w:rsidR="00000000" w:rsidRPr="00000000">
              <w:rPr>
                <w:rFonts w:ascii="Times New Roman" w:cs="Times New Roman" w:eastAsia="Times New Roman" w:hAnsi="Times New Roman"/>
                <w:sz w:val="18"/>
                <w:szCs w:val="18"/>
                <w:rtl w:val="0"/>
              </w:rPr>
              <w:t xml:space="preserve">18 meses</w:t>
            </w:r>
            <w:r w:rsidDel="00000000" w:rsidR="00000000" w:rsidRPr="00000000">
              <w:rPr>
                <w:rFonts w:ascii="Times New Roman" w:cs="Times New Roman" w:eastAsia="Times New Roman" w:hAnsi="Times New Roman"/>
                <w:sz w:val="18"/>
                <w:szCs w:val="18"/>
                <w:rtl w:val="0"/>
              </w:rPr>
              <w:t xml:space="preserve"> (propuesta del equipo).</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3CC">
            <w:pPr>
              <w:spacing w:after="0" w:line="240" w:lineRule="auto"/>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Volumen absuelto de la materia </w:t>
            </w:r>
          </w:p>
        </w:tc>
        <w:tc>
          <w:tcPr>
            <w:shd w:fill="f2f5fa" w:val="clear"/>
            <w:tcMar>
              <w:top w:w="60.0" w:type="dxa"/>
              <w:left w:w="90.0" w:type="dxa"/>
              <w:bottom w:w="60.0" w:type="dxa"/>
              <w:right w:w="90.0" w:type="dxa"/>
            </w:tcMar>
            <w:vAlign w:val="center"/>
          </w:tcPr>
          <w:p w:rsidR="00000000" w:rsidDel="00000000" w:rsidP="00000000" w:rsidRDefault="00000000" w:rsidRPr="00000000" w14:paraId="000003CD">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Reclamos de la materia absueltos en el periodo. </w:t>
            </w:r>
          </w:p>
        </w:tc>
        <w:tc>
          <w:tcPr>
            <w:shd w:fill="f2f5fa" w:val="clear"/>
            <w:tcMar>
              <w:top w:w="60.0" w:type="dxa"/>
              <w:left w:w="90.0" w:type="dxa"/>
              <w:bottom w:w="60.0" w:type="dxa"/>
              <w:right w:w="90.0" w:type="dxa"/>
            </w:tcMar>
            <w:vAlign w:val="center"/>
          </w:tcPr>
          <w:p w:rsidR="00000000" w:rsidDel="00000000" w:rsidP="00000000" w:rsidRDefault="00000000" w:rsidRPr="00000000" w14:paraId="000003CE">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13,959 en el 2T2026. Misma fuente. </w:t>
            </w:r>
          </w:p>
        </w:tc>
        <w:tc>
          <w:tcPr>
            <w:shd w:fill="f2f5fa" w:val="clear"/>
            <w:tcMar>
              <w:top w:w="60.0" w:type="dxa"/>
              <w:left w:w="90.0" w:type="dxa"/>
              <w:bottom w:w="60.0" w:type="dxa"/>
              <w:right w:w="90.0" w:type="dxa"/>
            </w:tcMar>
            <w:vAlign w:val="center"/>
          </w:tcPr>
          <w:p w:rsidR="00000000" w:rsidDel="00000000" w:rsidP="00000000" w:rsidRDefault="00000000" w:rsidRPr="00000000" w14:paraId="000003CF">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69,939 reclamos absueltos en total por la entidad. </w:t>
            </w:r>
          </w:p>
        </w:tc>
        <w:tc>
          <w:tcPr>
            <w:shd w:fill="f2f5fa" w:val="clear"/>
            <w:tcMar>
              <w:top w:w="60.0" w:type="dxa"/>
              <w:left w:w="90.0" w:type="dxa"/>
              <w:bottom w:w="60.0" w:type="dxa"/>
              <w:right w:w="90.0" w:type="dxa"/>
            </w:tcMar>
            <w:vAlign w:val="center"/>
          </w:tcPr>
          <w:p w:rsidR="00000000" w:rsidDel="00000000" w:rsidP="00000000" w:rsidRDefault="00000000" w:rsidRPr="00000000" w14:paraId="000003D0">
            <w:pPr>
              <w:spacing w:after="0" w:line="240" w:lineRule="auto"/>
              <w:jc w:val="left"/>
              <w:rPr>
                <w:rFonts w:ascii="Times New Roman" w:cs="Times New Roman" w:eastAsia="Times New Roman" w:hAnsi="Times New Roman"/>
                <w:sz w:val="18"/>
                <w:szCs w:val="18"/>
              </w:rPr>
            </w:pPr>
            <w:sdt>
              <w:sdtPr>
                <w:id w:val="2053236587"/>
                <w:tag w:val="goog_rdk_31"/>
              </w:sdtPr>
              <w:sdtContent>
                <w:r w:rsidDel="00000000" w:rsidR="00000000" w:rsidRPr="00000000">
                  <w:rPr>
                    <w:rFonts w:ascii="Gungsuh" w:cs="Gungsuh" w:eastAsia="Gungsuh" w:hAnsi="Gungsuh"/>
                    <w:sz w:val="18"/>
                    <w:szCs w:val="18"/>
                    <w:rtl w:val="0"/>
                  </w:rPr>
                  <w:t xml:space="preserve">≤ 11,200 reclamos por trimestre (-20 %), a volumen de operaciones constante, en </w:t>
                </w:r>
              </w:sdtContent>
            </w:sdt>
            <w:r w:rsidDel="00000000" w:rsidR="00000000" w:rsidRPr="00000000">
              <w:rPr>
                <w:rFonts w:ascii="Times New Roman" w:cs="Times New Roman" w:eastAsia="Times New Roman" w:hAnsi="Times New Roman"/>
                <w:sz w:val="18"/>
                <w:szCs w:val="18"/>
                <w:rtl w:val="0"/>
              </w:rPr>
              <w:t xml:space="preserve">18 meses</w:t>
            </w:r>
            <w:r w:rsidDel="00000000" w:rsidR="00000000" w:rsidRPr="00000000">
              <w:rPr>
                <w:rFonts w:ascii="Times New Roman" w:cs="Times New Roman" w:eastAsia="Times New Roman" w:hAnsi="Times New Roman"/>
                <w:sz w:val="18"/>
                <w:szCs w:val="18"/>
                <w:rtl w:val="0"/>
              </w:rPr>
              <w:t xml:space="preserve"> (propuesta del equipo).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D1">
            <w:pPr>
              <w:spacing w:after="0" w:line="240" w:lineRule="auto"/>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Cumplimiento del plazo regulatorio </w:t>
            </w:r>
          </w:p>
        </w:tc>
        <w:tc>
          <w:tcPr>
            <w:tcMar>
              <w:top w:w="60.0" w:type="dxa"/>
              <w:left w:w="90.0" w:type="dxa"/>
              <w:bottom w:w="60.0" w:type="dxa"/>
              <w:right w:w="90.0" w:type="dxa"/>
            </w:tcMar>
            <w:vAlign w:val="center"/>
          </w:tcPr>
          <w:p w:rsidR="00000000" w:rsidDel="00000000" w:rsidP="00000000" w:rsidRDefault="00000000" w:rsidRPr="00000000" w14:paraId="000003D2">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Reclamos de la materia resueltos dentro de los quince días hábiles, sobre el total de reclamos de </w:t>
            </w:r>
            <w:r w:rsidDel="00000000" w:rsidR="00000000" w:rsidRPr="00000000">
              <w:rPr>
                <w:rFonts w:ascii="Times New Roman" w:cs="Times New Roman" w:eastAsia="Times New Roman" w:hAnsi="Times New Roman"/>
                <w:sz w:val="18"/>
                <w:szCs w:val="18"/>
                <w:rtl w:val="0"/>
              </w:rPr>
              <w:t xml:space="preserve">la materia. Medición</w:t>
            </w:r>
            <w:r w:rsidDel="00000000" w:rsidR="00000000" w:rsidRPr="00000000">
              <w:rPr>
                <w:rFonts w:ascii="Times New Roman" w:cs="Times New Roman" w:eastAsia="Times New Roman" w:hAnsi="Times New Roman"/>
                <w:sz w:val="18"/>
                <w:szCs w:val="18"/>
                <w:rtl w:val="0"/>
              </w:rPr>
              <w:t xml:space="preserve">: reportes del sistema de gestión de reclamos con fecha de ingreso, resolución y prórroga; frecuencia mensual; responsable: Atención al cliente.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D3">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Plazo aplicable: quince días hábiles, prorrogable de forma excepcional (SBS, 2022, arts. 7.1 y 7.3). </w:t>
            </w:r>
            <w:r w:rsidDel="00000000" w:rsidR="00000000" w:rsidRPr="00000000">
              <w:rPr>
                <w:rFonts w:ascii="Times New Roman" w:cs="Times New Roman" w:eastAsia="Times New Roman" w:hAnsi="Times New Roman"/>
                <w:sz w:val="18"/>
                <w:szCs w:val="18"/>
                <w:rtl w:val="0"/>
              </w:rPr>
              <w:t xml:space="preserve">La entidad no publica el porcentaje de reclamos resueltos dentro del plazo. Referencia aproximada:</w:t>
            </w:r>
            <w:r w:rsidDel="00000000" w:rsidR="00000000" w:rsidRPr="00000000">
              <w:rPr>
                <w:rFonts w:ascii="Times New Roman" w:cs="Times New Roman" w:eastAsia="Times New Roman" w:hAnsi="Times New Roman"/>
                <w:sz w:val="18"/>
                <w:szCs w:val="18"/>
                <w:rtl w:val="0"/>
              </w:rPr>
              <w:t xml:space="preserve"> el tiempo promedio de absolución de 11.29 días equivale a 75.3 % del plazo de quince días, si ambos se expresan en la misma unidad, que los reportes no precisan (</w:t>
            </w:r>
            <w:r w:rsidDel="00000000" w:rsidR="00000000" w:rsidRPr="00000000">
              <w:rPr>
                <w:rFonts w:ascii="Times New Roman" w:cs="Times New Roman" w:eastAsia="Times New Roman" w:hAnsi="Times New Roman"/>
                <w:sz w:val="18"/>
                <w:szCs w:val="18"/>
                <w:rtl w:val="0"/>
              </w:rPr>
              <w:t xml:space="preserve">Banco BBVA Perú, 2026a, 2026b, 2026c</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D4">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aplica. </w:t>
            </w:r>
          </w:p>
        </w:tc>
        <w:tc>
          <w:tcPr>
            <w:tcMar>
              <w:top w:w="60.0" w:type="dxa"/>
              <w:left w:w="90.0" w:type="dxa"/>
              <w:bottom w:w="60.0" w:type="dxa"/>
              <w:right w:w="90.0" w:type="dxa"/>
            </w:tcMar>
            <w:vAlign w:val="center"/>
          </w:tcPr>
          <w:p w:rsidR="00000000" w:rsidDel="00000000" w:rsidP="00000000" w:rsidRDefault="00000000" w:rsidRPr="00000000" w14:paraId="000003D5">
            <w:pPr>
              <w:spacing w:after="0" w:line="240" w:lineRule="auto"/>
              <w:jc w:val="left"/>
              <w:rPr>
                <w:rFonts w:ascii="Times New Roman" w:cs="Times New Roman" w:eastAsia="Times New Roman" w:hAnsi="Times New Roman"/>
                <w:sz w:val="18"/>
                <w:szCs w:val="18"/>
              </w:rPr>
            </w:pPr>
            <w:sdt>
              <w:sdtPr>
                <w:id w:val="1751882230"/>
                <w:tag w:val="goog_rdk_32"/>
              </w:sdtPr>
              <w:sdtContent>
                <w:r w:rsidDel="00000000" w:rsidR="00000000" w:rsidRPr="00000000">
                  <w:rPr>
                    <w:rFonts w:ascii="Gungsuh" w:cs="Gungsuh" w:eastAsia="Gungsuh" w:hAnsi="Gungsuh"/>
                    <w:sz w:val="18"/>
                    <w:szCs w:val="18"/>
                    <w:rtl w:val="0"/>
                  </w:rPr>
                  <w:t xml:space="preserve">≥ 95 % de reclamos de la materia resueltos dentro del plazo, sin prórroga, en </w:t>
                </w:r>
              </w:sdtContent>
            </w:sdt>
            <w:r w:rsidDel="00000000" w:rsidR="00000000" w:rsidRPr="00000000">
              <w:rPr>
                <w:rFonts w:ascii="Times New Roman" w:cs="Times New Roman" w:eastAsia="Times New Roman" w:hAnsi="Times New Roman"/>
                <w:sz w:val="18"/>
                <w:szCs w:val="18"/>
                <w:rtl w:val="0"/>
              </w:rPr>
              <w:t xml:space="preserve">18 meses</w:t>
            </w:r>
            <w:r w:rsidDel="00000000" w:rsidR="00000000" w:rsidRPr="00000000">
              <w:rPr>
                <w:rFonts w:ascii="Times New Roman" w:cs="Times New Roman" w:eastAsia="Times New Roman" w:hAnsi="Times New Roman"/>
                <w:sz w:val="18"/>
                <w:szCs w:val="18"/>
                <w:rtl w:val="0"/>
              </w:rPr>
              <w:t xml:space="preserve"> (propuesta del equipo).</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3D6">
            <w:pPr>
              <w:spacing w:after="0" w:line="240" w:lineRule="auto"/>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Trazabilidad del reclamo en autoservicio </w:t>
            </w:r>
          </w:p>
        </w:tc>
        <w:tc>
          <w:tcPr>
            <w:shd w:fill="f2f5fa" w:val="clear"/>
            <w:tcMar>
              <w:top w:w="60.0" w:type="dxa"/>
              <w:left w:w="90.0" w:type="dxa"/>
              <w:bottom w:w="60.0" w:type="dxa"/>
              <w:right w:w="90.0" w:type="dxa"/>
            </w:tcMar>
            <w:vAlign w:val="center"/>
          </w:tcPr>
          <w:p w:rsidR="00000000" w:rsidDel="00000000" w:rsidP="00000000" w:rsidRDefault="00000000" w:rsidRPr="00000000" w14:paraId="000003D7">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Reclamos cuyo estado el cliente puede consultar sin intervención de un asesor. </w:t>
            </w:r>
          </w:p>
        </w:tc>
        <w:tc>
          <w:tcPr>
            <w:shd w:fill="f2f5fa" w:val="clear"/>
            <w:tcMar>
              <w:top w:w="60.0" w:type="dxa"/>
              <w:left w:w="90.0" w:type="dxa"/>
              <w:bottom w:w="60.0" w:type="dxa"/>
              <w:right w:w="90.0" w:type="dxa"/>
            </w:tcMar>
            <w:vAlign w:val="center"/>
          </w:tcPr>
          <w:p w:rsidR="00000000" w:rsidDel="00000000" w:rsidP="00000000" w:rsidRDefault="00000000" w:rsidRPr="00000000" w14:paraId="000003D8">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entidad no publica la proporción de reclamos consultables en autoservicio.</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3D9">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Durante el 2T2026 se desplegó un flujo integral de reclamos en Blue Buddy que muestra el ciclo de vida completo de los casos de los últimos seis meses, con adopción de 90 % (</w:t>
            </w:r>
            <w:r w:rsidDel="00000000" w:rsidR="00000000" w:rsidRPr="00000000">
              <w:rPr>
                <w:rFonts w:ascii="Times New Roman" w:cs="Times New Roman" w:eastAsia="Times New Roman" w:hAnsi="Times New Roman"/>
                <w:sz w:val="18"/>
                <w:szCs w:val="18"/>
                <w:rtl w:val="0"/>
              </w:rPr>
              <w:t xml:space="preserve">Banco BBVA Perú, 2026f, p. 4</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sz w:val="18"/>
                <w:szCs w:val="18"/>
                <w:rtl w:val="0"/>
              </w:rPr>
              <w:t xml:space="preserve"> Blue Buddy registró más de 14,000 consultas en junio de 2026 (</w:t>
            </w:r>
            <w:r w:rsidDel="00000000" w:rsidR="00000000" w:rsidRPr="00000000">
              <w:rPr>
                <w:rFonts w:ascii="Times New Roman" w:cs="Times New Roman" w:eastAsia="Times New Roman" w:hAnsi="Times New Roman"/>
                <w:sz w:val="18"/>
                <w:szCs w:val="18"/>
                <w:rtl w:val="0"/>
              </w:rPr>
              <w:t xml:space="preserve">Banco BBVA Perú, 2026f, p. 4</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DA">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aplica. </w:t>
            </w:r>
          </w:p>
        </w:tc>
        <w:tc>
          <w:tcPr>
            <w:shd w:fill="f2f5fa" w:val="clear"/>
            <w:tcMar>
              <w:top w:w="60.0" w:type="dxa"/>
              <w:left w:w="90.0" w:type="dxa"/>
              <w:bottom w:w="60.0" w:type="dxa"/>
              <w:right w:w="90.0" w:type="dxa"/>
            </w:tcMar>
            <w:vAlign w:val="center"/>
          </w:tcPr>
          <w:p w:rsidR="00000000" w:rsidDel="00000000" w:rsidP="00000000" w:rsidRDefault="00000000" w:rsidRPr="00000000" w14:paraId="000003DB">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100 % de los reclamos trazables en autoservicio. </w:t>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14:paraId="000003DC">
            <w:pPr>
              <w:spacing w:after="0" w:line="240" w:lineRule="auto"/>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Sanciones firmes a la entidad </w:t>
            </w:r>
          </w:p>
        </w:tc>
        <w:tc>
          <w:tcPr>
            <w:shd w:fill="ffffff" w:val="clear"/>
            <w:tcMar>
              <w:top w:w="60.0" w:type="dxa"/>
              <w:left w:w="90.0" w:type="dxa"/>
              <w:bottom w:w="60.0" w:type="dxa"/>
              <w:right w:w="90.0" w:type="dxa"/>
            </w:tcMar>
            <w:vAlign w:val="center"/>
          </w:tcPr>
          <w:p w:rsidR="00000000" w:rsidDel="00000000" w:rsidP="00000000" w:rsidRDefault="00000000" w:rsidRPr="00000000" w14:paraId="000003DD">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Sanciones firmes impuestas a la entidad por operaciones </w:t>
            </w:r>
            <w:r w:rsidDel="00000000" w:rsidR="00000000" w:rsidRPr="00000000">
              <w:rPr>
                <w:rFonts w:ascii="Times New Roman" w:cs="Times New Roman" w:eastAsia="Times New Roman" w:hAnsi="Times New Roman"/>
                <w:sz w:val="18"/>
                <w:szCs w:val="18"/>
                <w:rtl w:val="0"/>
              </w:rPr>
              <w:t xml:space="preserve">no reconocidas. Medición</w:t>
            </w:r>
            <w:r w:rsidDel="00000000" w:rsidR="00000000" w:rsidRPr="00000000">
              <w:rPr>
                <w:rFonts w:ascii="Times New Roman" w:cs="Times New Roman" w:eastAsia="Times New Roman" w:hAnsi="Times New Roman"/>
                <w:sz w:val="18"/>
                <w:szCs w:val="18"/>
                <w:rtl w:val="0"/>
              </w:rPr>
              <w:t xml:space="preserve">: registro de resoluciones firmes del Indecopi notificadas a la entidad; frecuencia trimestral; responsable: Asesoría legal.</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3DE">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se dispone de datos públicos de sanciones desagregados por entidad y periodo.</w:t>
            </w:r>
            <w:r w:rsidDel="00000000" w:rsidR="00000000" w:rsidRPr="00000000">
              <w:rPr>
                <w:rFonts w:ascii="Times New Roman" w:cs="Times New Roman" w:eastAsia="Times New Roman" w:hAnsi="Times New Roman"/>
                <w:sz w:val="18"/>
                <w:szCs w:val="18"/>
                <w:rtl w:val="0"/>
              </w:rPr>
              <w:t xml:space="preserve"> Contexto sectorial: 2,601 sanciones al sistema financiero entre 2021 y marzo de 2025 (Andina, 2025). Línea base a levantar en los primeros 90 días con el registro interno.</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3DF">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aplica. </w:t>
            </w:r>
          </w:p>
        </w:tc>
        <w:tc>
          <w:tcPr>
            <w:shd w:fill="ffffff" w:val="clear"/>
            <w:tcMar>
              <w:top w:w="60.0" w:type="dxa"/>
              <w:left w:w="90.0" w:type="dxa"/>
              <w:bottom w:w="60.0" w:type="dxa"/>
              <w:right w:w="90.0" w:type="dxa"/>
            </w:tcMar>
            <w:vAlign w:val="center"/>
          </w:tcPr>
          <w:p w:rsidR="00000000" w:rsidDel="00000000" w:rsidP="00000000" w:rsidRDefault="00000000" w:rsidRPr="00000000" w14:paraId="000003E0">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 sanciones firmes nuevas por la materia en </w:t>
            </w:r>
            <w:r w:rsidDel="00000000" w:rsidR="00000000" w:rsidRPr="00000000">
              <w:rPr>
                <w:rFonts w:ascii="Times New Roman" w:cs="Times New Roman" w:eastAsia="Times New Roman" w:hAnsi="Times New Roman"/>
                <w:sz w:val="18"/>
                <w:szCs w:val="18"/>
                <w:rtl w:val="0"/>
              </w:rPr>
              <w:t xml:space="preserve">18 meses</w:t>
            </w:r>
            <w:r w:rsidDel="00000000" w:rsidR="00000000" w:rsidRPr="00000000">
              <w:rPr>
                <w:rFonts w:ascii="Times New Roman" w:cs="Times New Roman" w:eastAsia="Times New Roman" w:hAnsi="Times New Roman"/>
                <w:sz w:val="18"/>
                <w:szCs w:val="18"/>
                <w:rtl w:val="0"/>
              </w:rPr>
              <w:t xml:space="preserve"> (propuesta del equipo).</w:t>
            </w:r>
            <w:r w:rsidDel="00000000" w:rsidR="00000000" w:rsidRPr="00000000">
              <w:rPr>
                <w:rtl w:val="0"/>
              </w:rPr>
            </w:r>
          </w:p>
        </w:tc>
      </w:tr>
    </w:tbl>
    <w:p w:rsidR="00000000" w:rsidDel="00000000" w:rsidP="00000000" w:rsidRDefault="00000000" w:rsidRPr="00000000" w14:paraId="000003E1">
      <w:pPr>
        <w:spacing w:after="22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Banco BBVA Perú (</w:t>
      </w:r>
      <w:r w:rsidDel="00000000" w:rsidR="00000000" w:rsidRPr="00000000">
        <w:rPr>
          <w:rFonts w:ascii="Times New Roman" w:cs="Times New Roman" w:eastAsia="Times New Roman" w:hAnsi="Times New Roman"/>
          <w:rtl w:val="0"/>
        </w:rPr>
        <w:t xml:space="preserve">2026a, 2026b, 2026c</w:t>
      </w:r>
      <w:r w:rsidDel="00000000" w:rsidR="00000000" w:rsidRPr="00000000">
        <w:rPr>
          <w:rFonts w:ascii="Times New Roman" w:cs="Times New Roman" w:eastAsia="Times New Roman" w:hAnsi="Times New Roman"/>
          <w:rtl w:val="0"/>
        </w:rPr>
        <w:t xml:space="preserve">). La tasa de resolución a favor del usuario constituye un piso, porque el artículo 7.6 del reglamento exime de difusión a las atenciones resueltas antes de iniciado el cómputo del plazo.</w:t>
      </w:r>
    </w:p>
    <w:p w:rsidR="00000000" w:rsidDel="00000000" w:rsidP="00000000" w:rsidRDefault="00000000" w:rsidRPr="00000000" w14:paraId="000003E2">
      <w:pPr>
        <w:spacing w:after="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25</w:t>
      </w:r>
      <w:r w:rsidDel="00000000" w:rsidR="00000000" w:rsidRPr="00000000">
        <w:rPr>
          <w:rtl w:val="0"/>
        </w:rPr>
      </w:r>
    </w:p>
    <w:p w:rsidR="00000000" w:rsidDel="00000000" w:rsidP="00000000" w:rsidRDefault="00000000" w:rsidRPr="00000000" w14:paraId="000003E3">
      <w:pP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Indicadores base del dolor crítico DC3: contratación por canal digital</w:t>
      </w:r>
      <w:r w:rsidDel="00000000" w:rsidR="00000000" w:rsidRPr="00000000">
        <w:rPr>
          <w:rtl w:val="0"/>
        </w:rPr>
      </w:r>
    </w:p>
    <w:tbl>
      <w:tblPr>
        <w:tblStyle w:val="Table25"/>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700"/>
        <w:gridCol w:w="2100"/>
        <w:gridCol w:w="3126"/>
        <w:gridCol w:w="2100"/>
        <w:tblGridChange w:id="0">
          <w:tblGrid>
            <w:gridCol w:w="1700"/>
            <w:gridCol w:w="2100"/>
            <w:gridCol w:w="3126"/>
            <w:gridCol w:w="210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3E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Indicador</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3E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Definición operativa</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3E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Línea base y fuente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3E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Meta propuesta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E8">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Penetración digital en cuentas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E9">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Cuentas contratadas mediante operaciones sin ningún tipo de asistencia, desde el origen hasta la contratación, sobre el total de cuentas contratadas. </w:t>
            </w:r>
          </w:p>
        </w:tc>
        <w:tc>
          <w:tcPr>
            <w:tcMar>
              <w:top w:w="60.0" w:type="dxa"/>
              <w:left w:w="90.0" w:type="dxa"/>
              <w:bottom w:w="60.0" w:type="dxa"/>
              <w:right w:w="90.0" w:type="dxa"/>
            </w:tcMar>
            <w:vAlign w:val="center"/>
          </w:tcPr>
          <w:p w:rsidR="00000000" w:rsidDel="00000000" w:rsidP="00000000" w:rsidRDefault="00000000" w:rsidRPr="00000000" w14:paraId="000003EA">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33 % al 2T2026, frente a 35 % al cierre de 2025. Fuentes: Banco BBVA Perú (</w:t>
            </w:r>
            <w:r w:rsidDel="00000000" w:rsidR="00000000" w:rsidRPr="00000000">
              <w:rPr>
                <w:rFonts w:ascii="Times New Roman" w:cs="Times New Roman" w:eastAsia="Times New Roman" w:hAnsi="Times New Roman"/>
                <w:sz w:val="18"/>
                <w:szCs w:val="18"/>
                <w:rtl w:val="0"/>
              </w:rPr>
              <w:t xml:space="preserve">2026f, p. 3</w:t>
            </w:r>
            <w:r w:rsidDel="00000000" w:rsidR="00000000" w:rsidRPr="00000000">
              <w:rPr>
                <w:rFonts w:ascii="Times New Roman" w:cs="Times New Roman" w:eastAsia="Times New Roman" w:hAnsi="Times New Roman"/>
                <w:sz w:val="18"/>
                <w:szCs w:val="18"/>
                <w:rtl w:val="0"/>
              </w:rPr>
              <w:t xml:space="preserve">) y Banco BBVA Perú (2025). </w:t>
            </w:r>
          </w:p>
        </w:tc>
        <w:tc>
          <w:tcPr>
            <w:tcMar>
              <w:top w:w="60.0" w:type="dxa"/>
              <w:left w:w="90.0" w:type="dxa"/>
              <w:bottom w:w="60.0" w:type="dxa"/>
              <w:right w:w="90.0" w:type="dxa"/>
            </w:tcMar>
            <w:vAlign w:val="center"/>
          </w:tcPr>
          <w:p w:rsidR="00000000" w:rsidDel="00000000" w:rsidP="00000000" w:rsidRDefault="00000000" w:rsidRPr="00000000" w14:paraId="000003EB">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55 % en </w:t>
            </w:r>
            <w:r w:rsidDel="00000000" w:rsidR="00000000" w:rsidRPr="00000000">
              <w:rPr>
                <w:rFonts w:ascii="Times New Roman" w:cs="Times New Roman" w:eastAsia="Times New Roman" w:hAnsi="Times New Roman"/>
                <w:i w:val="0"/>
                <w:iCs w:val="0"/>
                <w:sz w:val="18"/>
                <w:szCs w:val="18"/>
                <w:rtl w:val="0"/>
              </w:rPr>
              <w:t xml:space="preserve">18 meses</w:t>
            </w:r>
            <w:r w:rsidDel="00000000" w:rsidR="00000000" w:rsidRPr="00000000">
              <w:rPr>
                <w:rFonts w:ascii="Times New Roman" w:cs="Times New Roman" w:eastAsia="Times New Roman" w:hAnsi="Times New Roman"/>
                <w:i w:val="0"/>
                <w:iCs w:val="0"/>
                <w:sz w:val="18"/>
                <w:szCs w:val="18"/>
                <w:rtl w:val="0"/>
              </w:rPr>
              <w:t xml:space="preserve"> (+22 puntos, frente a </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i w:val="0"/>
                <w:iCs w:val="0"/>
                <w:sz w:val="18"/>
                <w:szCs w:val="18"/>
                <w:rtl w:val="0"/>
              </w:rPr>
              <w:t xml:space="preserve">2 puntos observados entre el cierre de 2025 y el 2T2026).</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3EC">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Penetración digital en tarjetas de crédito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ED">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Tarjetas contratadas sin ningún tipo de asistencia, desde el origen hasta la contratación, sobre el total de tarjetas contratadas. </w:t>
            </w:r>
          </w:p>
        </w:tc>
        <w:tc>
          <w:tcPr>
            <w:shd w:fill="f2f5fa" w:val="clear"/>
            <w:tcMar>
              <w:top w:w="60.0" w:type="dxa"/>
              <w:left w:w="90.0" w:type="dxa"/>
              <w:bottom w:w="60.0" w:type="dxa"/>
              <w:right w:w="90.0" w:type="dxa"/>
            </w:tcMar>
            <w:vAlign w:val="center"/>
          </w:tcPr>
          <w:p w:rsidR="00000000" w:rsidDel="00000000" w:rsidP="00000000" w:rsidRDefault="00000000" w:rsidRPr="00000000" w14:paraId="000003EE">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50 % al 2T2026, frente a 43 % al cierre de 2025.</w:t>
            </w:r>
            <w:r w:rsidDel="00000000" w:rsidR="00000000" w:rsidRPr="00000000">
              <w:rPr>
                <w:rFonts w:ascii="Times New Roman" w:cs="Times New Roman" w:eastAsia="Times New Roman" w:hAnsi="Times New Roman"/>
                <w:i w:val="0"/>
                <w:iCs w:val="0"/>
                <w:sz w:val="18"/>
                <w:szCs w:val="18"/>
                <w:rtl w:val="0"/>
              </w:rPr>
              <w:t xml:space="preserve"> </w:t>
            </w:r>
            <w:r w:rsidDel="00000000" w:rsidR="00000000" w:rsidRPr="00000000">
              <w:rPr>
                <w:rFonts w:ascii="Times New Roman" w:cs="Times New Roman" w:eastAsia="Times New Roman" w:hAnsi="Times New Roman"/>
                <w:sz w:val="18"/>
                <w:szCs w:val="18"/>
                <w:rtl w:val="0"/>
              </w:rPr>
              <w:t xml:space="preserve">Fuentes: Banco BBVA Perú (2025, 2026f, p. 3)</w:t>
            </w:r>
            <w:r w:rsidDel="00000000" w:rsidR="00000000" w:rsidRPr="00000000">
              <w:rPr>
                <w:rFonts w:ascii="Times New Roman" w:cs="Times New Roman" w:eastAsia="Times New Roman" w:hAnsi="Times New Roman"/>
                <w:i w:val="0"/>
                <w:iCs w:val="0"/>
                <w:sz w:val="18"/>
                <w:szCs w:val="18"/>
                <w:rtl w:val="0"/>
              </w:rPr>
              <w:t xml:space="preserve">.</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EF">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70 % en </w:t>
            </w:r>
            <w:r w:rsidDel="00000000" w:rsidR="00000000" w:rsidRPr="00000000">
              <w:rPr>
                <w:rFonts w:ascii="Times New Roman" w:cs="Times New Roman" w:eastAsia="Times New Roman" w:hAnsi="Times New Roman"/>
                <w:i w:val="0"/>
                <w:iCs w:val="0"/>
                <w:sz w:val="18"/>
                <w:szCs w:val="18"/>
                <w:rtl w:val="0"/>
              </w:rPr>
              <w:t xml:space="preserve">18 meses</w:t>
            </w:r>
            <w:r w:rsidDel="00000000" w:rsidR="00000000" w:rsidRPr="00000000">
              <w:rPr>
                <w:rFonts w:ascii="Times New Roman" w:cs="Times New Roman" w:eastAsia="Times New Roman" w:hAnsi="Times New Roman"/>
                <w:i w:val="0"/>
                <w:iCs w:val="0"/>
                <w:sz w:val="18"/>
                <w:szCs w:val="18"/>
                <w:rtl w:val="0"/>
              </w:rPr>
              <w:t xml:space="preserve"> (+20 puntos, frente a +7 puntos observados entre el cierre de 2025 y el 2T2026).</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F0">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Penetración digital en préstamos de consumo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F1">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Préstamos de consumo contratados sin ningún tipo de asistencia, desde el origen hasta la contratación, sobre el total de préstamos de consumo contratados. </w:t>
            </w:r>
          </w:p>
        </w:tc>
        <w:tc>
          <w:tcPr>
            <w:tcMar>
              <w:top w:w="60.0" w:type="dxa"/>
              <w:left w:w="90.0" w:type="dxa"/>
              <w:bottom w:w="60.0" w:type="dxa"/>
              <w:right w:w="90.0" w:type="dxa"/>
            </w:tcMar>
            <w:vAlign w:val="center"/>
          </w:tcPr>
          <w:p w:rsidR="00000000" w:rsidDel="00000000" w:rsidP="00000000" w:rsidRDefault="00000000" w:rsidRPr="00000000" w14:paraId="000003F2">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54 % al 2T2026, frente a 57 % al cierre de 2025</w:t>
            </w:r>
            <w:r w:rsidDel="00000000" w:rsidR="00000000" w:rsidRPr="00000000">
              <w:rPr>
                <w:rFonts w:ascii="Times New Roman" w:cs="Times New Roman" w:eastAsia="Times New Roman" w:hAnsi="Times New Roman"/>
                <w:i w:val="0"/>
                <w:iCs w:val="0"/>
                <w:sz w:val="18"/>
                <w:szCs w:val="18"/>
                <w:rtl w:val="0"/>
              </w:rPr>
              <w:t xml:space="preserve">. Fuente: Banco BBVA Perú (</w:t>
            </w:r>
            <w:r w:rsidDel="00000000" w:rsidR="00000000" w:rsidRPr="00000000">
              <w:rPr>
                <w:rFonts w:ascii="Times New Roman" w:cs="Times New Roman" w:eastAsia="Times New Roman" w:hAnsi="Times New Roman"/>
                <w:i w:val="0"/>
                <w:iCs w:val="0"/>
                <w:sz w:val="18"/>
                <w:szCs w:val="18"/>
                <w:rtl w:val="0"/>
              </w:rPr>
              <w:t xml:space="preserve">2026f, p. 3</w:t>
            </w:r>
            <w:r w:rsidDel="00000000" w:rsidR="00000000" w:rsidRPr="00000000">
              <w:rPr>
                <w:rFonts w:ascii="Times New Roman" w:cs="Times New Roman" w:eastAsia="Times New Roman" w:hAnsi="Times New Roman"/>
                <w:i w:val="0"/>
                <w:iCs w:val="0"/>
                <w:sz w:val="18"/>
                <w:szCs w:val="18"/>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F3">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70 % en </w:t>
            </w:r>
            <w:r w:rsidDel="00000000" w:rsidR="00000000" w:rsidRPr="00000000">
              <w:rPr>
                <w:rFonts w:ascii="Times New Roman" w:cs="Times New Roman" w:eastAsia="Times New Roman" w:hAnsi="Times New Roman"/>
                <w:i w:val="0"/>
                <w:iCs w:val="0"/>
                <w:sz w:val="18"/>
                <w:szCs w:val="18"/>
                <w:rtl w:val="0"/>
              </w:rPr>
              <w:t xml:space="preserve">18 meses</w:t>
            </w:r>
            <w:r w:rsidDel="00000000" w:rsidR="00000000" w:rsidRPr="00000000">
              <w:rPr>
                <w:rFonts w:ascii="Times New Roman" w:cs="Times New Roman" w:eastAsia="Times New Roman" w:hAnsi="Times New Roman"/>
                <w:i w:val="0"/>
                <w:iCs w:val="0"/>
                <w:sz w:val="18"/>
                <w:szCs w:val="18"/>
                <w:rtl w:val="0"/>
              </w:rPr>
              <w:t xml:space="preserve"> (+16 puntos, frente a </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i w:val="0"/>
                <w:iCs w:val="0"/>
                <w:sz w:val="18"/>
                <w:szCs w:val="18"/>
                <w:rtl w:val="0"/>
              </w:rPr>
              <w:t xml:space="preserve">3 puntos observados entre el cierre de 2025 y el 2T2026).</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3F4">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Ventas digitales totales</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F5">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Ventas realizadas sin ningún tipo de asistencia, desde el origen hasta la contratación, sobre las ventas totales del banco. </w:t>
            </w:r>
          </w:p>
        </w:tc>
        <w:tc>
          <w:tcPr>
            <w:shd w:fill="f2f5fa" w:val="clear"/>
            <w:tcMar>
              <w:top w:w="60.0" w:type="dxa"/>
              <w:left w:w="90.0" w:type="dxa"/>
              <w:bottom w:w="60.0" w:type="dxa"/>
              <w:right w:w="90.0" w:type="dxa"/>
            </w:tcMar>
            <w:vAlign w:val="center"/>
          </w:tcPr>
          <w:p w:rsidR="00000000" w:rsidDel="00000000" w:rsidP="00000000" w:rsidRDefault="00000000" w:rsidRPr="00000000" w14:paraId="000003F6">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79.57 % al 2T2026, frente a 80.0 % al cierre de 2025</w:t>
            </w:r>
            <w:r w:rsidDel="00000000" w:rsidR="00000000" w:rsidRPr="00000000">
              <w:rPr>
                <w:rFonts w:ascii="Times New Roman" w:cs="Times New Roman" w:eastAsia="Times New Roman" w:hAnsi="Times New Roman"/>
                <w:i w:val="0"/>
                <w:iCs w:val="0"/>
                <w:sz w:val="18"/>
                <w:szCs w:val="18"/>
                <w:rtl w:val="0"/>
              </w:rPr>
              <w:t xml:space="preserve">. Fuente: Banco BBVA Perú (</w:t>
            </w:r>
            <w:r w:rsidDel="00000000" w:rsidR="00000000" w:rsidRPr="00000000">
              <w:rPr>
                <w:rFonts w:ascii="Times New Roman" w:cs="Times New Roman" w:eastAsia="Times New Roman" w:hAnsi="Times New Roman"/>
                <w:i w:val="0"/>
                <w:iCs w:val="0"/>
                <w:sz w:val="18"/>
                <w:szCs w:val="18"/>
                <w:rtl w:val="0"/>
              </w:rPr>
              <w:t xml:space="preserve">2026f, p. 3</w:t>
            </w:r>
            <w:r w:rsidDel="00000000" w:rsidR="00000000" w:rsidRPr="00000000">
              <w:rPr>
                <w:rFonts w:ascii="Times New Roman" w:cs="Times New Roman" w:eastAsia="Times New Roman" w:hAnsi="Times New Roman"/>
                <w:i w:val="0"/>
                <w:iCs w:val="0"/>
                <w:sz w:val="18"/>
                <w:szCs w:val="18"/>
                <w:rtl w:val="0"/>
              </w:rPr>
              <w:t xml:space="preserve">).</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F7">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85 % en </w:t>
            </w:r>
            <w:r w:rsidDel="00000000" w:rsidR="00000000" w:rsidRPr="00000000">
              <w:rPr>
                <w:rFonts w:ascii="Times New Roman" w:cs="Times New Roman" w:eastAsia="Times New Roman" w:hAnsi="Times New Roman"/>
                <w:i w:val="0"/>
                <w:iCs w:val="0"/>
                <w:sz w:val="18"/>
                <w:szCs w:val="18"/>
                <w:rtl w:val="0"/>
              </w:rPr>
              <w:t xml:space="preserve">18 meses</w:t>
            </w:r>
            <w:r w:rsidDel="00000000" w:rsidR="00000000" w:rsidRPr="00000000">
              <w:rPr>
                <w:rFonts w:ascii="Times New Roman" w:cs="Times New Roman" w:eastAsia="Times New Roman" w:hAnsi="Times New Roman"/>
                <w:i w:val="0"/>
                <w:iCs w:val="0"/>
                <w:sz w:val="18"/>
                <w:szCs w:val="18"/>
                <w:rtl w:val="0"/>
              </w:rPr>
              <w:t xml:space="preserve"> (+5.4 puntos, frente a </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i w:val="0"/>
                <w:iCs w:val="0"/>
                <w:sz w:val="18"/>
                <w:szCs w:val="18"/>
                <w:rtl w:val="0"/>
              </w:rPr>
              <w:t xml:space="preserve">0.4 puntos observados entre el cierre de 2025 y el 2T2026).</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F8">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Tasa de abandono en el flujo de contratación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F9">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Solicitudes iniciadas en canal digital que no se completan.</w:t>
            </w:r>
            <w:r w:rsidDel="00000000" w:rsidR="00000000" w:rsidRPr="00000000">
              <w:rPr>
                <w:rFonts w:ascii="Times New Roman" w:cs="Times New Roman" w:eastAsia="Times New Roman" w:hAnsi="Times New Roman"/>
                <w:i w:val="0"/>
                <w:iCs w:val="0"/>
                <w:sz w:val="18"/>
                <w:szCs w:val="18"/>
                <w:rtl w:val="0"/>
              </w:rPr>
              <w:t xml:space="preserve"> Medición: eventos de embudo de la app (inicio, pasos y cierre del flujo) por producto; frecuencia mensual; responsable: Producto digital.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FA">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entidad no publica este indicador.</w:t>
            </w:r>
            <w:r w:rsidDel="00000000" w:rsidR="00000000" w:rsidRPr="00000000">
              <w:rPr>
                <w:rFonts w:ascii="Times New Roman" w:cs="Times New Roman" w:eastAsia="Times New Roman" w:hAnsi="Times New Roman"/>
                <w:sz w:val="18"/>
                <w:szCs w:val="18"/>
                <w:rtl w:val="0"/>
              </w:rPr>
              <w:t xml:space="preserve"> Línea base a levantar en los primeros 90 días con la analítica de la app.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FB">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Reducir 30 % la tasa respecto de la línea base levantada, a 18 meses (propuesta del equipo).</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3FC">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Tasa de activación del producto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FD">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Productos contratados que registran una primera operación dentro de los treinta días.</w:t>
            </w:r>
            <w:r w:rsidDel="00000000" w:rsidR="00000000" w:rsidRPr="00000000">
              <w:rPr>
                <w:rFonts w:ascii="Times New Roman" w:cs="Times New Roman" w:eastAsia="Times New Roman" w:hAnsi="Times New Roman"/>
                <w:i w:val="0"/>
                <w:iCs w:val="0"/>
                <w:sz w:val="18"/>
                <w:szCs w:val="18"/>
                <w:rtl w:val="0"/>
              </w:rPr>
              <w:t xml:space="preserve"> Medición: productos con primera operación a treinta días sobre productos contratados, por producto; frecuencia mensual; responsable: Producto digital.</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FE">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entidad no publica este indicador.</w:t>
            </w:r>
            <w:r w:rsidDel="00000000" w:rsidR="00000000" w:rsidRPr="00000000">
              <w:rPr>
                <w:rFonts w:ascii="Times New Roman" w:cs="Times New Roman" w:eastAsia="Times New Roman" w:hAnsi="Times New Roman"/>
                <w:sz w:val="18"/>
                <w:szCs w:val="18"/>
                <w:rtl w:val="0"/>
              </w:rPr>
              <w:t xml:space="preserve"> Línea base a levantar en los primeros 90 días con los datos transaccionales.</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3FF">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+10 puntos porcentuales sobre la línea base levantada, a 18 meses (propuesta del equipo).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00">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Costo de adquisición por canal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01">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Costo de captación de un cliente en canal digital frente a canal asistido.</w:t>
            </w:r>
            <w:r w:rsidDel="00000000" w:rsidR="00000000" w:rsidRPr="00000000">
              <w:rPr>
                <w:rFonts w:ascii="Times New Roman" w:cs="Times New Roman" w:eastAsia="Times New Roman" w:hAnsi="Times New Roman"/>
                <w:i w:val="0"/>
                <w:iCs w:val="0"/>
                <w:sz w:val="18"/>
                <w:szCs w:val="18"/>
                <w:rtl w:val="0"/>
              </w:rPr>
              <w:t xml:space="preserve"> Medición: costo total de captación (marketing, tecnología y personal) entre cuentas nuevas por canal; frecuencia trimestral; responsable: Finanzas.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02">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entidad no publica este indicador. Referencia aproximada:</w:t>
            </w:r>
            <w:r w:rsidDel="00000000" w:rsidR="00000000" w:rsidRPr="00000000">
              <w:rPr>
                <w:rFonts w:ascii="Times New Roman" w:cs="Times New Roman" w:eastAsia="Times New Roman" w:hAnsi="Times New Roman"/>
                <w:sz w:val="18"/>
                <w:szCs w:val="18"/>
                <w:rtl w:val="0"/>
              </w:rPr>
              <w:t xml:space="preserve"> ratio de eficiencia de 40.0 % al 2T2026 (</w:t>
            </w:r>
            <w:r w:rsidDel="00000000" w:rsidR="00000000" w:rsidRPr="00000000">
              <w:rPr>
                <w:rFonts w:ascii="Times New Roman" w:cs="Times New Roman" w:eastAsia="Times New Roman" w:hAnsi="Times New Roman"/>
                <w:sz w:val="18"/>
                <w:szCs w:val="18"/>
                <w:rtl w:val="0"/>
              </w:rPr>
              <w:t xml:space="preserve">Banco BBVA Perú, 2026f</w:t>
            </w:r>
            <w:r w:rsidDel="00000000" w:rsidR="00000000" w:rsidRPr="00000000">
              <w:rPr>
                <w:rFonts w:ascii="Times New Roman" w:cs="Times New Roman" w:eastAsia="Times New Roman" w:hAnsi="Times New Roman"/>
                <w:sz w:val="18"/>
                <w:szCs w:val="18"/>
                <w:rtl w:val="0"/>
              </w:rPr>
              <w:t xml:space="preserve">), que no distingue canal. Línea base a levantar en los primeros 90 días.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03">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Reducir 20 % el costo medio de adquisición de cuentas a 18 meses (propuesta del equipo).</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404">
            <w:pPr>
              <w:spacing w:after="0" w:line="240" w:lineRule="auto"/>
              <w:jc w:val="left"/>
              <w:rPr>
                <w:rFonts w:ascii="Times New Roman" w:cs="Times New Roman" w:eastAsia="Times New Roman" w:hAnsi="Times New Roman"/>
                <w:b w:val="1"/>
                <w:bCs w:val="1"/>
                <w:i w:val="0"/>
                <w:iCs w:val="0"/>
                <w:sz w:val="18"/>
                <w:szCs w:val="18"/>
              </w:rPr>
            </w:pPr>
            <w:r w:rsidDel="00000000" w:rsidR="00000000" w:rsidRPr="00000000">
              <w:rPr>
                <w:rFonts w:ascii="Times New Roman" w:cs="Times New Roman" w:eastAsia="Times New Roman" w:hAnsi="Times New Roman"/>
                <w:b w:val="1"/>
                <w:bCs w:val="1"/>
                <w:sz w:val="18"/>
                <w:szCs w:val="18"/>
                <w:rtl w:val="0"/>
              </w:rPr>
              <w:t xml:space="preserve">Tasa de derivación a canal asistido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405">
            <w:pPr>
              <w:spacing w:after="0" w:line="240" w:lineRule="auto"/>
              <w:jc w:val="left"/>
              <w:rPr>
                <w:rFonts w:ascii="Times New Roman" w:cs="Times New Roman" w:eastAsia="Times New Roman" w:hAnsi="Times New Roman"/>
                <w:i w:val="0"/>
                <w:iCs w:val="0"/>
                <w:sz w:val="18"/>
                <w:szCs w:val="18"/>
              </w:rPr>
            </w:pPr>
            <w:r w:rsidDel="00000000" w:rsidR="00000000" w:rsidRPr="00000000">
              <w:rPr>
                <w:rFonts w:ascii="Times New Roman" w:cs="Times New Roman" w:eastAsia="Times New Roman" w:hAnsi="Times New Roman"/>
                <w:sz w:val="18"/>
                <w:szCs w:val="18"/>
                <w:rtl w:val="0"/>
              </w:rPr>
              <w:t xml:space="preserve">Solicitudes iniciadas en canal digital que el sistema interrumpe y deriva a oficina o contact center, sobre el total de solicitudes </w:t>
            </w:r>
            <w:r w:rsidDel="00000000" w:rsidR="00000000" w:rsidRPr="00000000">
              <w:rPr>
                <w:rFonts w:ascii="Times New Roman" w:cs="Times New Roman" w:eastAsia="Times New Roman" w:hAnsi="Times New Roman"/>
                <w:sz w:val="18"/>
                <w:szCs w:val="18"/>
                <w:rtl w:val="0"/>
              </w:rPr>
              <w:t xml:space="preserve">iniciadas. Medición</w:t>
            </w:r>
            <w:r w:rsidDel="00000000" w:rsidR="00000000" w:rsidRPr="00000000">
              <w:rPr>
                <w:rFonts w:ascii="Times New Roman" w:cs="Times New Roman" w:eastAsia="Times New Roman" w:hAnsi="Times New Roman"/>
                <w:sz w:val="18"/>
                <w:szCs w:val="18"/>
                <w:rtl w:val="0"/>
              </w:rPr>
              <w:t xml:space="preserve">: derivaciones registradas por el flujo digital sobre solicitudes iniciadas, por perfil de solicitante; frecuencia mensual; responsable: Producto digital.</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406">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entidad no publica una medición directa de este indicador.</w:t>
            </w:r>
            <w:r w:rsidDel="00000000" w:rsidR="00000000" w:rsidRPr="00000000">
              <w:rPr>
                <w:rFonts w:ascii="Times New Roman" w:cs="Times New Roman" w:eastAsia="Times New Roman" w:hAnsi="Times New Roman"/>
                <w:sz w:val="18"/>
                <w:szCs w:val="18"/>
                <w:rtl w:val="0"/>
              </w:rPr>
              <w:t xml:space="preserve"> Cota superior verificable: 67 % de las cuentas se contrata por canal asistido (complemento del 33 % digital al 2T2026), cifra que incluye derivaciones y decisiones del propio cliente (</w:t>
            </w:r>
            <w:r w:rsidDel="00000000" w:rsidR="00000000" w:rsidRPr="00000000">
              <w:rPr>
                <w:rFonts w:ascii="Times New Roman" w:cs="Times New Roman" w:eastAsia="Times New Roman" w:hAnsi="Times New Roman"/>
                <w:sz w:val="18"/>
                <w:szCs w:val="18"/>
                <w:rtl w:val="0"/>
              </w:rPr>
              <w:t xml:space="preserve">Banco BBVA Perú, 2026f, p. 3</w:t>
            </w:r>
            <w:r w:rsidDel="00000000" w:rsidR="00000000" w:rsidRPr="00000000">
              <w:rPr>
                <w:rFonts w:ascii="Times New Roman" w:cs="Times New Roman" w:eastAsia="Times New Roman" w:hAnsi="Times New Roman"/>
                <w:sz w:val="18"/>
                <w:szCs w:val="18"/>
                <w:rtl w:val="0"/>
              </w:rPr>
              <w:t xml:space="preserve">). La entidad confirma la existencia de la derivación para casos borde (A. Moquillaza, comunicación personal, 11 de setiembre de 2026).</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407">
            <w:pPr>
              <w:spacing w:after="0" w:line="240" w:lineRule="auto"/>
              <w:jc w:val="left"/>
              <w:rPr>
                <w:rFonts w:ascii="Times New Roman" w:cs="Times New Roman" w:eastAsia="Times New Roman" w:hAnsi="Times New Roman"/>
                <w:i w:val="0"/>
                <w:iCs w:val="0"/>
                <w:sz w:val="18"/>
                <w:szCs w:val="18"/>
              </w:rPr>
            </w:pPr>
            <w:sdt>
              <w:sdtPr>
                <w:id w:val="1353425820"/>
                <w:tag w:val="goog_rdk_33"/>
              </w:sdtPr>
              <w:sdtContent>
                <w:r w:rsidDel="00000000" w:rsidR="00000000" w:rsidRPr="00000000">
                  <w:rPr>
                    <w:rFonts w:ascii="Gungsuh" w:cs="Gungsuh" w:eastAsia="Gungsuh" w:hAnsi="Gungsuh"/>
                    <w:sz w:val="18"/>
                    <w:szCs w:val="18"/>
                    <w:rtl w:val="0"/>
                  </w:rPr>
                  <w:t xml:space="preserve">≤ 45 % de las cuentas contratadas por canal asistido, equivalente a 55 % de penetración digital, en </w:t>
                </w:r>
              </w:sdtContent>
            </w:sdt>
            <w:r w:rsidDel="00000000" w:rsidR="00000000" w:rsidRPr="00000000">
              <w:rPr>
                <w:rFonts w:ascii="Times New Roman" w:cs="Times New Roman" w:eastAsia="Times New Roman" w:hAnsi="Times New Roman"/>
                <w:sz w:val="18"/>
                <w:szCs w:val="18"/>
                <w:rtl w:val="0"/>
              </w:rPr>
              <w:t xml:space="preserve">18 meses</w:t>
            </w:r>
            <w:r w:rsidDel="00000000" w:rsidR="00000000" w:rsidRPr="00000000">
              <w:rPr>
                <w:rFonts w:ascii="Times New Roman" w:cs="Times New Roman" w:eastAsia="Times New Roman" w:hAnsi="Times New Roman"/>
                <w:sz w:val="18"/>
                <w:szCs w:val="18"/>
                <w:rtl w:val="0"/>
              </w:rPr>
              <w:t xml:space="preserve"> (propuesta del equipo).</w:t>
            </w:r>
            <w:r w:rsidDel="00000000" w:rsidR="00000000" w:rsidRPr="00000000">
              <w:rPr>
                <w:rtl w:val="0"/>
              </w:rPr>
            </w:r>
          </w:p>
        </w:tc>
      </w:tr>
    </w:tbl>
    <w:p w:rsidR="00000000" w:rsidDel="00000000" w:rsidP="00000000" w:rsidRDefault="00000000" w:rsidRPr="00000000" w14:paraId="00000408">
      <w:pPr>
        <w:spacing w:after="22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Banco BBVA Perú (</w:t>
      </w:r>
      <w:r w:rsidDel="00000000" w:rsidR="00000000" w:rsidRPr="00000000">
        <w:rPr>
          <w:rFonts w:ascii="Times New Roman" w:cs="Times New Roman" w:eastAsia="Times New Roman" w:hAnsi="Times New Roman"/>
          <w:rtl w:val="0"/>
        </w:rPr>
        <w:t xml:space="preserve">2025, 2026f, p. 3</w:t>
      </w:r>
      <w:r w:rsidDel="00000000" w:rsidR="00000000" w:rsidRPr="00000000">
        <w:rPr>
          <w:rFonts w:ascii="Times New Roman" w:cs="Times New Roman" w:eastAsia="Times New Roman" w:hAnsi="Times New Roman"/>
          <w:rtl w:val="0"/>
        </w:rPr>
        <w:t xml:space="preserve">). Las definiciones operativas reproducen la definición de venta digital declarada por la entidad. Las metas propuestas son elaboración del equipo. </w:t>
      </w:r>
    </w:p>
    <w:p w:rsidR="00000000" w:rsidDel="00000000" w:rsidP="00000000" w:rsidRDefault="00000000" w:rsidRPr="00000000" w14:paraId="00000409">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heading=h.b31j083od264" w:id="28"/>
      <w:bookmarkEnd w:id="28"/>
      <w:r w:rsidDel="00000000" w:rsidR="00000000" w:rsidRPr="00000000">
        <w:rPr>
          <w:rFonts w:ascii="Times New Roman" w:cs="Times New Roman" w:eastAsia="Times New Roman" w:hAnsi="Times New Roman"/>
          <w:b w:val="1"/>
          <w:bCs w:val="1"/>
          <w:sz w:val="22"/>
          <w:szCs w:val="22"/>
          <w:rtl w:val="0"/>
        </w:rPr>
        <w:t xml:space="preserve">Condiciones de medición y vacíos de información</w:t>
      </w:r>
    </w:p>
    <w:p w:rsidR="00000000" w:rsidDel="00000000" w:rsidP="00000000" w:rsidRDefault="00000000" w:rsidRPr="00000000" w14:paraId="0000040A">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los veinticinco indicadores definidos, quince cuentan con línea base pública directa. De los diez restantes, cinco disponen de una referencia aproximada o de una cota verificable de la propia entidad (tiempo de ciclo de la ruta asistida, costo unitario de originación, cumplimiento del plazo regulatorio, costo de adquisición y derivación a canal asistido), dos solo de una referencia sectorial (tasa de aprobación Pyme y sanciones firmes) y tres carecen de dato público (trazabilidad del reclamo en autoservicio, abandono y activación). Esta proporción no invalida el análisis, pero condiciona su alcance y debe declararse con transparencia. Los indicadores sin línea base pública directa corresponden, en su mayoría, a tiempos de ciclo, costos unitarios y tasas de conversión, información de gestión que las entidades bancarias no suelen divulgar en sus reportes al mercado. Para cada uno de ellos, las Tablas 23 a 25 fijan la referencia o la cota disponible, el protocolo de medición (fórmula, fuente interna, frecuencia y responsable) y una meta relativa a la línea base que se levante en los primeros 90 días</w:t>
      </w:r>
      <w:r w:rsidDel="00000000" w:rsidR="00000000" w:rsidRPr="00000000">
        <w:rPr>
          <w:rFonts w:ascii="Times New Roman" w:cs="Times New Roman" w:eastAsia="Times New Roman" w:hAnsi="Times New Roman"/>
          <w:i w:val="0"/>
          <w:iCs w:val="0"/>
          <w:rtl w:val="0"/>
        </w:rPr>
        <w:t xml:space="preserve">.</w:t>
      </w:r>
      <w:r w:rsidDel="00000000" w:rsidR="00000000" w:rsidRPr="00000000">
        <w:rPr>
          <w:rtl w:val="0"/>
        </w:rPr>
      </w:r>
    </w:p>
    <w:p w:rsidR="00000000" w:rsidDel="00000000" w:rsidP="00000000" w:rsidRDefault="00000000" w:rsidRPr="00000000" w14:paraId="0000040B">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En consecuencia, antes de formular las </w:t>
      </w:r>
      <w:r w:rsidDel="00000000" w:rsidR="00000000" w:rsidRPr="00000000">
        <w:rPr>
          <w:rFonts w:ascii="Times New Roman" w:cs="Times New Roman" w:eastAsia="Times New Roman" w:hAnsi="Times New Roman"/>
          <w:i w:val="0"/>
          <w:iCs w:val="0"/>
          <w:rtl w:val="0"/>
        </w:rPr>
        <w:t xml:space="preserve">iniciativas del siguiente avance</w:t>
      </w:r>
      <w:r w:rsidDel="00000000" w:rsidR="00000000" w:rsidRPr="00000000">
        <w:rPr>
          <w:rFonts w:ascii="Times New Roman" w:cs="Times New Roman" w:eastAsia="Times New Roman" w:hAnsi="Times New Roman"/>
          <w:i w:val="0"/>
          <w:iCs w:val="0"/>
          <w:rtl w:val="0"/>
        </w:rPr>
        <w:t xml:space="preserve"> deberán cumplirse </w:t>
      </w:r>
      <w:r w:rsidDel="00000000" w:rsidR="00000000" w:rsidRPr="00000000">
        <w:rPr>
          <w:rFonts w:ascii="Times New Roman" w:cs="Times New Roman" w:eastAsia="Times New Roman" w:hAnsi="Times New Roman"/>
          <w:rtl w:val="0"/>
        </w:rPr>
        <w:t xml:space="preserve">cuatro </w:t>
      </w:r>
      <w:r w:rsidDel="00000000" w:rsidR="00000000" w:rsidRPr="00000000">
        <w:rPr>
          <w:rFonts w:ascii="Times New Roman" w:cs="Times New Roman" w:eastAsia="Times New Roman" w:hAnsi="Times New Roman"/>
          <w:i w:val="0"/>
          <w:iCs w:val="0"/>
          <w:rtl w:val="0"/>
        </w:rPr>
        <w:t xml:space="preserve">condiciones. Primera, establecer una línea base homogénea: los indicadores deben corresponder al mismo periodo de corte y al mismo universo de medición, evitando comparaciones entre magnitudes construidas con criterios distintos, según la advertencia ya formulada en la </w:t>
      </w:r>
      <w:r w:rsidDel="00000000" w:rsidR="00000000" w:rsidRPr="00000000">
        <w:rPr>
          <w:rFonts w:ascii="Times New Roman" w:cs="Times New Roman" w:eastAsia="Times New Roman" w:hAnsi="Times New Roman"/>
          <w:i w:val="0"/>
          <w:iCs w:val="0"/>
          <w:rtl w:val="0"/>
        </w:rPr>
        <w:t xml:space="preserve">sección 1.5</w:t>
      </w:r>
      <w:r w:rsidDel="00000000" w:rsidR="00000000" w:rsidRPr="00000000">
        <w:rPr>
          <w:rFonts w:ascii="Times New Roman" w:cs="Times New Roman" w:eastAsia="Times New Roman" w:hAnsi="Times New Roman"/>
          <w:i w:val="0"/>
          <w:iCs w:val="0"/>
          <w:rtl w:val="0"/>
        </w:rPr>
        <w:t xml:space="preserve">. Segunda, definir la fuente de dato autoritativa para cada indicador dentro de la plataforma de datos, de modo que la medición posterior sea reproducible. Tercera, fijar la frecuencia de medición y el responsable de cada indicador, sin lo cual el seguimiento se vuelve declarativo. Cuarta, constatar el comportamiento del flujo mediante pruebas reales de contratación como cliente y como no cliente, incluyendo perfiles que hoy resultan derivados, de modo que la línea base de conversión y derivación se construya sobre observación directa y no sobre estimación. </w:t>
      </w:r>
      <w:r w:rsidDel="00000000" w:rsidR="00000000" w:rsidRPr="00000000">
        <w:rPr>
          <w:rtl w:val="0"/>
        </w:rPr>
      </w:r>
    </w:p>
    <w:p w:rsidR="00000000" w:rsidDel="00000000" w:rsidP="00000000" w:rsidRDefault="00000000" w:rsidRPr="00000000" w14:paraId="0000040C">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Cabe precisar, finalmente, que los indicadores de línea base pública provienen de cortes distintos: junio de 2026 para los reportados </w:t>
      </w:r>
      <w:r w:rsidDel="00000000" w:rsidR="00000000" w:rsidRPr="00000000">
        <w:rPr>
          <w:rFonts w:ascii="Times New Roman" w:cs="Times New Roman" w:eastAsia="Times New Roman" w:hAnsi="Times New Roman"/>
          <w:rtl w:val="0"/>
        </w:rPr>
        <w:t xml:space="preserve">en el informe de gerencia trimestral</w:t>
      </w:r>
      <w:r w:rsidDel="00000000" w:rsidR="00000000" w:rsidRPr="00000000">
        <w:rPr>
          <w:rFonts w:ascii="Times New Roman" w:cs="Times New Roman" w:eastAsia="Times New Roman" w:hAnsi="Times New Roman"/>
          <w:rtl w:val="0"/>
        </w:rPr>
        <w:t xml:space="preserve"> y en los reportes mensuales de reclamos, diciembre de 2025 para los provenientes de la memoria anual y del </w:t>
      </w:r>
      <w:r w:rsidDel="00000000" w:rsidR="00000000" w:rsidRPr="00000000">
        <w:rPr>
          <w:rFonts w:ascii="Times New Roman" w:cs="Times New Roman" w:eastAsia="Times New Roman" w:hAnsi="Times New Roman"/>
          <w:rtl w:val="0"/>
        </w:rPr>
        <w:t xml:space="preserve">informe de gerencia del cuarto trimestre</w:t>
      </w:r>
      <w:r w:rsidDel="00000000" w:rsidR="00000000" w:rsidRPr="00000000">
        <w:rPr>
          <w:rFonts w:ascii="Times New Roman" w:cs="Times New Roman" w:eastAsia="Times New Roman" w:hAnsi="Times New Roman"/>
          <w:rtl w:val="0"/>
        </w:rPr>
        <w:t xml:space="preserve">, y marzo de 2026 para los indicadores sectoriales. Cada indicador identifica su corte en las Tablas 23 a 25 y no deben combinarse en un mismo cálculo sin advertirlo.</w:t>
      </w:r>
    </w:p>
    <w:p w:rsidR="00000000" w:rsidDel="00000000" w:rsidP="00000000" w:rsidRDefault="00000000" w:rsidRPr="00000000" w14:paraId="0000040D">
      <w:pPr>
        <w:spacing w:line="480" w:lineRule="auto"/>
        <w:jc w:val="left"/>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0E">
      <w:pPr>
        <w:pStyle w:val="Heading1"/>
        <w:numPr>
          <w:ilvl w:val="0"/>
          <w:numId w:val="1"/>
        </w:numPr>
        <w:ind w:left="566.9291338582675" w:hanging="360"/>
        <w:rPr>
          <w:rFonts w:ascii="Times New Roman" w:cs="Times New Roman" w:eastAsia="Times New Roman" w:hAnsi="Times New Roman"/>
          <w:b w:val="1"/>
          <w:bCs w:val="1"/>
        </w:rPr>
      </w:pPr>
      <w:bookmarkStart w:colFirst="0" w:colLast="0" w:name="_heading=h.1kyca2bfypxx" w:id="29"/>
      <w:bookmarkEnd w:id="29"/>
      <w:r w:rsidDel="00000000" w:rsidR="00000000" w:rsidRPr="00000000">
        <w:rPr>
          <w:rFonts w:ascii="Times New Roman" w:cs="Times New Roman" w:eastAsia="Times New Roman" w:hAnsi="Times New Roman"/>
          <w:b w:val="1"/>
          <w:bCs w:val="1"/>
          <w:sz w:val="22"/>
          <w:szCs w:val="22"/>
          <w:rtl w:val="0"/>
        </w:rPr>
        <w:t xml:space="preserve">Hipótesis de las iniciativas a ser desarrolladas</w:t>
      </w:r>
      <w:r w:rsidDel="00000000" w:rsidR="00000000" w:rsidRPr="00000000">
        <w:rPr>
          <w:rtl w:val="0"/>
        </w:rPr>
      </w:r>
    </w:p>
    <w:p w:rsidR="00000000" w:rsidDel="00000000" w:rsidP="00000000" w:rsidRDefault="00000000" w:rsidRPr="00000000" w14:paraId="0000040F">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heading=h.220brtdt4llx" w:id="30"/>
      <w:bookmarkEnd w:id="30"/>
      <w:r w:rsidDel="00000000" w:rsidR="00000000" w:rsidRPr="00000000">
        <w:rPr>
          <w:rFonts w:ascii="Times New Roman" w:cs="Times New Roman" w:eastAsia="Times New Roman" w:hAnsi="Times New Roman"/>
          <w:b w:val="1"/>
          <w:bCs w:val="1"/>
          <w:sz w:val="22"/>
          <w:szCs w:val="22"/>
          <w:rtl w:val="0"/>
        </w:rPr>
        <w:t xml:space="preserve">Enfoque metodológico para la formulación de hipótesis</w:t>
      </w:r>
    </w:p>
    <w:p w:rsidR="00000000" w:rsidDel="00000000" w:rsidP="00000000" w:rsidRDefault="00000000" w:rsidRPr="00000000" w14:paraId="0000041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hipótesis que siguen atienden los tres dolores críticos seleccionados en la sección 4.1: la baja digitalización de la originación de crédito Pyme (DC1), el tiempo de resolución y la exposición sancionatoria por operaciones no reconocidas (DC2) y la penetración digital dispar en la contratación de productos (DC3). Para ello aplican el criterio establecido en el enunciado del trabajo: priorizar agentes de inteligencia artificial como tecnología habilitante, sin excluir otras tecnologías disruptivas cuando la evidencia lo justifique. </w:t>
      </w:r>
    </w:p>
    <w:p w:rsidR="00000000" w:rsidDel="00000000" w:rsidP="00000000" w:rsidRDefault="00000000" w:rsidRPr="00000000" w14:paraId="00000411">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hipótesis se somete a la misma prueba. Primero, se sustenta con evidencia de mercado verificable sobre el estado del arte de agentes de IA en banca, incluyendo, cuando existe, el comportamiento de competidores directos en el mercado peruano. Segundo, se traduce en una matriz Eliminar-Reducir-Elevar-Crear (ERRC), instrumento propuesto por </w:t>
      </w:r>
      <w:r w:rsidDel="00000000" w:rsidR="00000000" w:rsidRPr="00000000">
        <w:rPr>
          <w:rFonts w:ascii="Times New Roman" w:cs="Times New Roman" w:eastAsia="Times New Roman" w:hAnsi="Times New Roman"/>
          <w:i w:val="1"/>
          <w:iCs w:val="1"/>
          <w:rtl w:val="0"/>
        </w:rPr>
        <w:t xml:space="preserve">Kim y Mauborgne (2005)</w:t>
      </w:r>
      <w:r w:rsidDel="00000000" w:rsidR="00000000" w:rsidRPr="00000000">
        <w:rPr>
          <w:rFonts w:ascii="Times New Roman" w:cs="Times New Roman" w:eastAsia="Times New Roman" w:hAnsi="Times New Roman"/>
          <w:rtl w:val="0"/>
        </w:rPr>
        <w:t xml:space="preserve"> para sistematizar el tránsito de un océano rojo, donde las entidades compiten por los mismos atributos, hacia un océano azul, en el que la propuesta de valor deja de ser comparable punto a punto con la competencia (Blue Ocean Strategy, s. f.). Tercero, se vincula con un indicador de éxito ya definido en las </w:t>
      </w:r>
      <w:r w:rsidDel="00000000" w:rsidR="00000000" w:rsidRPr="00000000">
        <w:rPr>
          <w:rFonts w:ascii="Times New Roman" w:cs="Times New Roman" w:eastAsia="Times New Roman" w:hAnsi="Times New Roman"/>
          <w:rtl w:val="0"/>
        </w:rPr>
        <w:t xml:space="preserve">Tablas 23 a 25 (sección 4.3)</w:t>
      </w:r>
      <w:r w:rsidDel="00000000" w:rsidR="00000000" w:rsidRPr="00000000">
        <w:rPr>
          <w:rFonts w:ascii="Times New Roman" w:cs="Times New Roman" w:eastAsia="Times New Roman" w:hAnsi="Times New Roman"/>
          <w:rtl w:val="0"/>
        </w:rPr>
        <w:t xml:space="preserve">, de modo que la iniciativa no introduce una métrica nueva y desconectada del diagnóstico previo, sino que reutiliza la línea base y la meta ya declaradas.</w:t>
      </w:r>
    </w:p>
    <w:p w:rsidR="00000000" w:rsidDel="00000000" w:rsidP="00000000" w:rsidRDefault="00000000" w:rsidRPr="00000000" w14:paraId="00000412">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Advertencia sobre el estado de la competencia.</w:t>
      </w:r>
      <w:r w:rsidDel="00000000" w:rsidR="00000000" w:rsidRPr="00000000">
        <w:rPr>
          <w:rFonts w:ascii="Times New Roman" w:cs="Times New Roman" w:eastAsia="Times New Roman" w:hAnsi="Times New Roman"/>
          <w:rtl w:val="0"/>
        </w:rPr>
        <w:t xml:space="preserve"> La evidencia recogida muestra que el mercado peruano ya no es un espacio inexplorado en materia de agentes conversacionales: Mibanco desplegó en julio de 2026 un agente de IA agéntica de AWS sobre WhatsApp que abre cuentas de ahorro, desembolsa créditos y ejecuta transferencias de forma autónoma, con más de 357,000 interacciones y S/ 10.6 millones desembolsados en sus primeros meses (PressPerú, 2026); y el BCP opera desde 2024 un voicebot que atiende el 30 % de las llamadas de su call center, aunque circunscrito a consultas informativas (Mestanza Arquiñigo, 2024). El propio BBVA Perú participa de esta tendencia. Desde 2021 opera Blue, un asistente virtual disponible las 24 horas en la app y la banca por internet, que al cierre de 2024 había resuelto más de tres millones de consultas. Desde 2024 opera además Blue Voicebot en la banca telefónica: solicita el DNI como filtro de seguridad y deriva al cliente hacia la autogestión, un asesor humano o flujos del propio voicebot (Reusche, 2025). Un agente conversacional genérico ya no constituye, por sí solo, una propuesta de océano azul: sería imitar una jugada que la competencia, e incluso el propio banco, ya hizo pública. Por ello, cada hipótesis identifica específicamente qué elemento del proceso BBVA puede elevar o crear que sus competidores locales, </w:t>
      </w:r>
      <w:r w:rsidDel="00000000" w:rsidR="00000000" w:rsidRPr="00000000">
        <w:rPr>
          <w:rFonts w:ascii="Times New Roman" w:cs="Times New Roman" w:eastAsia="Times New Roman" w:hAnsi="Times New Roman"/>
          <w:rtl w:val="0"/>
        </w:rPr>
        <w:t xml:space="preserve">hasta la fecha de elaboración de este informe</w:t>
      </w:r>
      <w:r w:rsidDel="00000000" w:rsidR="00000000" w:rsidRPr="00000000">
        <w:rPr>
          <w:rFonts w:ascii="Times New Roman" w:cs="Times New Roman" w:eastAsia="Times New Roman" w:hAnsi="Times New Roman"/>
          <w:rtl w:val="0"/>
        </w:rPr>
        <w:t xml:space="preserve">, no ofrecen.</w:t>
      </w:r>
    </w:p>
    <w:p w:rsidR="00000000" w:rsidDel="00000000" w:rsidP="00000000" w:rsidRDefault="00000000" w:rsidRPr="00000000" w14:paraId="00000413">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Advertencia regulatoria.</w:t>
      </w:r>
      <w:r w:rsidDel="00000000" w:rsidR="00000000" w:rsidRPr="00000000">
        <w:rPr>
          <w:rFonts w:ascii="Times New Roman" w:cs="Times New Roman" w:eastAsia="Times New Roman" w:hAnsi="Times New Roman"/>
          <w:rtl w:val="0"/>
        </w:rPr>
        <w:t xml:space="preserve"> Toda hipótesis que emplee inteligencia artificial en la evaluación crediticia debe diseñarse bajo el Reglamento de la Ley </w:t>
      </w:r>
      <w:r w:rsidDel="00000000" w:rsidR="00000000" w:rsidRPr="00000000">
        <w:rPr>
          <w:rFonts w:ascii="Times New Roman" w:cs="Times New Roman" w:eastAsia="Times New Roman" w:hAnsi="Times New Roman"/>
          <w:rtl w:val="0"/>
        </w:rPr>
        <w:t xml:space="preserve">N.º </w:t>
      </w:r>
      <w:r w:rsidDel="00000000" w:rsidR="00000000" w:rsidRPr="00000000">
        <w:rPr>
          <w:rFonts w:ascii="Times New Roman" w:cs="Times New Roman" w:eastAsia="Times New Roman" w:hAnsi="Times New Roman"/>
          <w:rtl w:val="0"/>
        </w:rPr>
        <w:t xml:space="preserve">31814, aprobado por el Decreto Supremo </w:t>
      </w:r>
      <w:r w:rsidDel="00000000" w:rsidR="00000000" w:rsidRPr="00000000">
        <w:rPr>
          <w:rFonts w:ascii="Times New Roman" w:cs="Times New Roman" w:eastAsia="Times New Roman" w:hAnsi="Times New Roman"/>
          <w:rtl w:val="0"/>
        </w:rPr>
        <w:t xml:space="preserve">N.º </w:t>
      </w:r>
      <w:r w:rsidDel="00000000" w:rsidR="00000000" w:rsidRPr="00000000">
        <w:rPr>
          <w:rFonts w:ascii="Times New Roman" w:cs="Times New Roman" w:eastAsia="Times New Roman" w:hAnsi="Times New Roman"/>
          <w:rtl w:val="0"/>
        </w:rPr>
        <w:t xml:space="preserve">115-2025-PCM (en adelante, el Reglamento). Este clasifica como uso de riesgo alto todo sistema de IA que determine la evaluación crediticia de personas, salvo que se emplee para la detección de fraude financiero (art. 24.1, literal g). Al implementador privado de un sistema de riesgo alto le exige informar al usuario, de forma previa, clara y sencilla, sobre la finalidad del sistema y el tipo de decisiones que puede tomar (art. 25.1). También le exige explicar a los usuarios afectados los criterios y factores clave de las decisiones automatizadas que impacten en sus derechos (art. 25.3). Además, la supervisión humana debe recaer en personal capacitado, con capacidad de detener, corregir o invalidar las decisiones del sistema (art. 31.4). A todo implementador le exige, finalmente, aplicar prácticas para identificar y minimizar sesgos algorítmicos (art. 27.1, literal d). Para el sector de economía y finanzas, estas obligaciones son exigibles desde el 10 de setiembre de 2026, al cumplirse un año de la publicación del Reglamento (Decreto Supremo </w:t>
      </w:r>
      <w:r w:rsidDel="00000000" w:rsidR="00000000" w:rsidRPr="00000000">
        <w:rPr>
          <w:rFonts w:ascii="Times New Roman" w:cs="Times New Roman" w:eastAsia="Times New Roman" w:hAnsi="Times New Roman"/>
          <w:rtl w:val="0"/>
        </w:rPr>
        <w:t xml:space="preserve">N.º </w:t>
      </w:r>
      <w:r w:rsidDel="00000000" w:rsidR="00000000" w:rsidRPr="00000000">
        <w:rPr>
          <w:rFonts w:ascii="Times New Roman" w:cs="Times New Roman" w:eastAsia="Times New Roman" w:hAnsi="Times New Roman"/>
          <w:rtl w:val="0"/>
        </w:rPr>
        <w:t xml:space="preserve">115-2025-PCM, 2025, Primera Disposición Complementaria Final; Ramírez Huancayo, 2026). Esta exigencia no es un obstáculo lateral: se incorpora como condición de diseño en la hipótesis del DC1 y, por prudencia, en la del DC2.</w:t>
      </w:r>
    </w:p>
    <w:p w:rsidR="00000000" w:rsidDel="00000000" w:rsidP="00000000" w:rsidRDefault="00000000" w:rsidRPr="00000000" w14:paraId="00000414">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Foco del equipo para los siguientes avances.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Esta parte del informe desarrolla, conforme lo exige el enunciado del trabajo,</w:t>
      </w:r>
      <w:r w:rsidDel="00000000" w:rsidR="00000000" w:rsidRPr="00000000">
        <w:rPr>
          <w:rFonts w:ascii="Times New Roman" w:cs="Times New Roman" w:eastAsia="Times New Roman" w:hAnsi="Times New Roman"/>
          <w:rtl w:val="0"/>
        </w:rPr>
        <w:t xml:space="preserve"> hipótesis de iniciativa y descripción As Is para los tres dolores críticos priorizados (DC1, DC2 y DC3), manteniendo el mismo nivel de rigor y de sustento en cada uno. </w:t>
      </w:r>
      <w:r w:rsidDel="00000000" w:rsidR="00000000" w:rsidRPr="00000000">
        <w:rPr>
          <w:rFonts w:ascii="Times New Roman" w:cs="Times New Roman" w:eastAsia="Times New Roman" w:hAnsi="Times New Roman"/>
          <w:rtl w:val="0"/>
        </w:rPr>
        <w:t xml:space="preserve">A partir de este avance, el equipo</w:t>
      </w:r>
      <w:r w:rsidDel="00000000" w:rsidR="00000000" w:rsidRPr="00000000">
        <w:rPr>
          <w:rFonts w:ascii="Times New Roman" w:cs="Times New Roman" w:eastAsia="Times New Roman" w:hAnsi="Times New Roman"/>
          <w:rtl w:val="0"/>
        </w:rPr>
        <w:t xml:space="preserve"> concentra además el desarrollo de la iniciativa n el dolor DC3 (contratación de productos por canal digital), seleccionado como proceso ancla del proyecto porque es el que ofrece mayor claridad y disponibilidad de información para el equipo: el área de prevención de fraude que sustenta a DC2 opera de forma aislada y confidencial, y el flujo de originación Pyme de DC1 corresponde a un segmento distinto al de retail </w:t>
      </w:r>
      <w:r w:rsidDel="00000000" w:rsidR="00000000" w:rsidRPr="00000000">
        <w:rPr>
          <w:rFonts w:ascii="Times New Roman" w:cs="Times New Roman" w:eastAsia="Times New Roman" w:hAnsi="Times New Roman"/>
          <w:i w:val="1"/>
          <w:iCs w:val="1"/>
          <w:rtl w:val="0"/>
        </w:rPr>
        <w:t xml:space="preserve">(A. Moquillaza, comunicación personal, 11 de setiembre de 2026)</w:t>
      </w:r>
      <w:r w:rsidDel="00000000" w:rsidR="00000000" w:rsidRPr="00000000">
        <w:rPr>
          <w:rFonts w:ascii="Times New Roman" w:cs="Times New Roman" w:eastAsia="Times New Roman" w:hAnsi="Times New Roman"/>
          <w:rtl w:val="0"/>
        </w:rPr>
        <w:t xml:space="preserve">. Esta decisión no reduce el </w:t>
      </w:r>
      <w:r w:rsidDel="00000000" w:rsidR="00000000" w:rsidRPr="00000000">
        <w:rPr>
          <w:rFonts w:ascii="Times New Roman" w:cs="Times New Roman" w:eastAsia="Times New Roman" w:hAnsi="Times New Roman"/>
          <w:rtl w:val="0"/>
        </w:rPr>
        <w:t xml:space="preserve">alcance exigido en este informe</w:t>
      </w:r>
      <w:r w:rsidDel="00000000" w:rsidR="00000000" w:rsidRPr="00000000">
        <w:rPr>
          <w:rFonts w:ascii="Times New Roman" w:cs="Times New Roman" w:eastAsia="Times New Roman" w:hAnsi="Times New Roman"/>
          <w:rtl w:val="0"/>
        </w:rPr>
        <w:t xml:space="preserve">: las hipótesis y la descripción As Is de DC1 y DC2 se mantienen desarrolladas en su totalidad en las secciones 5.2, 5.3, 6.1 y 6.2.</w:t>
      </w:r>
    </w:p>
    <w:p w:rsidR="00000000" w:rsidDel="00000000" w:rsidP="00000000" w:rsidRDefault="00000000" w:rsidRPr="00000000" w14:paraId="00000415">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heading=h.x19k35cjqrwu" w:id="31"/>
      <w:bookmarkEnd w:id="31"/>
      <w:r w:rsidDel="00000000" w:rsidR="00000000" w:rsidRPr="00000000">
        <w:rPr>
          <w:rFonts w:ascii="Times New Roman" w:cs="Times New Roman" w:eastAsia="Times New Roman" w:hAnsi="Times New Roman"/>
          <w:b w:val="1"/>
          <w:bCs w:val="1"/>
          <w:sz w:val="22"/>
          <w:szCs w:val="22"/>
          <w:rtl w:val="0"/>
        </w:rPr>
        <w:t xml:space="preserve">Hipótesis de iniciativa para DC1: agente de precalificación crediticia Pyme</w:t>
      </w:r>
    </w:p>
    <w:p w:rsidR="00000000" w:rsidDel="00000000" w:rsidP="00000000" w:rsidRDefault="00000000" w:rsidRPr="00000000" w14:paraId="00000416">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de la hipótesis.</w:t>
      </w:r>
      <w:r w:rsidDel="00000000" w:rsidR="00000000" w:rsidRPr="00000000">
        <w:rPr>
          <w:rFonts w:ascii="Times New Roman" w:cs="Times New Roman" w:eastAsia="Times New Roman" w:hAnsi="Times New Roman"/>
          <w:rtl w:val="0"/>
        </w:rPr>
        <w:t xml:space="preserve"> Agente de precalificación y acompañamiento conversacional para el crédito Pyme, integrado al perfil Mi Negocio de la App BBVA y a la App BBVA Empresas, y accesible por canal de mensajería.</w:t>
      </w:r>
    </w:p>
    <w:p w:rsidR="00000000" w:rsidDel="00000000" w:rsidP="00000000" w:rsidRDefault="00000000" w:rsidRPr="00000000" w14:paraId="00000417">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Formulación.</w:t>
      </w:r>
      <w:r w:rsidDel="00000000" w:rsidR="00000000" w:rsidRPr="00000000">
        <w:rPr>
          <w:rFonts w:ascii="Times New Roman" w:cs="Times New Roman" w:eastAsia="Times New Roman" w:hAnsi="Times New Roman"/>
          <w:rtl w:val="0"/>
        </w:rPr>
        <w:t xml:space="preserve"> La ruta digital de crédito Pyme de BBVA Perú opera hoy sobre ofertas que el banco preaprueba y presenta al cliente. El Préstamo Digital Negocio y la Línea de Préstamo Digital se contratan desde el perfil Mi Negocio de la App BBVA, reservado a clientes identificados como persona natural con negocio, y su otorgamiento está sujeto al mantenimiento de las condiciones que motivaron la preaprobación. La línea para persona jurídica exige, además, contar con una oferta preaprobada en la App BBVA Empresas (</w:t>
      </w:r>
      <w:r w:rsidDel="00000000" w:rsidR="00000000" w:rsidRPr="00000000">
        <w:rPr>
          <w:rFonts w:ascii="Times New Roman" w:cs="Times New Roman" w:eastAsia="Times New Roman" w:hAnsi="Times New Roman"/>
          <w:rtl w:val="0"/>
        </w:rPr>
        <w:t xml:space="preserve">Banco BBVA Perú, s. f.-i, s. f.-j, s. f.-l</w:t>
      </w:r>
      <w:r w:rsidDel="00000000" w:rsidR="00000000" w:rsidRPr="00000000">
        <w:rPr>
          <w:rFonts w:ascii="Times New Roman" w:cs="Times New Roman" w:eastAsia="Times New Roman" w:hAnsi="Times New Roman"/>
          <w:rtl w:val="0"/>
        </w:rPr>
        <w:t xml:space="preserve">). Para el empresario sin oferta preaprobada, los préstamos comerciales publicados exigen, entre otros requisitos, los tres últimos pagos de IGV o Impuesto a la Renta y estados financieros con antigüedad no mayor a tres meses (</w:t>
      </w:r>
      <w:r w:rsidDel="00000000" w:rsidR="00000000" w:rsidRPr="00000000">
        <w:rPr>
          <w:rFonts w:ascii="Times New Roman" w:cs="Times New Roman" w:eastAsia="Times New Roman" w:hAnsi="Times New Roman"/>
          <w:rtl w:val="0"/>
        </w:rPr>
        <w:t xml:space="preserve">Banco BBVA Perú, s. f.-m</w:t>
      </w:r>
      <w:r w:rsidDel="00000000" w:rsidR="00000000" w:rsidRPr="00000000">
        <w:rPr>
          <w:rFonts w:ascii="Times New Roman" w:cs="Times New Roman" w:eastAsia="Times New Roman" w:hAnsi="Times New Roman"/>
          <w:rtl w:val="0"/>
        </w:rPr>
        <w:t xml:space="preserve">). La hipótesis plantea lo siguiente. BBVA Perú desplegaría un agente de IA que conversa con el empresario antes de que este inicie el trámite formal y que interpreta su información de negocio en lenguaje natural, incluida documentación no estructurada como fotografías de comprobantes de venta. El agente contrastaría esa información con la transaccionalidad ya registrada en el ecosistema del banco (cuenta corriente, Openpay, QR Empresas). Así, el empresario podría conocer en la misma conversación para qué producto precalifica y bajo qué condiciones, sin producir primero la documentación financiera estructurada que hoy no posee (Melo, 2026). La iniciativa no sustituye la evaluación crediticia formal, sino que amplía el universo de clientes con acceso a una oferta: la precalificación deja de ser una oferta que el banco presenta a algunos clientes y pasa a ser una evaluación preliminar que el empresario solicita cuando la necesita. Esto ataca simultáneamente el dolor D1 y el dolor D3, ambos integrados en DC1. El dolor D1 es la brecha entre una ruta digital que resuelve el crédito en tres minutos en promedio y una ruta asistida que concentra dos tercios de los créditos otorgados (Reusche, 2026). El dolor D3 es la dependencia de información financiera que la microempresa no produce de forma estructurada.</w:t>
      </w:r>
    </w:p>
    <w:p w:rsidR="00000000" w:rsidDel="00000000" w:rsidP="00000000" w:rsidRDefault="00000000" w:rsidRPr="00000000" w14:paraId="00000418">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Sustento de mercado.</w:t>
      </w:r>
      <w:r w:rsidDel="00000000" w:rsidR="00000000" w:rsidRPr="00000000">
        <w:rPr>
          <w:rFonts w:ascii="Times New Roman" w:cs="Times New Roman" w:eastAsia="Times New Roman" w:hAnsi="Times New Roman"/>
          <w:rtl w:val="0"/>
        </w:rPr>
        <w:t xml:space="preserve"> La literatura especializada documenta que los agentes de IA ya son capaces de "tomar decisiones financieras complejas a nivel de cliente" y que las Pyme "ya están aprovechando la automatización de tesorería basada en API para optimizar el manejo de efectivo" </w:t>
      </w:r>
      <w:r w:rsidDel="00000000" w:rsidR="00000000" w:rsidRPr="00000000">
        <w:rPr>
          <w:rFonts w:ascii="Times New Roman" w:cs="Times New Roman" w:eastAsia="Times New Roman" w:hAnsi="Times New Roman"/>
          <w:i w:val="1"/>
          <w:iCs w:val="1"/>
          <w:rtl w:val="0"/>
        </w:rPr>
        <w:t xml:space="preserve">(Sundararajan y Jeenah, 2025)</w:t>
      </w:r>
      <w:r w:rsidDel="00000000" w:rsidR="00000000" w:rsidRPr="00000000">
        <w:rPr>
          <w:rFonts w:ascii="Times New Roman" w:cs="Times New Roman" w:eastAsia="Times New Roman" w:hAnsi="Times New Roman"/>
          <w:rtl w:val="0"/>
        </w:rPr>
        <w:t xml:space="preserve">. En mercados con reporte de resultados agregados, la automatización de la suscripción crediticia con IA se asocia a una mejora de 30 % en el tiempo de respuesta crediticia y a un incremento de 25 % en la tasa de aprobación sin incremento del riesgo </w:t>
      </w:r>
      <w:r w:rsidDel="00000000" w:rsidR="00000000" w:rsidRPr="00000000">
        <w:rPr>
          <w:rFonts w:ascii="Times New Roman" w:cs="Times New Roman" w:eastAsia="Times New Roman" w:hAnsi="Times New Roman"/>
          <w:i w:val="1"/>
          <w:iCs w:val="1"/>
          <w:rtl w:val="0"/>
        </w:rPr>
        <w:t xml:space="preserve">(Stealth Agents, 2026, con base en McKinsey y Zest AI)</w:t>
      </w:r>
      <w:r w:rsidDel="00000000" w:rsidR="00000000" w:rsidRPr="00000000">
        <w:rPr>
          <w:rFonts w:ascii="Times New Roman" w:cs="Times New Roman" w:eastAsia="Times New Roman" w:hAnsi="Times New Roman"/>
          <w:rtl w:val="0"/>
        </w:rPr>
        <w:t xml:space="preserve">; otra fuente reporta una reducción de 70 % en el tiempo de procesamiento y de 35 % en el abandono de solicitudes para casos de procesamiento documental de préstamos </w:t>
      </w:r>
      <w:r w:rsidDel="00000000" w:rsidR="00000000" w:rsidRPr="00000000">
        <w:rPr>
          <w:rFonts w:ascii="Times New Roman" w:cs="Times New Roman" w:eastAsia="Times New Roman" w:hAnsi="Times New Roman"/>
          <w:i w:val="1"/>
          <w:iCs w:val="1"/>
          <w:rtl w:val="0"/>
        </w:rPr>
        <w:t xml:space="preserve">(Kore.ai, 2026)</w:t>
      </w:r>
      <w:r w:rsidDel="00000000" w:rsidR="00000000" w:rsidRPr="00000000">
        <w:rPr>
          <w:rFonts w:ascii="Times New Roman" w:cs="Times New Roman" w:eastAsia="Times New Roman" w:hAnsi="Times New Roman"/>
          <w:rtl w:val="0"/>
        </w:rPr>
        <w:t xml:space="preserve">. Estas cifras corresponden a mercados desarrollados y no son extrapolables directamente al segmento Pyme peruano; se citan como referencia del orden de magnitud del beneficio esperado, no como proyección propia de BBVA Perú. </w:t>
      </w:r>
      <w:r w:rsidDel="00000000" w:rsidR="00000000" w:rsidRPr="00000000">
        <w:rPr>
          <w:rFonts w:ascii="Times New Roman" w:cs="Times New Roman" w:eastAsia="Times New Roman" w:hAnsi="Times New Roman"/>
          <w:rtl w:val="0"/>
        </w:rPr>
        <w:t xml:space="preserve">Dentro del propio Grupo BBVA</w:t>
      </w:r>
      <w:r w:rsidDel="00000000" w:rsidR="00000000" w:rsidRPr="00000000">
        <w:rPr>
          <w:rFonts w:ascii="Times New Roman" w:cs="Times New Roman" w:eastAsia="Times New Roman" w:hAnsi="Times New Roman"/>
          <w:rtl w:val="0"/>
        </w:rPr>
        <w:t xml:space="preserve"> existe, además, evidencia latinoamericana del mismo patrón. BBVA México lanzó en junio de 2026 una estrategia de financiamiento digital dirigida a 1.1 millones de pymes en la que la profundidad de la relación con el cliente y el uso de datos permiten automatizar las validaciones y otorgar los recursos de manera inmediata, frente a los 10 a 17 días que históricamente toma la banca tradicional (BBVA, 2026d). Asimismo, el equipo de Riesgo Pyme de BBVA México desarrolló, como prueba de concepto, un asistente conversacional que guía al empresario mediante un cuestionario digital en reemplazo del reporte de más de cien preguntas que hoy debe presentar para certificar que su negocio sigue activo (Pombo Nartallo, 2025). La estrategia de IA del grupo, The Eight, respalda el principio de diseño de esta hipótesis: su frente de riesgos busca dotar a los analistas de herramientas para mejorar la toma de decisiones manteniendo al analista en el centro de la decisión (</w:t>
      </w:r>
      <w:r w:rsidDel="00000000" w:rsidR="00000000" w:rsidRPr="00000000">
        <w:rPr>
          <w:rFonts w:ascii="Times New Roman" w:cs="Times New Roman" w:eastAsia="Times New Roman" w:hAnsi="Times New Roman"/>
          <w:rtl w:val="0"/>
        </w:rPr>
        <w:t xml:space="preserve">BBVA, 2025a</w:t>
      </w:r>
      <w:r w:rsidDel="00000000" w:rsidR="00000000" w:rsidRPr="00000000">
        <w:rPr>
          <w:rFonts w:ascii="Times New Roman" w:cs="Times New Roman" w:eastAsia="Times New Roman" w:hAnsi="Times New Roman"/>
          <w:rtl w:val="0"/>
        </w:rPr>
        <w:t xml:space="preserve">). Ninguno de estos casos reporta todavía resultados de aprobación o de riesgo comparables con los de BBVA Perú, por lo que se citan como precedentes del mismo grupo en un mercado emergente y no como proyección.</w:t>
      </w:r>
    </w:p>
    <w:p w:rsidR="00000000" w:rsidDel="00000000" w:rsidP="00000000" w:rsidRDefault="00000000" w:rsidRPr="00000000" w14:paraId="00000419">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Diferenciación frente a la competencia local.</w:t>
      </w:r>
      <w:r w:rsidDel="00000000" w:rsidR="00000000" w:rsidRPr="00000000">
        <w:rPr>
          <w:rFonts w:ascii="Times New Roman" w:cs="Times New Roman" w:eastAsia="Times New Roman" w:hAnsi="Times New Roman"/>
          <w:rtl w:val="0"/>
        </w:rPr>
        <w:t xml:space="preserve"> El agente de Mibanco ya ejecuta desembolsos conversacionales por WhatsApp (PressPerú, 2026), por lo que replicar solo esa función no genera océano azul. Tampoco es nuevo para el propio BBVA Perú usar datos transaccionales en la oferta de crédito. El Anticipo POS ya se ofrece como crédito preaprobado de S/ 3,000 a S/ 100,000 a negocios con POS Openpay, Izipay o Niubiz, y se repaga con la retención del 35 % de sus ventas diarias (</w:t>
      </w:r>
      <w:r w:rsidDel="00000000" w:rsidR="00000000" w:rsidRPr="00000000">
        <w:rPr>
          <w:rFonts w:ascii="Times New Roman" w:cs="Times New Roman" w:eastAsia="Times New Roman" w:hAnsi="Times New Roman"/>
          <w:rtl w:val="0"/>
        </w:rPr>
        <w:t xml:space="preserve">Banco BBVA Perú, s. f.-c</w:t>
      </w:r>
      <w:r w:rsidDel="00000000" w:rsidR="00000000" w:rsidRPr="00000000">
        <w:rPr>
          <w:rFonts w:ascii="Times New Roman" w:cs="Times New Roman" w:eastAsia="Times New Roman" w:hAnsi="Times New Roman"/>
          <w:rtl w:val="0"/>
        </w:rPr>
        <w:t xml:space="preserve">). La propuesta diferencial consiste en invertir el sentido de la oferta: la precalificación, construida sobre esos mismos datos, la solicita el empresario antes del trámite y sin reemplazarlo, en lugar de depender de que el banco le presente una oferta. Esta ventaja descansa en una base difícil de replicar, pues el 48 % de los clientes Pyme de BBVA Perú ya maneja sus cuentas transaccionales de forma principal en el banco (Reusche, 2026). La misma cifra acota el alcance de la hipótesis: para el resto de clientes, la información transaccional propia será parcial y el agente dependerá en mayor medida de la documentación que aporte el empresario.</w:t>
      </w:r>
    </w:p>
    <w:p w:rsidR="00000000" w:rsidDel="00000000" w:rsidP="00000000" w:rsidRDefault="00000000" w:rsidRPr="00000000" w14:paraId="0000041A">
      <w:pPr>
        <w:spacing w:after="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Tabla 26</w:t>
      </w:r>
      <w:r w:rsidDel="00000000" w:rsidR="00000000" w:rsidRPr="00000000">
        <w:rPr>
          <w:rtl w:val="0"/>
        </w:rPr>
      </w:r>
    </w:p>
    <w:p w:rsidR="00000000" w:rsidDel="00000000" w:rsidP="00000000" w:rsidRDefault="00000000" w:rsidRPr="00000000" w14:paraId="0000041B">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Matriz ERRC: agente de precalificación crediticia Pyme</w:t>
      </w:r>
      <w:r w:rsidDel="00000000" w:rsidR="00000000" w:rsidRPr="00000000">
        <w:rPr>
          <w:rtl w:val="0"/>
        </w:rPr>
      </w:r>
    </w:p>
    <w:tbl>
      <w:tblPr>
        <w:tblStyle w:val="Table26"/>
        <w:tblW w:w="9045.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605"/>
        <w:gridCol w:w="7440"/>
        <w:tblGridChange w:id="0">
          <w:tblGrid>
            <w:gridCol w:w="1605"/>
            <w:gridCol w:w="7440"/>
          </w:tblGrid>
        </w:tblGridChange>
      </w:tblGrid>
      <w:tr>
        <w:trPr>
          <w:cantSplit w:val="0"/>
          <w:tblHeader w:val="1"/>
        </w:trPr>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41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Acción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41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1E">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Eliminar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1F">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exigencia de presentar, como primer paso, documentación financiera estructurada que la microempresa no produce de forma habitual (Melo, 2026), como los tres últimos pagos de IGV o Impuesto a la Renta y estados financieros con antigüedad no mayor a tres meses (</w:t>
            </w:r>
            <w:r w:rsidDel="00000000" w:rsidR="00000000" w:rsidRPr="00000000">
              <w:rPr>
                <w:rFonts w:ascii="Times New Roman" w:cs="Times New Roman" w:eastAsia="Times New Roman" w:hAnsi="Times New Roman"/>
                <w:sz w:val="18"/>
                <w:szCs w:val="18"/>
                <w:rtl w:val="0"/>
              </w:rPr>
              <w:t xml:space="preserve">Banco BBVA Perú, s. f.-m</w:t>
            </w:r>
            <w:r w:rsidDel="00000000" w:rsidR="00000000" w:rsidRPr="00000000">
              <w:rPr>
                <w:rFonts w:ascii="Times New Roman" w:cs="Times New Roman" w:eastAsia="Times New Roman" w:hAnsi="Times New Roman"/>
                <w:sz w:val="18"/>
                <w:szCs w:val="18"/>
                <w:rtl w:val="0"/>
              </w:rPr>
              <w:t xml:space="preserve">).</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20">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Reducir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21">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tiempo en que el empresario permanece sin visibilidad del estado de su solicitud durante la evaluación crediticia (etapa 3 del recorrido, Tabla 15); la proporción de colocaciones que se originan exclusivamente por canal asistido; la dependencia de una oferta preaprobada por el banco como condición para acceder a la ruta digital.</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22">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Elevar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23">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transparencia de la decisión preliminar, explicando al cliente los factores que sustentan su precalificación, conforme al artículo 25.3 del Reglamento de la Ley </w:t>
            </w:r>
            <w:r w:rsidDel="00000000" w:rsidR="00000000" w:rsidRPr="00000000">
              <w:rPr>
                <w:rFonts w:ascii="Times New Roman" w:cs="Times New Roman" w:eastAsia="Times New Roman" w:hAnsi="Times New Roman"/>
                <w:sz w:val="18"/>
                <w:szCs w:val="18"/>
                <w:rtl w:val="0"/>
              </w:rPr>
              <w:t xml:space="preserve">N.º </w:t>
            </w:r>
            <w:r w:rsidDel="00000000" w:rsidR="00000000" w:rsidRPr="00000000">
              <w:rPr>
                <w:rFonts w:ascii="Times New Roman" w:cs="Times New Roman" w:eastAsia="Times New Roman" w:hAnsi="Times New Roman"/>
                <w:sz w:val="18"/>
                <w:szCs w:val="18"/>
                <w:rtl w:val="0"/>
              </w:rPr>
              <w:t xml:space="preserve">31814, exigible al sector financiero desde el </w:t>
            </w:r>
            <w:r w:rsidDel="00000000" w:rsidR="00000000" w:rsidRPr="00000000">
              <w:rPr>
                <w:rFonts w:ascii="Times New Roman" w:cs="Times New Roman" w:eastAsia="Times New Roman" w:hAnsi="Times New Roman"/>
                <w:sz w:val="18"/>
                <w:szCs w:val="18"/>
                <w:rtl w:val="0"/>
              </w:rPr>
              <w:t xml:space="preserve">10 de setiembre de 2026</w:t>
            </w:r>
            <w:r w:rsidDel="00000000" w:rsidR="00000000" w:rsidRPr="00000000">
              <w:rPr>
                <w:rFonts w:ascii="Times New Roman" w:cs="Times New Roman" w:eastAsia="Times New Roman" w:hAnsi="Times New Roman"/>
                <w:sz w:val="18"/>
                <w:szCs w:val="18"/>
                <w:rtl w:val="0"/>
              </w:rPr>
              <w:t xml:space="preserve"> (Decreto Supremo </w:t>
            </w:r>
            <w:r w:rsidDel="00000000" w:rsidR="00000000" w:rsidRPr="00000000">
              <w:rPr>
                <w:rFonts w:ascii="Times New Roman" w:cs="Times New Roman" w:eastAsia="Times New Roman" w:hAnsi="Times New Roman"/>
                <w:sz w:val="18"/>
                <w:szCs w:val="18"/>
                <w:rtl w:val="0"/>
              </w:rPr>
              <w:t xml:space="preserve">N.º </w:t>
            </w:r>
            <w:r w:rsidDel="00000000" w:rsidR="00000000" w:rsidRPr="00000000">
              <w:rPr>
                <w:rFonts w:ascii="Times New Roman" w:cs="Times New Roman" w:eastAsia="Times New Roman" w:hAnsi="Times New Roman"/>
                <w:sz w:val="18"/>
                <w:szCs w:val="18"/>
                <w:rtl w:val="0"/>
              </w:rPr>
              <w:t xml:space="preserve">115-2025-PCM, 2025); la disponibilidad del acompañamiento en un canal conversacional ya validado por el mercado peruano.</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24">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Crear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25">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Una precalificación conversacional a solicitud del empresario, previa al trámite formal y construida sobre datos transaccionales propios del ecosistema BBVA (cuenta corriente, Openpay, QR Empresas, ventas por POS). Convierte la oferta preaprobada que hoy el banco presenta a algunos clientes en una evaluación preliminar que el cliente Pyme puede pedir, y ningún competidor sin esa base de clientes empresariales puede replicarla con la misma profundidad.</w:t>
            </w:r>
          </w:p>
        </w:tc>
      </w:tr>
    </w:tbl>
    <w:p w:rsidR="00000000" w:rsidDel="00000000" w:rsidP="00000000" w:rsidRDefault="00000000" w:rsidRPr="00000000" w14:paraId="00000426">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w:t>
      </w:r>
      <w:r w:rsidDel="00000000" w:rsidR="00000000" w:rsidRPr="00000000">
        <w:rPr>
          <w:rFonts w:ascii="Times New Roman" w:cs="Times New Roman" w:eastAsia="Times New Roman" w:hAnsi="Times New Roman"/>
          <w:rtl w:val="0"/>
        </w:rPr>
        <w:t xml:space="preserve"> Elaboración propia con base en Kim y Mauborgne (2005) y en las fuentes citadas en la sección 5.2.</w:t>
      </w:r>
    </w:p>
    <w:p w:rsidR="00000000" w:rsidDel="00000000" w:rsidP="00000000" w:rsidRDefault="00000000" w:rsidRPr="00000000" w14:paraId="00000427">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Indicador de éxito esperado.</w:t>
      </w:r>
      <w:r w:rsidDel="00000000" w:rsidR="00000000" w:rsidRPr="00000000">
        <w:rPr>
          <w:rFonts w:ascii="Times New Roman" w:cs="Times New Roman" w:eastAsia="Times New Roman" w:hAnsi="Times New Roman"/>
          <w:rtl w:val="0"/>
        </w:rPr>
        <w:t xml:space="preserve"> Tasa de originación digital Pyme (línea base pública aproximada de 33 %, meta propuesta de 60 % en </w:t>
      </w:r>
      <w:r w:rsidDel="00000000" w:rsidR="00000000" w:rsidRPr="00000000">
        <w:rPr>
          <w:rFonts w:ascii="Times New Roman" w:cs="Times New Roman" w:eastAsia="Times New Roman" w:hAnsi="Times New Roman"/>
          <w:rtl w:val="0"/>
        </w:rPr>
        <w:t xml:space="preserve">18 meses</w:t>
      </w:r>
      <w:r w:rsidDel="00000000" w:rsidR="00000000" w:rsidRPr="00000000">
        <w:rPr>
          <w:rFonts w:ascii="Times New Roman" w:cs="Times New Roman" w:eastAsia="Times New Roman" w:hAnsi="Times New Roman"/>
          <w:rtl w:val="0"/>
        </w:rPr>
        <w:t xml:space="preserve">) y tiempo de ciclo de la ruta asistida, hoy sin línea base pública y que el propio agente permitiría instrumentar por primera vez, conforme a la </w:t>
      </w:r>
      <w:r w:rsidDel="00000000" w:rsidR="00000000" w:rsidRPr="00000000">
        <w:rPr>
          <w:rFonts w:ascii="Times New Roman" w:cs="Times New Roman" w:eastAsia="Times New Roman" w:hAnsi="Times New Roman"/>
          <w:rtl w:val="0"/>
        </w:rPr>
        <w:t xml:space="preserve">Tabla 23</w:t>
      </w:r>
      <w:r w:rsidDel="00000000" w:rsidR="00000000" w:rsidRPr="00000000">
        <w:rPr>
          <w:rFonts w:ascii="Times New Roman" w:cs="Times New Roman" w:eastAsia="Times New Roman" w:hAnsi="Times New Roman"/>
          <w:rtl w:val="0"/>
        </w:rPr>
        <w:t xml:space="preserve">. La meta de 60 % es una meta de estiramiento propuesta por el equipo y pendiente de validación con la entidad. El único ritmo de avance publicado por el banco para un indicador cercano, la participación digital en la facturación total del segmento High Value Pymes, pasó de 18 % a 28 % entre 2024 y 2025 (</w:t>
      </w:r>
      <w:r w:rsidDel="00000000" w:rsidR="00000000" w:rsidRPr="00000000">
        <w:rPr>
          <w:rFonts w:ascii="Times New Roman" w:cs="Times New Roman" w:eastAsia="Times New Roman" w:hAnsi="Times New Roman"/>
          <w:rtl w:val="0"/>
        </w:rPr>
        <w:t xml:space="preserve">Banco BBVA Perú, 2026g, p. 25</w:t>
      </w:r>
      <w:r w:rsidDel="00000000" w:rsidR="00000000" w:rsidRPr="00000000">
        <w:rPr>
          <w:rFonts w:ascii="Times New Roman" w:cs="Times New Roman" w:eastAsia="Times New Roman" w:hAnsi="Times New Roman"/>
          <w:rtl w:val="0"/>
        </w:rPr>
        <w:t xml:space="preserve">), es decir, unos </w:t>
      </w:r>
      <w:r w:rsidDel="00000000" w:rsidR="00000000" w:rsidRPr="00000000">
        <w:rPr>
          <w:rFonts w:ascii="Times New Roman" w:cs="Times New Roman" w:eastAsia="Times New Roman" w:hAnsi="Times New Roman"/>
          <w:rtl w:val="0"/>
        </w:rPr>
        <w:t xml:space="preserve">10 puntos porcentuales</w:t>
      </w:r>
      <w:r w:rsidDel="00000000" w:rsidR="00000000" w:rsidRPr="00000000">
        <w:rPr>
          <w:rFonts w:ascii="Times New Roman" w:cs="Times New Roman" w:eastAsia="Times New Roman" w:hAnsi="Times New Roman"/>
          <w:rtl w:val="0"/>
        </w:rPr>
        <w:t xml:space="preserve"> por año. Alcanzar 60 % en </w:t>
      </w:r>
      <w:r w:rsidDel="00000000" w:rsidR="00000000" w:rsidRPr="00000000">
        <w:rPr>
          <w:rFonts w:ascii="Times New Roman" w:cs="Times New Roman" w:eastAsia="Times New Roman" w:hAnsi="Times New Roman"/>
          <w:rtl w:val="0"/>
        </w:rPr>
        <w:t xml:space="preserve">18 meses</w:t>
      </w:r>
      <w:r w:rsidDel="00000000" w:rsidR="00000000" w:rsidRPr="00000000">
        <w:rPr>
          <w:rFonts w:ascii="Times New Roman" w:cs="Times New Roman" w:eastAsia="Times New Roman" w:hAnsi="Times New Roman"/>
          <w:rtl w:val="0"/>
        </w:rPr>
        <w:t xml:space="preserve"> exige cerca de </w:t>
      </w:r>
      <w:r w:rsidDel="00000000" w:rsidR="00000000" w:rsidRPr="00000000">
        <w:rPr>
          <w:rFonts w:ascii="Times New Roman" w:cs="Times New Roman" w:eastAsia="Times New Roman" w:hAnsi="Times New Roman"/>
          <w:rtl w:val="0"/>
        </w:rPr>
        <w:t xml:space="preserve">18 puntos</w:t>
      </w:r>
      <w:r w:rsidDel="00000000" w:rsidR="00000000" w:rsidRPr="00000000">
        <w:rPr>
          <w:rFonts w:ascii="Times New Roman" w:cs="Times New Roman" w:eastAsia="Times New Roman" w:hAnsi="Times New Roman"/>
          <w:rtl w:val="0"/>
        </w:rPr>
        <w:t xml:space="preserve"> por año, </w:t>
      </w:r>
      <w:r w:rsidDel="00000000" w:rsidR="00000000" w:rsidRPr="00000000">
        <w:rPr>
          <w:rFonts w:ascii="Times New Roman" w:cs="Times New Roman" w:eastAsia="Times New Roman" w:hAnsi="Times New Roman"/>
          <w:rtl w:val="0"/>
        </w:rPr>
        <w:t xml:space="preserve">lo que supone que el agente propuesto casi duplique ese ritmo y triplique el de unos seis puntos por año que estima la Tabla 23 para la propia tasa de originación digital Pyme.</w:t>
      </w:r>
      <w:r w:rsidDel="00000000" w:rsidR="00000000" w:rsidRPr="00000000">
        <w:rPr>
          <w:rFonts w:ascii="Times New Roman" w:cs="Times New Roman" w:eastAsia="Times New Roman" w:hAnsi="Times New Roman"/>
          <w:rtl w:val="0"/>
        </w:rPr>
        <w:t xml:space="preserve"> Como ambos indicadores no son idénticos, la comparación se usa solo como referencia de orden de magnitud.</w:t>
      </w:r>
    </w:p>
    <w:p w:rsidR="00000000" w:rsidDel="00000000" w:rsidP="00000000" w:rsidRDefault="00000000" w:rsidRPr="00000000" w14:paraId="00000428">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heading=h.a8qlnlgr6mhw" w:id="32"/>
      <w:bookmarkEnd w:id="32"/>
      <w:r w:rsidDel="00000000" w:rsidR="00000000" w:rsidRPr="00000000">
        <w:rPr>
          <w:rFonts w:ascii="Times New Roman" w:cs="Times New Roman" w:eastAsia="Times New Roman" w:hAnsi="Times New Roman"/>
          <w:b w:val="1"/>
          <w:bCs w:val="1"/>
          <w:sz w:val="22"/>
          <w:szCs w:val="22"/>
          <w:rtl w:val="0"/>
        </w:rPr>
        <w:t xml:space="preserve">Hipótesis de iniciativa para DC2: agente de investigación asistida de reclamos</w:t>
      </w:r>
    </w:p>
    <w:p w:rsidR="00000000" w:rsidDel="00000000" w:rsidP="00000000" w:rsidRDefault="00000000" w:rsidRPr="00000000" w14:paraId="00000429">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de la hipótesis.</w:t>
      </w:r>
      <w:r w:rsidDel="00000000" w:rsidR="00000000" w:rsidRPr="00000000">
        <w:rPr>
          <w:rFonts w:ascii="Times New Roman" w:cs="Times New Roman" w:eastAsia="Times New Roman" w:hAnsi="Times New Roman"/>
          <w:rtl w:val="0"/>
        </w:rPr>
        <w:t xml:space="preserve"> Extensión del asistente Blue Buddy hacia un agente de investigación de casos para reclamos por operaciones no reconocidas.</w:t>
      </w:r>
    </w:p>
    <w:p w:rsidR="00000000" w:rsidDel="00000000" w:rsidP="00000000" w:rsidRDefault="00000000" w:rsidRPr="00000000" w14:paraId="0000042A">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Formulación.</w:t>
      </w:r>
      <w:r w:rsidDel="00000000" w:rsidR="00000000" w:rsidRPr="00000000">
        <w:rPr>
          <w:rFonts w:ascii="Times New Roman" w:cs="Times New Roman" w:eastAsia="Times New Roman" w:hAnsi="Times New Roman"/>
          <w:rtl w:val="0"/>
        </w:rPr>
        <w:t xml:space="preserve"> Blue Buddy, el asistente de IA generativa de la red de atención de BBVA Perú, alcanzó una adopción de 90 % durante el segundo trimestre de 2026. Ese avance se produjo tras incorporar un flujo integral de reclamos que permite visualizar el ciclo de vida completo de los casos de los últimos seis meses, desde el motivo de la queja y el estado del proceso hasta el veredicto final del banco y su documentación asociada (</w:t>
      </w:r>
      <w:r w:rsidDel="00000000" w:rsidR="00000000" w:rsidRPr="00000000">
        <w:rPr>
          <w:rFonts w:ascii="Times New Roman" w:cs="Times New Roman" w:eastAsia="Times New Roman" w:hAnsi="Times New Roman"/>
          <w:rtl w:val="0"/>
        </w:rPr>
        <w:t xml:space="preserve">Banco BBVA Perú, 2026f, p. 4</w:t>
      </w:r>
      <w:r w:rsidDel="00000000" w:rsidR="00000000" w:rsidRPr="00000000">
        <w:rPr>
          <w:rFonts w:ascii="Times New Roman" w:cs="Times New Roman" w:eastAsia="Times New Roman" w:hAnsi="Times New Roman"/>
          <w:rtl w:val="0"/>
        </w:rPr>
        <w:t xml:space="preserve">). En el ámbito de reclamos, su función es de consulta: muestra el caso al asesor, pero no lo investiga. La hipótesis propone extender esa capacidad a un agente que cruce automáticamente las trazas transaccionales, las señales de comportamiento y el historial de casos similares entre los sistemas de fraude, operaciones y atención. El agente produciría un expediente estructurado con una recomendación preliminar: proceder con el abono provisional o escalar el caso a revisión especializada. Con ello, el analista humano dejaría de ejecutar manualmente la "revisión de las trazas de la operación y consulta de su ciclo de vida mediante las herramientas internas" que hoy describe la capa de soporte no visible del service blueprint (Tabla 16) y pasaría a validar una propuesta ya construida. Esto ataca de forma directa el dolor D7, es decir, el tiempo promedio ponderado de absolución de 11.29 días frente al promedio general de la entidad de 8.02 días. La decisión humana final se mantiene, dado que el reglamento de la SBS exige que la entidad sustente la procedencia del reclamo (SBS, 2022).</w:t>
      </w:r>
    </w:p>
    <w:p w:rsidR="00000000" w:rsidDel="00000000" w:rsidP="00000000" w:rsidRDefault="00000000" w:rsidRPr="00000000" w14:paraId="0000042B">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Sustento de mercado.</w:t>
      </w:r>
      <w:r w:rsidDel="00000000" w:rsidR="00000000" w:rsidRPr="00000000">
        <w:rPr>
          <w:rFonts w:ascii="Times New Roman" w:cs="Times New Roman" w:eastAsia="Times New Roman" w:hAnsi="Times New Roman"/>
          <w:rtl w:val="0"/>
        </w:rPr>
        <w:t xml:space="preserve"> En el segmento de disputas y contracargos, la automatización con IA permite reducir la recopilación de evidencia de veinte o treinta minutos a menos de dos, y llevar la resolución de casos simples de semanas a horas, resolviendo de forma autónoma entre 70 % y 80 % de los casos cuando los hechos son claros </w:t>
      </w:r>
      <w:r w:rsidDel="00000000" w:rsidR="00000000" w:rsidRPr="00000000">
        <w:rPr>
          <w:rFonts w:ascii="Times New Roman" w:cs="Times New Roman" w:eastAsia="Times New Roman" w:hAnsi="Times New Roman"/>
          <w:i w:val="1"/>
          <w:iCs w:val="1"/>
          <w:rtl w:val="0"/>
        </w:rPr>
        <w:t xml:space="preserve">(Backbase, 2026)</w:t>
      </w:r>
      <w:r w:rsidDel="00000000" w:rsidR="00000000" w:rsidRPr="00000000">
        <w:rPr>
          <w:rFonts w:ascii="Times New Roman" w:cs="Times New Roman" w:eastAsia="Times New Roman" w:hAnsi="Times New Roman"/>
          <w:rtl w:val="0"/>
        </w:rPr>
        <w:t xml:space="preserve">. Otra fuente reporta hasta 60 % de reducción en la carga de trabajo del analista y 40 % de reducción en el tiempo total de procesamiento de la disputa </w:t>
      </w:r>
      <w:r w:rsidDel="00000000" w:rsidR="00000000" w:rsidRPr="00000000">
        <w:rPr>
          <w:rFonts w:ascii="Times New Roman" w:cs="Times New Roman" w:eastAsia="Times New Roman" w:hAnsi="Times New Roman"/>
          <w:i w:val="1"/>
          <w:iCs w:val="1"/>
          <w:rtl w:val="0"/>
        </w:rPr>
        <w:t xml:space="preserve">(Kore.ai, 2026)</w:t>
      </w:r>
      <w:r w:rsidDel="00000000" w:rsidR="00000000" w:rsidRPr="00000000">
        <w:rPr>
          <w:rFonts w:ascii="Times New Roman" w:cs="Times New Roman" w:eastAsia="Times New Roman" w:hAnsi="Times New Roman"/>
          <w:rtl w:val="0"/>
        </w:rPr>
        <w:t xml:space="preserve">. Ambas cifras provienen de mercados con volúmenes de disputas muy superiores al de BBVA Perú y no constituyen una proyección propia de la entidad; se emplean como referencia del orden de magnitud alcanzable, no como meta comprometida. En el propio BBVA Perú existe evidencia local del mismo orden de magnitud. En 2025, la resolución de reclamos en el primer contacto del cliente, aplicada en el segmento High Value Individuals, se tradujo en una reducción de 80 % de los reclamos monetarios (</w:t>
      </w:r>
      <w:r w:rsidDel="00000000" w:rsidR="00000000" w:rsidRPr="00000000">
        <w:rPr>
          <w:rFonts w:ascii="Times New Roman" w:cs="Times New Roman" w:eastAsia="Times New Roman" w:hAnsi="Times New Roman"/>
          <w:rtl w:val="0"/>
        </w:rPr>
        <w:t xml:space="preserve">Banco BBVA Perú, 2026g, p. 25</w:t>
      </w:r>
      <w:r w:rsidDel="00000000" w:rsidR="00000000" w:rsidRPr="00000000">
        <w:rPr>
          <w:rFonts w:ascii="Times New Roman" w:cs="Times New Roman" w:eastAsia="Times New Roman" w:hAnsi="Times New Roman"/>
          <w:rtl w:val="0"/>
        </w:rPr>
        <w:t xml:space="preserve">). Blue Buddy, la base sobre la que se construiría el agente, había gestionado a mayo de 2026 más de 30,000 consultas de los equipos de atención con niveles de resolución cercanos a 80 % (López, 2026). A escala de grupo, la estrategia The Eight incluye un frente de operaciones y procesos orientado a la automatización extrema y al rediseño de procesos clave de principio a fin con IA, con el fin de reducir tiempos de respuesta y minimizar errores en el back-office (</w:t>
      </w:r>
      <w:r w:rsidDel="00000000" w:rsidR="00000000" w:rsidRPr="00000000">
        <w:rPr>
          <w:rFonts w:ascii="Times New Roman" w:cs="Times New Roman" w:eastAsia="Times New Roman" w:hAnsi="Times New Roman"/>
          <w:rtl w:val="0"/>
        </w:rPr>
        <w:t xml:space="preserve">BBVA, 2025a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2C">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 qué es océano azul y no una imitación.</w:t>
      </w:r>
      <w:r w:rsidDel="00000000" w:rsidR="00000000" w:rsidRPr="00000000">
        <w:rPr>
          <w:rFonts w:ascii="Times New Roman" w:cs="Times New Roman" w:eastAsia="Times New Roman" w:hAnsi="Times New Roman"/>
          <w:rtl w:val="0"/>
        </w:rPr>
        <w:t xml:space="preserve"> La exposición sancionatoria por este tipo de reclamos es un problema de todo el sector: el 90 % de las sanciones de Indecopi por esta materia recayó en el sistema financiero entre 2021 y marzo de 2025 (Andina, 2025), y BBVA fue identificado entre las cinco entidades con mayor número de infracciones (Alarcón, 2023). En la revisión de fuentes </w:t>
      </w:r>
      <w:r w:rsidDel="00000000" w:rsidR="00000000" w:rsidRPr="00000000">
        <w:rPr>
          <w:rFonts w:ascii="Times New Roman" w:cs="Times New Roman" w:eastAsia="Times New Roman" w:hAnsi="Times New Roman"/>
          <w:rtl w:val="0"/>
        </w:rPr>
        <w:t xml:space="preserve">realizada para este informe</w:t>
      </w:r>
      <w:r w:rsidDel="00000000" w:rsidR="00000000" w:rsidRPr="00000000">
        <w:rPr>
          <w:rFonts w:ascii="Times New Roman" w:cs="Times New Roman" w:eastAsia="Times New Roman" w:hAnsi="Times New Roman"/>
          <w:rtl w:val="0"/>
        </w:rPr>
        <w:t xml:space="preserve"> no se encontró que algún competidor peruano haya hecho pública una mejora sustantiva en el tiempo de resolución de este tipo específico de reclamo. Convertir un centro de costo regulatorio en una ventaja de experiencia, es decir, ser la entidad que resuelve de forma consistente más cerca de su propio promedio general que del plazo regulatorio máximo, es un atributo que, </w:t>
      </w:r>
      <w:r w:rsidDel="00000000" w:rsidR="00000000" w:rsidRPr="00000000">
        <w:rPr>
          <w:rFonts w:ascii="Times New Roman" w:cs="Times New Roman" w:eastAsia="Times New Roman" w:hAnsi="Times New Roman"/>
          <w:rtl w:val="0"/>
        </w:rPr>
        <w:t xml:space="preserve">hasta la fecha de elaboración de este informe</w:t>
      </w:r>
      <w:r w:rsidDel="00000000" w:rsidR="00000000" w:rsidRPr="00000000">
        <w:rPr>
          <w:rFonts w:ascii="Times New Roman" w:cs="Times New Roman" w:eastAsia="Times New Roman" w:hAnsi="Times New Roman"/>
          <w:rtl w:val="0"/>
        </w:rPr>
        <w:t xml:space="preserve">, ninguna entidad del mercado peruano reclama públicamente para sí.</w:t>
      </w:r>
    </w:p>
    <w:p w:rsidR="00000000" w:rsidDel="00000000" w:rsidP="00000000" w:rsidRDefault="00000000" w:rsidRPr="00000000" w14:paraId="0000042D">
      <w:pPr>
        <w:spacing w:after="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Tabla 27</w:t>
      </w:r>
      <w:r w:rsidDel="00000000" w:rsidR="00000000" w:rsidRPr="00000000">
        <w:rPr>
          <w:rtl w:val="0"/>
        </w:rPr>
      </w:r>
    </w:p>
    <w:p w:rsidR="00000000" w:rsidDel="00000000" w:rsidP="00000000" w:rsidRDefault="00000000" w:rsidRPr="00000000" w14:paraId="0000042E">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Matriz ERRC: agente de investigación asistida de reclamos</w:t>
      </w:r>
      <w:r w:rsidDel="00000000" w:rsidR="00000000" w:rsidRPr="00000000">
        <w:rPr>
          <w:rtl w:val="0"/>
        </w:rPr>
      </w:r>
    </w:p>
    <w:tbl>
      <w:tblPr>
        <w:tblStyle w:val="Table27"/>
        <w:tblW w:w="9000.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605"/>
        <w:gridCol w:w="7395"/>
        <w:tblGridChange w:id="0">
          <w:tblGrid>
            <w:gridCol w:w="1605"/>
            <w:gridCol w:w="7395"/>
          </w:tblGrid>
        </w:tblGridChange>
      </w:tblGrid>
      <w:tr>
        <w:trPr>
          <w:cantSplit w:val="0"/>
          <w:tblHeader w:val="1"/>
        </w:trPr>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42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Acción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43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31">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Eliminar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32">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revisión manual y secuencial de trazas transaccionales dispersas entre los sistemas de fraude, operaciones y atención al cliente durante la etapa de investigación (Tabla 16).</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33">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Reducir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34">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brecha de información entre el cliente, que hoy puede consultar el estado de su reclamo en la web del banco (</w:t>
            </w:r>
            <w:r w:rsidDel="00000000" w:rsidR="00000000" w:rsidRPr="00000000">
              <w:rPr>
                <w:rFonts w:ascii="Times New Roman" w:cs="Times New Roman" w:eastAsia="Times New Roman" w:hAnsi="Times New Roman"/>
                <w:sz w:val="18"/>
                <w:szCs w:val="18"/>
                <w:rtl w:val="0"/>
              </w:rPr>
              <w:t xml:space="preserve">Banco BBVA Perú, s. f.-f</w:t>
            </w:r>
            <w:r w:rsidDel="00000000" w:rsidR="00000000" w:rsidRPr="00000000">
              <w:rPr>
                <w:rFonts w:ascii="Times New Roman" w:cs="Times New Roman" w:eastAsia="Times New Roman" w:hAnsi="Times New Roman"/>
                <w:sz w:val="18"/>
                <w:szCs w:val="18"/>
                <w:rtl w:val="0"/>
              </w:rPr>
              <w:t xml:space="preserve">), y el asesor, que en Blue Buddy visualiza el ciclo de vida completo del caso (</w:t>
            </w:r>
            <w:r w:rsidDel="00000000" w:rsidR="00000000" w:rsidRPr="00000000">
              <w:rPr>
                <w:rFonts w:ascii="Times New Roman" w:cs="Times New Roman" w:eastAsia="Times New Roman" w:hAnsi="Times New Roman"/>
                <w:sz w:val="18"/>
                <w:szCs w:val="18"/>
                <w:rtl w:val="0"/>
              </w:rPr>
              <w:t xml:space="preserve">Banco BBVA Perú, 2026f, p. 4</w:t>
            </w:r>
            <w:r w:rsidDel="00000000" w:rsidR="00000000" w:rsidRPr="00000000">
              <w:rPr>
                <w:rFonts w:ascii="Times New Roman" w:cs="Times New Roman" w:eastAsia="Times New Roman" w:hAnsi="Times New Roman"/>
                <w:sz w:val="18"/>
                <w:szCs w:val="18"/>
                <w:rtl w:val="0"/>
              </w:rPr>
              <w:t xml:space="preserve">); la intervención humana de primer nivel en los reclamos de bajo riesgo y hechos claramente verificables.</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35">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Elevar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36">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trazabilidad del caso para el cliente, extendiendo a la interacción con él la lógica del flujo de reclamos de Blue Buddy, validada internamente con una adopción de 90 % (</w:t>
            </w:r>
            <w:r w:rsidDel="00000000" w:rsidR="00000000" w:rsidRPr="00000000">
              <w:rPr>
                <w:rFonts w:ascii="Times New Roman" w:cs="Times New Roman" w:eastAsia="Times New Roman" w:hAnsi="Times New Roman"/>
                <w:sz w:val="18"/>
                <w:szCs w:val="18"/>
                <w:rtl w:val="0"/>
              </w:rPr>
              <w:t xml:space="preserve">Banco BBVA Perú, 2026f, p. 4</w:t>
            </w:r>
            <w:r w:rsidDel="00000000" w:rsidR="00000000" w:rsidRPr="00000000">
              <w:rPr>
                <w:rFonts w:ascii="Times New Roman" w:cs="Times New Roman" w:eastAsia="Times New Roman" w:hAnsi="Times New Roman"/>
                <w:sz w:val="18"/>
                <w:szCs w:val="18"/>
                <w:rtl w:val="0"/>
              </w:rPr>
              <w:t xml:space="preserve">); la proximidad del tiempo de resolución de esta materia (11.29 días) al promedio general de la entidad (8.02 días).</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37">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Crear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38">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 expediente de caso generado automáticamente por el agente, con recomendación explicable y veedor humano obligatorio antes de la resolución final, como resguardo prudencial frente al estándar de supervisión humana que la SBS exige para decisiones basadas en IA (Ramírez Huancayo, 2026), aplicado aquí por prudencia aunque la norma referida rige directamente decisiones de crédito.</w:t>
            </w:r>
          </w:p>
        </w:tc>
      </w:tr>
    </w:tbl>
    <w:p w:rsidR="00000000" w:rsidDel="00000000" w:rsidP="00000000" w:rsidRDefault="00000000" w:rsidRPr="00000000" w14:paraId="00000439">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w:t>
      </w:r>
      <w:r w:rsidDel="00000000" w:rsidR="00000000" w:rsidRPr="00000000">
        <w:rPr>
          <w:rFonts w:ascii="Times New Roman" w:cs="Times New Roman" w:eastAsia="Times New Roman" w:hAnsi="Times New Roman"/>
          <w:rtl w:val="0"/>
        </w:rPr>
        <w:t xml:space="preserve"> Elaboración propia con base en Kim y Mauborgne (2005) y en las fuentes citadas en la sección 5.3.</w:t>
      </w:r>
    </w:p>
    <w:p w:rsidR="00000000" w:rsidDel="00000000" w:rsidP="00000000" w:rsidRDefault="00000000" w:rsidRPr="00000000" w14:paraId="0000043A">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Indicador de éxito esperado.</w:t>
      </w:r>
      <w:r w:rsidDel="00000000" w:rsidR="00000000" w:rsidRPr="00000000">
        <w:rPr>
          <w:rFonts w:ascii="Times New Roman" w:cs="Times New Roman" w:eastAsia="Times New Roman" w:hAnsi="Times New Roman"/>
          <w:rtl w:val="0"/>
        </w:rPr>
        <w:t xml:space="preserve"> Tiempo promedio de absolución (línea base 11.29 días, meta: cerrar la brecha frente al promedio general de la entidad, que fue de 8.02 días en el mismo periodo) e incidencia de reclamos de la materia por cada cien mil operaciones, conforme a la </w:t>
      </w:r>
      <w:r w:rsidDel="00000000" w:rsidR="00000000" w:rsidRPr="00000000">
        <w:rPr>
          <w:rFonts w:ascii="Times New Roman" w:cs="Times New Roman" w:eastAsia="Times New Roman" w:hAnsi="Times New Roman"/>
          <w:rtl w:val="0"/>
        </w:rPr>
        <w:t xml:space="preserve">Tabla 24</w:t>
      </w:r>
      <w:r w:rsidDel="00000000" w:rsidR="00000000" w:rsidRPr="00000000">
        <w:rPr>
          <w:rFonts w:ascii="Times New Roman" w:cs="Times New Roman" w:eastAsia="Times New Roman" w:hAnsi="Times New Roman"/>
          <w:rtl w:val="0"/>
        </w:rPr>
        <w:t xml:space="preserve">. Como ambos promedios varían entre periodos (en julio y agosto de 2026 fueron de 26.37 y 20.36 días, respectivamente), la meta propuesta por el equipo se expresa como la eliminación de la brecha relativa entre ambos, que fue de 1.41 veces en el 2T2026 y de 1.30 veces en julio-agosto de 2026 (</w:t>
      </w:r>
      <w:r w:rsidDel="00000000" w:rsidR="00000000" w:rsidRPr="00000000">
        <w:rPr>
          <w:rFonts w:ascii="Times New Roman" w:cs="Times New Roman" w:eastAsia="Times New Roman" w:hAnsi="Times New Roman"/>
          <w:rtl w:val="0"/>
        </w:rPr>
        <w:t xml:space="preserve">cálculo propio con base en Banco BBVA Perú, 2026a a 2026e</w:t>
      </w:r>
      <w:r w:rsidDel="00000000" w:rsidR="00000000" w:rsidRPr="00000000">
        <w:rPr>
          <w:rFonts w:ascii="Times New Roman" w:cs="Times New Roman" w:eastAsia="Times New Roman" w:hAnsi="Times New Roman"/>
          <w:rtl w:val="0"/>
        </w:rPr>
        <w:t xml:space="preserve">), y no como una cifra absoluta de días. La meta está pendiente de validación con la entidad; su factibilidad se apoya en un precedente interno, pues la resolución en el primer contacto ya redujo en 80 % los reclamos monetarios de un segmento del banco (</w:t>
      </w:r>
      <w:r w:rsidDel="00000000" w:rsidR="00000000" w:rsidRPr="00000000">
        <w:rPr>
          <w:rFonts w:ascii="Times New Roman" w:cs="Times New Roman" w:eastAsia="Times New Roman" w:hAnsi="Times New Roman"/>
          <w:rtl w:val="0"/>
        </w:rPr>
        <w:t xml:space="preserve">Banco BBVA Perú, 2026g, p. 25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3B">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Figura 3 compara el tiempo promedio de absolución de los reclamos por operaciones no reconocidas con el del conjunto de reclamos de la entidad. Entre el segundo trimestre y julio-agosto de 2026 ambos promedios se alargaron, pero la razón entre ellos bajó de 1.41 a 1.30 veces. Esa es la variación que sustenta fijar la meta como razón y no como una cifra absoluta de días.</w:t>
      </w:r>
      <w:r w:rsidDel="00000000" w:rsidR="00000000" w:rsidRPr="00000000">
        <w:rPr>
          <w:rtl w:val="0"/>
        </w:rPr>
      </w:r>
    </w:p>
    <w:p w:rsidR="00000000" w:rsidDel="00000000" w:rsidP="00000000" w:rsidRDefault="00000000" w:rsidRPr="00000000" w14:paraId="0000043C">
      <w:pPr>
        <w:ind w:left="708.6614173228347"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Figura 3</w:t>
      </w:r>
      <w:r w:rsidDel="00000000" w:rsidR="00000000" w:rsidRPr="00000000">
        <w:rPr>
          <w:rtl w:val="0"/>
        </w:rPr>
      </w:r>
    </w:p>
    <w:p w:rsidR="00000000" w:rsidDel="00000000" w:rsidP="00000000" w:rsidRDefault="00000000" w:rsidRPr="00000000" w14:paraId="0000043D">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Tiempo promedio de absolución de reclamos por operaciones no reconocidas frente al promedio general de la entidad</w:t>
      </w:r>
    </w:p>
    <w:p w:rsidR="00000000" w:rsidDel="00000000" w:rsidP="00000000" w:rsidRDefault="00000000" w:rsidRPr="00000000" w14:paraId="0000043E">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348023" cy="2631566"/>
            <wp:effectExtent b="0" l="0" r="0" t="0"/>
            <wp:docPr id="900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348023" cy="2631566"/>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spacing w:after="160" w:before="40" w:lineRule="auto"/>
        <w:ind w:left="708.66141732283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Promedios ponderados por el número de reclamos absueltos, en días. La razón es el cociente entre ambos promedios. Elaboración propia con base en Banco BBVA Perú (</w:t>
      </w:r>
      <w:r w:rsidDel="00000000" w:rsidR="00000000" w:rsidRPr="00000000">
        <w:rPr>
          <w:rFonts w:ascii="Times New Roman" w:cs="Times New Roman" w:eastAsia="Times New Roman" w:hAnsi="Times New Roman"/>
          <w:rtl w:val="0"/>
        </w:rPr>
        <w:t xml:space="preserve">2026a a 2026e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4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heading=h.xcx5p0yf56be" w:id="33"/>
      <w:bookmarkEnd w:id="33"/>
      <w:r w:rsidDel="00000000" w:rsidR="00000000" w:rsidRPr="00000000">
        <w:rPr>
          <w:rFonts w:ascii="Times New Roman" w:cs="Times New Roman" w:eastAsia="Times New Roman" w:hAnsi="Times New Roman"/>
          <w:b w:val="1"/>
          <w:bCs w:val="1"/>
          <w:sz w:val="22"/>
          <w:szCs w:val="22"/>
          <w:rtl w:val="0"/>
        </w:rPr>
        <w:t xml:space="preserve">Hipótesis de iniciativa para DC3: agente de verificación progresiva en la contratación digital</w:t>
      </w:r>
    </w:p>
    <w:p w:rsidR="00000000" w:rsidDel="00000000" w:rsidP="00000000" w:rsidRDefault="00000000" w:rsidRPr="00000000" w14:paraId="00000441">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de la hipótesis.</w:t>
      </w:r>
      <w:r w:rsidDel="00000000" w:rsidR="00000000" w:rsidRPr="00000000">
        <w:rPr>
          <w:rFonts w:ascii="Times New Roman" w:cs="Times New Roman" w:eastAsia="Times New Roman" w:hAnsi="Times New Roman"/>
          <w:rtl w:val="0"/>
        </w:rPr>
        <w:t xml:space="preserve"> Agente conversacional de contratación con verificación de identidad progresiva y asíncrona, integrado al proceso 100 % digital ya lanzado por BBVA Perú a inicios de 2026.</w:t>
      </w:r>
    </w:p>
    <w:p w:rsidR="00000000" w:rsidDel="00000000" w:rsidP="00000000" w:rsidRDefault="00000000" w:rsidRPr="00000000" w14:paraId="00000442">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Formulación.</w:t>
      </w:r>
      <w:r w:rsidDel="00000000" w:rsidR="00000000" w:rsidRPr="00000000">
        <w:rPr>
          <w:rFonts w:ascii="Times New Roman" w:cs="Times New Roman" w:eastAsia="Times New Roman" w:hAnsi="Times New Roman"/>
          <w:rtl w:val="0"/>
        </w:rPr>
        <w:t xml:space="preserve"> El proceso íntegramente digital </w:t>
      </w:r>
      <w:r w:rsidDel="00000000" w:rsidR="00000000" w:rsidRPr="00000000">
        <w:rPr>
          <w:rFonts w:ascii="Times New Roman" w:cs="Times New Roman" w:eastAsia="Times New Roman" w:hAnsi="Times New Roman"/>
          <w:rtl w:val="0"/>
        </w:rPr>
        <w:t xml:space="preserve">descrito en el Anexo A</w:t>
      </w:r>
      <w:r w:rsidDel="00000000" w:rsidR="00000000" w:rsidRPr="00000000">
        <w:rPr>
          <w:rFonts w:ascii="Times New Roman" w:cs="Times New Roman" w:eastAsia="Times New Roman" w:hAnsi="Times New Roman"/>
          <w:rtl w:val="0"/>
        </w:rPr>
        <w:t xml:space="preserve"> permite a una persona que aún no es cliente contratar en menos de cinco minutos (A. Moquillaza, comunicación personal, 11 de setiembre de 2026), pero su alcance está acotado por diseño. La apertura desde la App está disponible solo para nuevos clientes mayores de 18 años, peruanos con DNI y sin productos en el banco, y por ahora solo permite abrir la Cuenta Digital BBVA en soles (</w:t>
      </w:r>
      <w:r w:rsidDel="00000000" w:rsidR="00000000" w:rsidRPr="00000000">
        <w:rPr>
          <w:rFonts w:ascii="Times New Roman" w:cs="Times New Roman" w:eastAsia="Times New Roman" w:hAnsi="Times New Roman"/>
          <w:rtl w:val="0"/>
        </w:rPr>
        <w:t xml:space="preserve">Banco BBVA Perú, s. f.-a</w:t>
      </w:r>
      <w:r w:rsidDel="00000000" w:rsidR="00000000" w:rsidRPr="00000000">
        <w:rPr>
          <w:rFonts w:ascii="Times New Roman" w:cs="Times New Roman" w:eastAsia="Times New Roman" w:hAnsi="Times New Roman"/>
          <w:rtl w:val="0"/>
        </w:rPr>
        <w:t xml:space="preserve">). Fuera de ese perfil, el flujo se interrumpe y deriva a oficina física (A. Moquillaza, comunicación personal, 11 de setiembre de 2026). En el caso de un menor de edad, el propio banco indica que el padre, la madre o el tutor legal debe presentarse físicamente en la agencia con su DNI y el del menor (</w:t>
      </w:r>
      <w:r w:rsidDel="00000000" w:rsidR="00000000" w:rsidRPr="00000000">
        <w:rPr>
          <w:rFonts w:ascii="Times New Roman" w:cs="Times New Roman" w:eastAsia="Times New Roman" w:hAnsi="Times New Roman"/>
          <w:rtl w:val="0"/>
        </w:rPr>
        <w:t xml:space="preserve">Banco BBVA Perú, s. f.-k</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43">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regulación no exige esa presencialidad en todos los casos. Para las cuentas básicas, la Resolución SBS </w:t>
      </w:r>
      <w:r w:rsidDel="00000000" w:rsidR="00000000" w:rsidRPr="00000000">
        <w:rPr>
          <w:rFonts w:ascii="Times New Roman" w:cs="Times New Roman" w:eastAsia="Times New Roman" w:hAnsi="Times New Roman"/>
          <w:rtl w:val="0"/>
        </w:rPr>
        <w:t xml:space="preserve">N.º </w:t>
      </w:r>
      <w:r w:rsidDel="00000000" w:rsidR="00000000" w:rsidRPr="00000000">
        <w:rPr>
          <w:rFonts w:ascii="Times New Roman" w:cs="Times New Roman" w:eastAsia="Times New Roman" w:hAnsi="Times New Roman"/>
          <w:rtl w:val="0"/>
        </w:rPr>
        <w:t xml:space="preserve">00908-2025 admite que las personas extranjeras se identifiquen con carné de extranjería, carné de identidad, pasaporte u otro documento legalmente reconocido. También permite que la entidad verifique la información a través de RENIEC, Migraciones, el Ministerio de Relaciones Exteriores o cualquier otra modalidad que deje constancia, incluso con posterioridad a la apertura. La presentación física del </w:t>
      </w:r>
      <w:r w:rsidDel="00000000" w:rsidR="00000000" w:rsidRPr="00000000">
        <w:rPr>
          <w:rFonts w:ascii="Times New Roman" w:cs="Times New Roman" w:eastAsia="Times New Roman" w:hAnsi="Times New Roman"/>
          <w:rtl w:val="0"/>
        </w:rPr>
        <w:t xml:space="preserve">documento solo es exigible</w:t>
      </w:r>
      <w:r w:rsidDel="00000000" w:rsidR="00000000" w:rsidRPr="00000000">
        <w:rPr>
          <w:rFonts w:ascii="Times New Roman" w:cs="Times New Roman" w:eastAsia="Times New Roman" w:hAnsi="Times New Roman"/>
          <w:rtl w:val="0"/>
        </w:rPr>
        <w:t xml:space="preserve"> cuando la contratación es presencial </w:t>
      </w:r>
      <w:r w:rsidDel="00000000" w:rsidR="00000000" w:rsidRPr="00000000">
        <w:rPr>
          <w:rFonts w:ascii="Times New Roman" w:cs="Times New Roman" w:eastAsia="Times New Roman" w:hAnsi="Times New Roman"/>
          <w:rtl w:val="0"/>
        </w:rPr>
        <w:t xml:space="preserve">(SBS, 2025b)</w:t>
      </w:r>
      <w:r w:rsidDel="00000000" w:rsidR="00000000" w:rsidRPr="00000000">
        <w:rPr>
          <w:rFonts w:ascii="Times New Roman" w:cs="Times New Roman" w:eastAsia="Times New Roman" w:hAnsi="Times New Roman"/>
          <w:rtl w:val="0"/>
        </w:rPr>
        <w:t xml:space="preserve">. Esa cuenta opera con límites de 0.6 UIT por transacción, 1.9 UIT de saldo y 2.8 UIT de transacciones mensuales </w:t>
      </w:r>
      <w:r w:rsidDel="00000000" w:rsidR="00000000" w:rsidRPr="00000000">
        <w:rPr>
          <w:rFonts w:ascii="Times New Roman" w:cs="Times New Roman" w:eastAsia="Times New Roman" w:hAnsi="Times New Roman"/>
          <w:rtl w:val="0"/>
        </w:rPr>
        <w:t xml:space="preserve">(SBS, 2026)</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44">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hipótesis plantea que el agente conversacional, en lugar de interrumpir el flujo, gestione la verificación adicional de forma progresiva y asíncrona dentro del mismo canal. Por ejemplo, podría abrir una cuenta básica con los límites regulatorios mientras la verificación ante Migraciones se completa en segundo plano. En el caso de un menor, podría solicitar la autorización del tutor sin cerrar la conversación, lo que requiere validar previamente el alcance legal con las áreas legal y de cumplimiento del banco. El diseño debe considerar las necesidades diferenciadas de niñas, niños y adolescentes (Decreto Supremo </w:t>
      </w:r>
      <w:r w:rsidDel="00000000" w:rsidR="00000000" w:rsidRPr="00000000">
        <w:rPr>
          <w:rFonts w:ascii="Times New Roman" w:cs="Times New Roman" w:eastAsia="Times New Roman" w:hAnsi="Times New Roman"/>
          <w:rtl w:val="0"/>
        </w:rPr>
        <w:t xml:space="preserve">N.º </w:t>
      </w:r>
      <w:r w:rsidDel="00000000" w:rsidR="00000000" w:rsidRPr="00000000">
        <w:rPr>
          <w:rFonts w:ascii="Times New Roman" w:cs="Times New Roman" w:eastAsia="Times New Roman" w:hAnsi="Times New Roman"/>
          <w:rtl w:val="0"/>
        </w:rPr>
        <w:t xml:space="preserve">115-2025-PCM, 2025, art. 12). La verificación biométrica que emplee el agente no está entre los usos prohibidos, al tener como único fin autenticar la identidad digital (art. 23.1, literal e). </w:t>
      </w:r>
    </w:p>
    <w:p w:rsidR="00000000" w:rsidDel="00000000" w:rsidP="00000000" w:rsidRDefault="00000000" w:rsidRPr="00000000" w14:paraId="00000445">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confirmarse la hipótesis, una parte del 67 % de aperturas de cuenta que hoy requiere algún tipo de asistencia podría completarse íntegramente en el canal digital. Esto ataca dos dolores integrados en DC3: el dolor D9, la penetración digital de 33 % en cuentas al 2T2026 frente a 35 % al cierre de 2025 (</w:t>
      </w:r>
      <w:r w:rsidDel="00000000" w:rsidR="00000000" w:rsidRPr="00000000">
        <w:rPr>
          <w:rFonts w:ascii="Times New Roman" w:cs="Times New Roman" w:eastAsia="Times New Roman" w:hAnsi="Times New Roman"/>
          <w:rtl w:val="0"/>
        </w:rPr>
        <w:t xml:space="preserve">Banco BBVA Perú, 2025, p. 3; 2026f, p. 3</w:t>
      </w:r>
      <w:r w:rsidDel="00000000" w:rsidR="00000000" w:rsidRPr="00000000">
        <w:rPr>
          <w:rFonts w:ascii="Times New Roman" w:cs="Times New Roman" w:eastAsia="Times New Roman" w:hAnsi="Times New Roman"/>
          <w:rtl w:val="0"/>
        </w:rPr>
        <w:t xml:space="preserve">), y el dolor D11, la interrupción del flujo ante perfiles no contemplados. </w:t>
      </w:r>
    </w:p>
    <w:p w:rsidR="00000000" w:rsidDel="00000000" w:rsidP="00000000" w:rsidRDefault="00000000" w:rsidRPr="00000000" w14:paraId="00000446">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Sustento de mercado.</w:t>
      </w:r>
      <w:r w:rsidDel="00000000" w:rsidR="00000000" w:rsidRPr="00000000">
        <w:rPr>
          <w:rFonts w:ascii="Times New Roman" w:cs="Times New Roman" w:eastAsia="Times New Roman" w:hAnsi="Times New Roman"/>
          <w:rtl w:val="0"/>
        </w:rPr>
        <w:t xml:space="preserve"> La automatización conversacional del onboarding bancario reduce el abandono de solicitudes hasta en 18 % y disminuye la carga manual de verificación de identidad </w:t>
      </w:r>
      <w:r w:rsidDel="00000000" w:rsidR="00000000" w:rsidRPr="00000000">
        <w:rPr>
          <w:rFonts w:ascii="Times New Roman" w:cs="Times New Roman" w:eastAsia="Times New Roman" w:hAnsi="Times New Roman"/>
          <w:i w:val="1"/>
          <w:iCs w:val="1"/>
          <w:rtl w:val="0"/>
        </w:rPr>
        <w:t xml:space="preserve">(Kore.ai, 2026)</w:t>
      </w:r>
      <w:r w:rsidDel="00000000" w:rsidR="00000000" w:rsidRPr="00000000">
        <w:rPr>
          <w:rFonts w:ascii="Times New Roman" w:cs="Times New Roman" w:eastAsia="Times New Roman" w:hAnsi="Times New Roman"/>
          <w:rtl w:val="0"/>
        </w:rPr>
        <w:t xml:space="preserve">. En el Grupo BBVA, la captación digital ya es el canal mayoritario: en 2025 el grupo incorporó 11.5 millones de nuevos clientes, de los cuales 66 % se unió a través de canales digitales (</w:t>
      </w:r>
      <w:r w:rsidDel="00000000" w:rsidR="00000000" w:rsidRPr="00000000">
        <w:rPr>
          <w:rFonts w:ascii="Times New Roman" w:cs="Times New Roman" w:eastAsia="Times New Roman" w:hAnsi="Times New Roman"/>
          <w:rtl w:val="0"/>
        </w:rPr>
        <w:t xml:space="preserve">BBVA, 2026b</w:t>
      </w:r>
      <w:r w:rsidDel="00000000" w:rsidR="00000000" w:rsidRPr="00000000">
        <w:rPr>
          <w:rFonts w:ascii="Times New Roman" w:cs="Times New Roman" w:eastAsia="Times New Roman" w:hAnsi="Times New Roman"/>
          <w:rtl w:val="0"/>
        </w:rPr>
        <w:t xml:space="preserve">). En BBVA Perú, el flujo 100 % digital de la cuenta digital permite a los nuevos clientes abrir una cuenta en cuatro minutos (</w:t>
      </w:r>
      <w:r w:rsidDel="00000000" w:rsidR="00000000" w:rsidRPr="00000000">
        <w:rPr>
          <w:rFonts w:ascii="Times New Roman" w:cs="Times New Roman" w:eastAsia="Times New Roman" w:hAnsi="Times New Roman"/>
          <w:rtl w:val="0"/>
        </w:rPr>
        <w:t xml:space="preserve">Banco BBVA Perú, 2026g, p. 25</w:t>
      </w:r>
      <w:r w:rsidDel="00000000" w:rsidR="00000000" w:rsidRPr="00000000">
        <w:rPr>
          <w:rFonts w:ascii="Times New Roman" w:cs="Times New Roman" w:eastAsia="Times New Roman" w:hAnsi="Times New Roman"/>
          <w:rtl w:val="0"/>
        </w:rPr>
        <w:t xml:space="preserve">), y la estrategia The Eight prevé que Blue evolucione hacia un asistente que ejecute operaciones las 24 horas en modo conversacional (</w:t>
      </w:r>
      <w:r w:rsidDel="00000000" w:rsidR="00000000" w:rsidRPr="00000000">
        <w:rPr>
          <w:rFonts w:ascii="Times New Roman" w:cs="Times New Roman" w:eastAsia="Times New Roman" w:hAnsi="Times New Roman"/>
          <w:rtl w:val="0"/>
        </w:rPr>
        <w:t xml:space="preserve">BBVA, 2025a</w:t>
      </w:r>
      <w:r w:rsidDel="00000000" w:rsidR="00000000" w:rsidRPr="00000000">
        <w:rPr>
          <w:rFonts w:ascii="Times New Roman" w:cs="Times New Roman" w:eastAsia="Times New Roman" w:hAnsi="Times New Roman"/>
          <w:rtl w:val="0"/>
        </w:rPr>
        <w:t xml:space="preserve">). En Perú, Mibanco ya opera un agente de IA agéntica sobre WhatsApp capaz de abrir cuentas de ahorro de forma autónoma, con el 80 % de sus usuarios siendo clientes nuevos sin cuenta previa y un tiempo promedio de dos minutos por transacción </w:t>
      </w:r>
      <w:r w:rsidDel="00000000" w:rsidR="00000000" w:rsidRPr="00000000">
        <w:rPr>
          <w:rFonts w:ascii="Times New Roman" w:cs="Times New Roman" w:eastAsia="Times New Roman" w:hAnsi="Times New Roman"/>
          <w:i w:val="1"/>
          <w:iCs w:val="1"/>
          <w:rtl w:val="0"/>
        </w:rPr>
        <w:t xml:space="preserve">(PressPerú, 2026)</w:t>
      </w:r>
      <w:r w:rsidDel="00000000" w:rsidR="00000000" w:rsidRPr="00000000">
        <w:rPr>
          <w:rFonts w:ascii="Times New Roman" w:cs="Times New Roman" w:eastAsia="Times New Roman" w:hAnsi="Times New Roman"/>
          <w:rtl w:val="0"/>
        </w:rPr>
        <w:t xml:space="preserve">; el BCP, por su parte, reporta que su voicebot redujo la tasa de abandono de llamadas de aproximadamente 50 % a menos de 10 % y el tiempo de respuesta de dos minutos a menos de quince segundos, aunque circunscrito a consultas informativas, con una segunda fase transaccional aún pendiente </w:t>
      </w:r>
      <w:r w:rsidDel="00000000" w:rsidR="00000000" w:rsidRPr="00000000">
        <w:rPr>
          <w:rFonts w:ascii="Times New Roman" w:cs="Times New Roman" w:eastAsia="Times New Roman" w:hAnsi="Times New Roman"/>
          <w:i w:val="1"/>
          <w:iCs w:val="1"/>
          <w:rtl w:val="0"/>
        </w:rPr>
        <w:t xml:space="preserve">(Mestanza Arquiñigo, 2024)</w:t>
      </w:r>
      <w:r w:rsidDel="00000000" w:rsidR="00000000" w:rsidRPr="00000000">
        <w:rPr>
          <w:rFonts w:ascii="Times New Roman" w:cs="Times New Roman" w:eastAsia="Times New Roman" w:hAnsi="Times New Roman"/>
          <w:rtl w:val="0"/>
        </w:rPr>
        <w:t xml:space="preserve">. A escala global, la tendencia no se limita a agentes bancarios transaccionales: en setiembre de 2026, Revolut lanzó en España y el resto de Europa un asistente conversacional de IA (Air) capaz de gestionar gastos, suscripciones, inversiones y beneficios de fidelización dentro de una misma conversación </w:t>
      </w:r>
      <w:r w:rsidDel="00000000" w:rsidR="00000000" w:rsidRPr="00000000">
        <w:rPr>
          <w:rFonts w:ascii="Times New Roman" w:cs="Times New Roman" w:eastAsia="Times New Roman" w:hAnsi="Times New Roman"/>
          <w:i w:val="1"/>
          <w:iCs w:val="1"/>
          <w:rtl w:val="0"/>
        </w:rPr>
        <w:t xml:space="preserve">(Europa Press, 2026)</w:t>
      </w:r>
      <w:r w:rsidDel="00000000" w:rsidR="00000000" w:rsidRPr="00000000">
        <w:rPr>
          <w:rFonts w:ascii="Times New Roman" w:cs="Times New Roman" w:eastAsia="Times New Roman" w:hAnsi="Times New Roman"/>
          <w:rtl w:val="0"/>
        </w:rPr>
        <w:t xml:space="preserve">, lo que confirma que el mercado se desplaza hacia agentes de alcance amplio dentro de la experiencia financiera del usuario y no solo hacia bots de consulta puntual.</w:t>
      </w:r>
    </w:p>
    <w:p w:rsidR="00000000" w:rsidDel="00000000" w:rsidP="00000000" w:rsidRDefault="00000000" w:rsidRPr="00000000" w14:paraId="00000447">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 qué es océano azul y no una imitación.</w:t>
      </w:r>
      <w:r w:rsidDel="00000000" w:rsidR="00000000" w:rsidRPr="00000000">
        <w:rPr>
          <w:rFonts w:ascii="Times New Roman" w:cs="Times New Roman" w:eastAsia="Times New Roman" w:hAnsi="Times New Roman"/>
          <w:rtl w:val="0"/>
        </w:rPr>
        <w:t xml:space="preserve"> Que Mibanco y el BCP ya operen agentes conversacionales confirma que el canal conversacional en sí mismo es hoy un atributo de océano rojo: todo banco relevante del sistema se moverá hacia él. Lo que no aparece en la oferta pública de los competidores revisados es la contratación digital para los perfiles que hoy quedan fuera. Interbank indica que los titulares de carné de extranjería o de Permiso Temporal de Permanencia deben acudir a sus tiendas para obtener la tarjeta digital (Interbank, s. f.). Yape exige a quien se registra con carné de extranjería o pasaporte contar con una tarjeta de débito BCP (Yape, s. f.). Scotiabank solo permite abrir su Cuenta Kids en agencia y con el acompañamiento del tutor (Scotiabank Perú, s. f.). Resolver esos perfiles sin derivación presencial es el atributo puntual que esta hipótesis propone crear. Es también lo que convierte una función ya comoditizada, conversar con un agente, en una ventaja específica y medible sobre la parte del 67 % de aperturas de cuenta que hoy requiere asistencia. La revisión no abarcó a todas las entidades del sistema, por lo que esta afirmación se limita a los competidores citados. </w:t>
      </w:r>
    </w:p>
    <w:p w:rsidR="00000000" w:rsidDel="00000000" w:rsidP="00000000" w:rsidRDefault="00000000" w:rsidRPr="00000000" w14:paraId="00000448">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Vínculo con el catálogo de servicios de TI.</w:t>
      </w:r>
      <w:r w:rsidDel="00000000" w:rsidR="00000000" w:rsidRPr="00000000">
        <w:rPr>
          <w:rFonts w:ascii="Times New Roman" w:cs="Times New Roman" w:eastAsia="Times New Roman" w:hAnsi="Times New Roman"/>
          <w:rtl w:val="0"/>
        </w:rPr>
        <w:t xml:space="preserve"> Bajo el marco de capacidades de negocio y servicios de TI trabajado en el curso, el proceso "Contratación de productos por canal digital", </w:t>
      </w:r>
      <w:r w:rsidDel="00000000" w:rsidR="00000000" w:rsidRPr="00000000">
        <w:rPr>
          <w:rFonts w:ascii="Times New Roman" w:cs="Times New Roman" w:eastAsia="Times New Roman" w:hAnsi="Times New Roman"/>
          <w:rtl w:val="0"/>
        </w:rPr>
        <w:t xml:space="preserve">que el equipo prioriza a partir de este avance</w:t>
      </w:r>
      <w:r w:rsidDel="00000000" w:rsidR="00000000" w:rsidRPr="00000000">
        <w:rPr>
          <w:rFonts w:ascii="Times New Roman" w:cs="Times New Roman" w:eastAsia="Times New Roman" w:hAnsi="Times New Roman"/>
          <w:rtl w:val="0"/>
        </w:rPr>
        <w:t xml:space="preserve">, puede modelarse como la capacidad de negocio en la que se manifiesta el dolor DC3. Por ello, el agente conversacional propuesto debe registrarse como un servicio de TI explícito y no como una funcionalidad aislada. Eso implica un dueño de servicio definido, un nivel de disponibilidad comprometido y un lugar propio dentro del catálogo de servicios de BBVA Perú, en línea con la práctica de gestión del catálogo de servicios de ITIL 4. </w:t>
      </w:r>
    </w:p>
    <w:p w:rsidR="00000000" w:rsidDel="00000000" w:rsidP="00000000" w:rsidRDefault="00000000" w:rsidRPr="00000000" w14:paraId="00000449">
      <w:pPr>
        <w:spacing w:after="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Tabla 28</w:t>
      </w:r>
      <w:r w:rsidDel="00000000" w:rsidR="00000000" w:rsidRPr="00000000">
        <w:rPr>
          <w:rtl w:val="0"/>
        </w:rPr>
      </w:r>
    </w:p>
    <w:p w:rsidR="00000000" w:rsidDel="00000000" w:rsidP="00000000" w:rsidRDefault="00000000" w:rsidRPr="00000000" w14:paraId="0000044A">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Matriz ERRC: agente de verificación progresiva en la contratación digital</w:t>
      </w:r>
      <w:r w:rsidDel="00000000" w:rsidR="00000000" w:rsidRPr="00000000">
        <w:rPr>
          <w:rtl w:val="0"/>
        </w:rPr>
      </w:r>
    </w:p>
    <w:tbl>
      <w:tblPr>
        <w:tblStyle w:val="Table28"/>
        <w:tblW w:w="9000.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605"/>
        <w:gridCol w:w="7395"/>
        <w:tblGridChange w:id="0">
          <w:tblGrid>
            <w:gridCol w:w="1605"/>
            <w:gridCol w:w="7395"/>
          </w:tblGrid>
        </w:tblGridChange>
      </w:tblGrid>
      <w:tr>
        <w:trPr>
          <w:cantSplit w:val="0"/>
          <w:tblHeader w:val="1"/>
        </w:trPr>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44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Acción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44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4D">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Eliminar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4E">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interrupción total del flujo digital y la derivación obligatoria a oficina física ante perfiles de solicitante no contemplados por la regla de elegibilidad del flujo (menores de edad y solicitantes sin DNI peruano).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4F">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Reducir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50">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proporción de aperturas de cuenta que hoy requieren algún tipo de asistencia (67 %, complemento de la penetración digital de 33 %); los pasos de verificación redundantes para solicitantes con historial previo en el ecosistema BBVA.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51">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Elevar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52">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cobertura del proceso 100 % digital ya lanzado en 2026, extendiéndolo a los perfiles hoy excluidos dentro del marco normativo aplicable a cada caso, empezando por la cuenta básica que la Resolución SBS </w:t>
            </w:r>
            <w:r w:rsidDel="00000000" w:rsidR="00000000" w:rsidRPr="00000000">
              <w:rPr>
                <w:rFonts w:ascii="Times New Roman" w:cs="Times New Roman" w:eastAsia="Times New Roman" w:hAnsi="Times New Roman"/>
                <w:sz w:val="18"/>
                <w:szCs w:val="18"/>
                <w:rtl w:val="0"/>
              </w:rPr>
              <w:t xml:space="preserve">N.º </w:t>
            </w:r>
            <w:r w:rsidDel="00000000" w:rsidR="00000000" w:rsidRPr="00000000">
              <w:rPr>
                <w:rFonts w:ascii="Times New Roman" w:cs="Times New Roman" w:eastAsia="Times New Roman" w:hAnsi="Times New Roman"/>
                <w:sz w:val="18"/>
                <w:szCs w:val="18"/>
                <w:rtl w:val="0"/>
              </w:rPr>
              <w:t xml:space="preserve">00908-2025 habilita para extranjeros con verificación posterior a la apertura; la trazabilidad del estado de verificación para el solicitante durante el proceso asíncrono.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53">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Crear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54">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Una verificación de identidad progresiva y asíncrona dentro del propio canal conversacional, que no cierra ni deriva la conversación mientras se completa un requisito adicional. Ninguno de los competidores revisados ofrece públicamente este atributo para este tipo de perfiles </w:t>
            </w:r>
            <w:r w:rsidDel="00000000" w:rsidR="00000000" w:rsidRPr="00000000">
              <w:rPr>
                <w:rFonts w:ascii="Times New Roman" w:cs="Times New Roman" w:eastAsia="Times New Roman" w:hAnsi="Times New Roman"/>
                <w:sz w:val="18"/>
                <w:szCs w:val="18"/>
                <w:rtl w:val="0"/>
              </w:rPr>
              <w:t xml:space="preserve">a la fecha de elaboración de este informe</w:t>
            </w:r>
            <w:r w:rsidDel="00000000" w:rsidR="00000000" w:rsidRPr="00000000">
              <w:rPr>
                <w:rFonts w:ascii="Times New Roman" w:cs="Times New Roman" w:eastAsia="Times New Roman" w:hAnsi="Times New Roman"/>
                <w:sz w:val="18"/>
                <w:szCs w:val="18"/>
                <w:rtl w:val="0"/>
              </w:rPr>
              <w:t xml:space="preserve">. </w:t>
            </w:r>
          </w:p>
        </w:tc>
      </w:tr>
    </w:tbl>
    <w:p w:rsidR="00000000" w:rsidDel="00000000" w:rsidP="00000000" w:rsidRDefault="00000000" w:rsidRPr="00000000" w14:paraId="00000455">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w:t>
      </w:r>
      <w:r w:rsidDel="00000000" w:rsidR="00000000" w:rsidRPr="00000000">
        <w:rPr>
          <w:rFonts w:ascii="Times New Roman" w:cs="Times New Roman" w:eastAsia="Times New Roman" w:hAnsi="Times New Roman"/>
          <w:rtl w:val="0"/>
        </w:rPr>
        <w:t xml:space="preserve"> Elaboración propia con base en Kim y Mauborgne (2005) y en las fuentes citadas en la sección 5.4.</w:t>
      </w:r>
    </w:p>
    <w:p w:rsidR="00000000" w:rsidDel="00000000" w:rsidP="00000000" w:rsidRDefault="00000000" w:rsidRPr="00000000" w14:paraId="00000456">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Indicador de éxito esperado.</w:t>
      </w:r>
      <w:r w:rsidDel="00000000" w:rsidR="00000000" w:rsidRPr="00000000">
        <w:rPr>
          <w:rFonts w:ascii="Times New Roman" w:cs="Times New Roman" w:eastAsia="Times New Roman" w:hAnsi="Times New Roman"/>
          <w:rtl w:val="0"/>
        </w:rPr>
        <w:t xml:space="preserve"> Penetración digital en cuentas </w:t>
      </w:r>
      <w:r w:rsidDel="00000000" w:rsidR="00000000" w:rsidRPr="00000000">
        <w:rPr>
          <w:rFonts w:ascii="Times New Roman" w:cs="Times New Roman" w:eastAsia="Times New Roman" w:hAnsi="Times New Roman"/>
          <w:rtl w:val="0"/>
        </w:rPr>
        <w:t xml:space="preserve">(línea base 33 %, meta 55 % en </w:t>
      </w:r>
      <w:r w:rsidDel="00000000" w:rsidR="00000000" w:rsidRPr="00000000">
        <w:rPr>
          <w:rFonts w:ascii="Times New Roman" w:cs="Times New Roman" w:eastAsia="Times New Roman" w:hAnsi="Times New Roman"/>
          <w:rtl w:val="0"/>
        </w:rPr>
        <w:t xml:space="preserve">18 meses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y tasa de derivación a canal asistido, hoy sin línea base pública y que el propio agente permitiría instrumentar por primera vez, conforme a la </w:t>
      </w:r>
      <w:r w:rsidDel="00000000" w:rsidR="00000000" w:rsidRPr="00000000">
        <w:rPr>
          <w:rFonts w:ascii="Times New Roman" w:cs="Times New Roman" w:eastAsia="Times New Roman" w:hAnsi="Times New Roman"/>
          <w:rtl w:val="0"/>
        </w:rPr>
        <w:t xml:space="preserve">Tabla 25</w:t>
      </w:r>
      <w:r w:rsidDel="00000000" w:rsidR="00000000" w:rsidRPr="00000000">
        <w:rPr>
          <w:rFonts w:ascii="Times New Roman" w:cs="Times New Roman" w:eastAsia="Times New Roman" w:hAnsi="Times New Roman"/>
          <w:rtl w:val="0"/>
        </w:rPr>
        <w:t xml:space="preserve">. La meta de 55 % es una propuesta del equipo pendiente de validación con la entidad. Su exigencia, cercana a 15 puntos por año, equivale al ritmo que registró la penetración digital en tarjetas de crédito entre el cierre de 2025 y el 2T2026, cuando pasó de 43 % a 50 % en un semestre (Banco BBVA Perú, 2025, 2026f, p. 3). Como referencia adicional, el Grupo BBVA incorporó en 2025 el 66 % de sus nuevos clientes por canales digitales (</w:t>
      </w:r>
      <w:r w:rsidDel="00000000" w:rsidR="00000000" w:rsidRPr="00000000">
        <w:rPr>
          <w:rFonts w:ascii="Times New Roman" w:cs="Times New Roman" w:eastAsia="Times New Roman" w:hAnsi="Times New Roman"/>
          <w:rtl w:val="0"/>
        </w:rPr>
        <w:t xml:space="preserve">BBVA, 2026b</w:t>
      </w:r>
      <w:r w:rsidDel="00000000" w:rsidR="00000000" w:rsidRPr="00000000">
        <w:rPr>
          <w:rFonts w:ascii="Times New Roman" w:cs="Times New Roman" w:eastAsia="Times New Roman" w:hAnsi="Times New Roman"/>
          <w:rtl w:val="0"/>
        </w:rPr>
        <w:t xml:space="preserve">); esa cifra mide captación de clientes y no ventas de cuentas, por lo que no es directamente comparable con la penetración digital en cuentas de BBVA Perú, pero muestra que niveles superiores a 55 % ya se alcanzan dentro del grupo.</w:t>
      </w:r>
    </w:p>
    <w:p w:rsidR="00000000" w:rsidDel="00000000" w:rsidP="00000000" w:rsidRDefault="00000000" w:rsidRPr="00000000" w14:paraId="00000457">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heading=h.aeu7bwq6ll04" w:id="34"/>
      <w:bookmarkEnd w:id="34"/>
      <w:r w:rsidDel="00000000" w:rsidR="00000000" w:rsidRPr="00000000">
        <w:rPr>
          <w:rFonts w:ascii="Times New Roman" w:cs="Times New Roman" w:eastAsia="Times New Roman" w:hAnsi="Times New Roman"/>
          <w:b w:val="1"/>
          <w:bCs w:val="1"/>
          <w:sz w:val="22"/>
          <w:szCs w:val="22"/>
          <w:rtl w:val="0"/>
        </w:rPr>
        <w:t xml:space="preserve">Síntesis de las hipótesis de iniciativa</w:t>
      </w:r>
    </w:p>
    <w:p w:rsidR="00000000" w:rsidDel="00000000" w:rsidP="00000000" w:rsidRDefault="00000000" w:rsidRPr="00000000" w14:paraId="00000458">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w:t>
      </w:r>
      <w:r w:rsidDel="00000000" w:rsidR="00000000" w:rsidRPr="00000000">
        <w:rPr>
          <w:rFonts w:ascii="Times New Roman" w:cs="Times New Roman" w:eastAsia="Times New Roman" w:hAnsi="Times New Roman"/>
          <w:rtl w:val="0"/>
        </w:rPr>
        <w:t xml:space="preserve">Tabla 29</w:t>
      </w:r>
      <w:r w:rsidDel="00000000" w:rsidR="00000000" w:rsidRPr="00000000">
        <w:rPr>
          <w:rFonts w:ascii="Times New Roman" w:cs="Times New Roman" w:eastAsia="Times New Roman" w:hAnsi="Times New Roman"/>
          <w:rtl w:val="0"/>
        </w:rPr>
        <w:t xml:space="preserve"> sintetiza las tres hipótesis, su vínculo con los objetivos estratégicos ya establecidos en la </w:t>
      </w:r>
      <w:r w:rsidDel="00000000" w:rsidR="00000000" w:rsidRPr="00000000">
        <w:rPr>
          <w:rFonts w:ascii="Times New Roman" w:cs="Times New Roman" w:eastAsia="Times New Roman" w:hAnsi="Times New Roman"/>
          <w:rtl w:val="0"/>
        </w:rPr>
        <w:t xml:space="preserve">Tabla 22 (sección 4.2)</w:t>
      </w:r>
      <w:r w:rsidDel="00000000" w:rsidR="00000000" w:rsidRPr="00000000">
        <w:rPr>
          <w:rFonts w:ascii="Times New Roman" w:cs="Times New Roman" w:eastAsia="Times New Roman" w:hAnsi="Times New Roman"/>
          <w:rtl w:val="0"/>
        </w:rPr>
        <w:t xml:space="preserve"> y la tecnología habilitante propuesta en cada caso.</w:t>
      </w:r>
    </w:p>
    <w:p w:rsidR="00000000" w:rsidDel="00000000" w:rsidP="00000000" w:rsidRDefault="00000000" w:rsidRPr="00000000" w14:paraId="00000459">
      <w:pPr>
        <w:spacing w:after="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Tabla 29</w:t>
      </w:r>
      <w:r w:rsidDel="00000000" w:rsidR="00000000" w:rsidRPr="00000000">
        <w:rPr>
          <w:rtl w:val="0"/>
        </w:rPr>
      </w:r>
    </w:p>
    <w:p w:rsidR="00000000" w:rsidDel="00000000" w:rsidP="00000000" w:rsidRDefault="00000000" w:rsidRPr="00000000" w14:paraId="0000045A">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Síntesis de hipótesis de iniciativa y su alineamiento estratégico</w:t>
      </w:r>
      <w:r w:rsidDel="00000000" w:rsidR="00000000" w:rsidRPr="00000000">
        <w:rPr>
          <w:rtl w:val="0"/>
        </w:rPr>
      </w:r>
    </w:p>
    <w:tbl>
      <w:tblPr>
        <w:tblStyle w:val="Table29"/>
        <w:tblW w:w="9015.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005"/>
        <w:gridCol w:w="2835"/>
        <w:gridCol w:w="3660"/>
        <w:gridCol w:w="1515"/>
        <w:tblGridChange w:id="0">
          <w:tblGrid>
            <w:gridCol w:w="1005"/>
            <w:gridCol w:w="2835"/>
            <w:gridCol w:w="3660"/>
            <w:gridCol w:w="1515"/>
          </w:tblGrid>
        </w:tblGridChange>
      </w:tblGrid>
      <w:tr>
        <w:trPr>
          <w:cantSplit w:val="0"/>
          <w:tblHeader w:val="1"/>
        </w:trPr>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45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Dolor crítico</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45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Hipótesis de iniciativa</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45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Tecnología habilitante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45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Objetivos estratégicos vinculados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5F">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DC1</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60">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Agente de precalificación y acompañamiento conversacional del crédito Pyme</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61">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Agente de IA sobre datos transaccionales propios (procesamiento de lenguaje natural + analítica del ecosistema BBVA)</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62">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OE3, OE4, OE5</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63">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DC2</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64">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Extensión de Blue Buddy a agente de investigación de casos de reclamos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65">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Agente de IA de orquestación multisistema con recomendación explicable y validación humana</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66">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OE1, OE5, OE6</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67">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DC3 (priorizado)</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68">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Agente conversacional con verificación de identidad progresiva y asíncrona</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69">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Agente de IA conversacional integrado al flujo 100 % digital ya desplegado</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6A">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OE1, OE4, OE5</w:t>
            </w:r>
          </w:p>
        </w:tc>
      </w:tr>
    </w:tbl>
    <w:p w:rsidR="00000000" w:rsidDel="00000000" w:rsidP="00000000" w:rsidRDefault="00000000" w:rsidRPr="00000000" w14:paraId="0000046B">
      <w:pPr>
        <w:spacing w:after="220" w:before="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la </w:t>
      </w:r>
      <w:r w:rsidDel="00000000" w:rsidR="00000000" w:rsidRPr="00000000">
        <w:rPr>
          <w:rFonts w:ascii="Times New Roman" w:cs="Times New Roman" w:eastAsia="Times New Roman" w:hAnsi="Times New Roman"/>
          <w:rtl w:val="0"/>
        </w:rPr>
        <w:t xml:space="preserve">Tabla 22 (sección 4.2)</w:t>
      </w:r>
      <w:r w:rsidDel="00000000" w:rsidR="00000000" w:rsidRPr="00000000">
        <w:rPr>
          <w:rFonts w:ascii="Times New Roman" w:cs="Times New Roman" w:eastAsia="Times New Roman" w:hAnsi="Times New Roman"/>
          <w:rtl w:val="0"/>
        </w:rPr>
        <w:t xml:space="preserve"> y en las hipótesis desarrolladas en las secciones 5.2 a 5.4.</w:t>
      </w:r>
    </w:p>
    <w:p w:rsidR="00000000" w:rsidDel="00000000" w:rsidP="00000000" w:rsidRDefault="00000000" w:rsidRPr="00000000" w14:paraId="0000046C">
      <w:pPr>
        <w:spacing w:after="22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Cobertura del OE2.</w:t>
      </w:r>
      <w:r w:rsidDel="00000000" w:rsidR="00000000" w:rsidRPr="00000000">
        <w:rPr>
          <w:rFonts w:ascii="Times New Roman" w:cs="Times New Roman" w:eastAsia="Times New Roman" w:hAnsi="Times New Roman"/>
          <w:rtl w:val="0"/>
        </w:rPr>
        <w:t xml:space="preserve"> Ninguna de las tres hipótesis se vincula de forma directa con el OE2 (Impulsar la sostenibilidad como motor de crecimiento), y la ausencia es deliberada. Los indicadores que la </w:t>
      </w:r>
      <w:r w:rsidDel="00000000" w:rsidR="00000000" w:rsidRPr="00000000">
        <w:rPr>
          <w:rFonts w:ascii="Times New Roman" w:cs="Times New Roman" w:eastAsia="Times New Roman" w:hAnsi="Times New Roman"/>
          <w:rtl w:val="0"/>
        </w:rPr>
        <w:t xml:space="preserve">Tabla 10 (sección 2.1)</w:t>
      </w:r>
      <w:r w:rsidDel="00000000" w:rsidR="00000000" w:rsidRPr="00000000">
        <w:rPr>
          <w:rFonts w:ascii="Times New Roman" w:cs="Times New Roman" w:eastAsia="Times New Roman" w:hAnsi="Times New Roman"/>
          <w:rtl w:val="0"/>
        </w:rPr>
        <w:t xml:space="preserve"> asigna a ese objetivo (negocio sostenible movilizado, cartera elegible, tiempo de evaluación y calidad del dato ESG) no se modifican con ninguna de las iniciativas propuestas, por lo que declarar un vínculo directo introduciría una trazabilidad que no podría medirse. Sí existe una contribución indirecta en la dimensión social de la sostenibilidad: dentro del crecimiento inclusivo, BBVA Perú prioriza la línea de empoderamiento económico, que comprende la generación de empleo y el fortalecimiento del emprendimiento y la bancarización (</w:t>
      </w:r>
      <w:r w:rsidDel="00000000" w:rsidR="00000000" w:rsidRPr="00000000">
        <w:rPr>
          <w:rFonts w:ascii="Times New Roman" w:cs="Times New Roman" w:eastAsia="Times New Roman" w:hAnsi="Times New Roman"/>
          <w:rtl w:val="0"/>
        </w:rPr>
        <w:t xml:space="preserve">Banco BBVA Perú, 2026f, p. 10</w:t>
      </w:r>
      <w:r w:rsidDel="00000000" w:rsidR="00000000" w:rsidRPr="00000000">
        <w:rPr>
          <w:rFonts w:ascii="Times New Roman" w:cs="Times New Roman" w:eastAsia="Times New Roman" w:hAnsi="Times New Roman"/>
          <w:rtl w:val="0"/>
        </w:rPr>
        <w:t xml:space="preserve">). A ella aportarían la hipótesis del DC1, al ampliar el acceso a crédito de microempresas que hoy no cuentan con una oferta preaprobada, y la del DC3, al permitir la contratación digital a perfiles que hoy quedan fuera del flujo. Esa contribución se reportará como beneficio complementario en el business case, sin convertirla en indicador de éxito de las iniciativas.</w:t>
      </w:r>
    </w:p>
    <w:p w:rsidR="00000000" w:rsidDel="00000000" w:rsidP="00000000" w:rsidRDefault="00000000" w:rsidRPr="00000000" w14:paraId="0000046D">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Priorización para los siguientes avances.</w:t>
      </w:r>
      <w:r w:rsidDel="00000000" w:rsidR="00000000" w:rsidRPr="00000000">
        <w:rPr>
          <w:rFonts w:ascii="Times New Roman" w:cs="Times New Roman" w:eastAsia="Times New Roman" w:hAnsi="Times New Roman"/>
          <w:rtl w:val="0"/>
        </w:rPr>
        <w:t xml:space="preserve"> Conforme a lo señalado en la sección 5.1, aunque las tres hipótesis de la </w:t>
      </w:r>
      <w:r w:rsidDel="00000000" w:rsidR="00000000" w:rsidRPr="00000000">
        <w:rPr>
          <w:rFonts w:ascii="Times New Roman" w:cs="Times New Roman" w:eastAsia="Times New Roman" w:hAnsi="Times New Roman"/>
          <w:rtl w:val="0"/>
        </w:rPr>
        <w:t xml:space="preserve">Tabla 29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 desarrollan en este informe</w:t>
      </w:r>
      <w:r w:rsidDel="00000000" w:rsidR="00000000" w:rsidRPr="00000000">
        <w:rPr>
          <w:rFonts w:ascii="Times New Roman" w:cs="Times New Roman" w:eastAsia="Times New Roman" w:hAnsi="Times New Roman"/>
          <w:rtl w:val="0"/>
        </w:rPr>
        <w:t xml:space="preserve"> con el mismo nivel de rigor, </w:t>
      </w:r>
      <w:r w:rsidDel="00000000" w:rsidR="00000000" w:rsidRPr="00000000">
        <w:rPr>
          <w:rFonts w:ascii="Times New Roman" w:cs="Times New Roman" w:eastAsia="Times New Roman" w:hAnsi="Times New Roman"/>
          <w:rtl w:val="0"/>
        </w:rPr>
        <w:t xml:space="preserve">el equipo prioriza a partir de este avance el desarrollo</w:t>
      </w:r>
      <w:r w:rsidDel="00000000" w:rsidR="00000000" w:rsidRPr="00000000">
        <w:rPr>
          <w:rFonts w:ascii="Times New Roman" w:cs="Times New Roman" w:eastAsia="Times New Roman" w:hAnsi="Times New Roman"/>
          <w:rtl w:val="0"/>
        </w:rPr>
        <w:t xml:space="preserve"> de la iniciativa vinculada a DC3, en tanto la contratación de productos por canal digital ha sido seleccionada como el proceso de negocio ancla del proyecto. Las hipótesis de DC1 y DC2 permanecen vigentes como parte del </w:t>
      </w:r>
      <w:r w:rsidDel="00000000" w:rsidR="00000000" w:rsidRPr="00000000">
        <w:rPr>
          <w:rFonts w:ascii="Times New Roman" w:cs="Times New Roman" w:eastAsia="Times New Roman" w:hAnsi="Times New Roman"/>
          <w:rtl w:val="0"/>
        </w:rPr>
        <w:t xml:space="preserve">alcance ya sustentado en este informe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6E">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tres hipótesis comparten un mismo principio de diseño: ninguna reemplaza la decisión humana en el punto donde la regulación o el riesgo reputacional lo exige (la aprobación crediticia final, la procedencia del reclamo y la validación de identidad de un menor de edad), sino que reduce el trabajo manual previo a esa decisión. Esta arquitectura responde, en primer lugar, al principio de supervisión humana del Reglamento de la Ley </w:t>
      </w:r>
      <w:r w:rsidDel="00000000" w:rsidR="00000000" w:rsidRPr="00000000">
        <w:rPr>
          <w:rFonts w:ascii="Times New Roman" w:cs="Times New Roman" w:eastAsia="Times New Roman" w:hAnsi="Times New Roman"/>
          <w:rtl w:val="0"/>
        </w:rPr>
        <w:t xml:space="preserve">N.º </w:t>
      </w:r>
      <w:r w:rsidDel="00000000" w:rsidR="00000000" w:rsidRPr="00000000">
        <w:rPr>
          <w:rFonts w:ascii="Times New Roman" w:cs="Times New Roman" w:eastAsia="Times New Roman" w:hAnsi="Times New Roman"/>
          <w:rtl w:val="0"/>
        </w:rPr>
        <w:t xml:space="preserve">31814, según el cual la intervención humana debe poder corregir, modificar o detener el funcionamiento de los sistemas de IA (art. 7, literal h). En los sistemas de riesgo alto del sector financiero, esa supervisión debe recaer en personal capacitado para invalidar sus decisiones (art. 31.4) (Decreto Supremo </w:t>
      </w:r>
      <w:r w:rsidDel="00000000" w:rsidR="00000000" w:rsidRPr="00000000">
        <w:rPr>
          <w:rFonts w:ascii="Times New Roman" w:cs="Times New Roman" w:eastAsia="Times New Roman" w:hAnsi="Times New Roman"/>
          <w:rtl w:val="0"/>
        </w:rPr>
        <w:t xml:space="preserve">N.º </w:t>
      </w:r>
      <w:r w:rsidDel="00000000" w:rsidR="00000000" w:rsidRPr="00000000">
        <w:rPr>
          <w:rFonts w:ascii="Times New Roman" w:cs="Times New Roman" w:eastAsia="Times New Roman" w:hAnsi="Times New Roman"/>
          <w:rtl w:val="0"/>
        </w:rPr>
        <w:t xml:space="preserve">115-2025-PCM, 2025). Responde también a la necesidad de que la iniciativa resulte defendible ante el jurado y, eventualmente, ante el propio banco.</w:t>
      </w:r>
    </w:p>
    <w:p w:rsidR="00000000" w:rsidDel="00000000" w:rsidP="00000000" w:rsidRDefault="00000000" w:rsidRPr="00000000" w14:paraId="0000046F">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Figura 4 relaciona la exigencia de las metas propuestas para DC1 y DC3 con el ritmo que cada indicador mostró antes de las iniciativas. La meta de originación digital Pyme requiere unos </w:t>
      </w:r>
      <w:r w:rsidDel="00000000" w:rsidR="00000000" w:rsidRPr="00000000">
        <w:rPr>
          <w:rFonts w:ascii="Times New Roman" w:cs="Times New Roman" w:eastAsia="Times New Roman" w:hAnsi="Times New Roman"/>
          <w:rtl w:val="0"/>
        </w:rPr>
        <w:t xml:space="preserve">18 puntos</w:t>
      </w:r>
      <w:r w:rsidDel="00000000" w:rsidR="00000000" w:rsidRPr="00000000">
        <w:rPr>
          <w:rFonts w:ascii="Times New Roman" w:cs="Times New Roman" w:eastAsia="Times New Roman" w:hAnsi="Times New Roman"/>
          <w:rtl w:val="0"/>
        </w:rPr>
        <w:t xml:space="preserve"> por año, el triple del ritmo estimado en la Tabla 23 y casi el doble del que registró la facturación digital de High Value Pymes. La de penetración digital en cuentas exige cerca de </w:t>
      </w:r>
      <w:r w:rsidDel="00000000" w:rsidR="00000000" w:rsidRPr="00000000">
        <w:rPr>
          <w:rFonts w:ascii="Times New Roman" w:cs="Times New Roman" w:eastAsia="Times New Roman" w:hAnsi="Times New Roman"/>
          <w:rtl w:val="0"/>
        </w:rPr>
        <w:t xml:space="preserve">15 puntos</w:t>
      </w:r>
      <w:r w:rsidDel="00000000" w:rsidR="00000000" w:rsidRPr="00000000">
        <w:rPr>
          <w:rFonts w:ascii="Times New Roman" w:cs="Times New Roman" w:eastAsia="Times New Roman" w:hAnsi="Times New Roman"/>
          <w:rtl w:val="0"/>
        </w:rPr>
        <w:t xml:space="preserve"> por año, cuando el indicador retrocedió entre el cierre de 2025 y el 2T2026. Ambas son metas de estiramiento y su validación con la entidad sigue pendiente.</w:t>
      </w:r>
      <w:r w:rsidDel="00000000" w:rsidR="00000000" w:rsidRPr="00000000">
        <w:rPr>
          <w:rtl w:val="0"/>
        </w:rPr>
      </w:r>
    </w:p>
    <w:p w:rsidR="00000000" w:rsidDel="00000000" w:rsidP="00000000" w:rsidRDefault="00000000" w:rsidRPr="00000000" w14:paraId="00000470">
      <w:pPr>
        <w:ind w:left="708.6614173228347"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Figura 4</w:t>
      </w:r>
      <w:r w:rsidDel="00000000" w:rsidR="00000000" w:rsidRPr="00000000">
        <w:rPr>
          <w:rtl w:val="0"/>
        </w:rPr>
      </w:r>
    </w:p>
    <w:p w:rsidR="00000000" w:rsidDel="00000000" w:rsidP="00000000" w:rsidRDefault="00000000" w:rsidRPr="00000000" w14:paraId="00000471">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Exigencia anual de las metas de DC1 y DC3 frente al ritmo observado antes de las iniciativas</w:t>
      </w:r>
    </w:p>
    <w:p w:rsidR="00000000" w:rsidDel="00000000" w:rsidP="00000000" w:rsidRDefault="00000000" w:rsidRPr="00000000" w14:paraId="00000472">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348023" cy="2886234"/>
            <wp:effectExtent b="0" l="0" r="0" t="0"/>
            <wp:docPr id="900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348023" cy="2886234"/>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spacing w:after="160" w:before="40" w:lineRule="auto"/>
        <w:ind w:left="708.66141732283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Ritmo requerido: (meta - línea base) ÷ 1.5 años. Ritmo observado: variación entre el cierre de 2025 y el 2T2026, multiplicada por dos (</w:t>
      </w:r>
      <w:r w:rsidDel="00000000" w:rsidR="00000000" w:rsidRPr="00000000">
        <w:rPr>
          <w:rFonts w:ascii="Times New Roman" w:cs="Times New Roman" w:eastAsia="Times New Roman" w:hAnsi="Times New Roman"/>
          <w:rtl w:val="0"/>
        </w:rPr>
        <w:t xml:space="preserve">cálculo propio con base en Reusche, 2026; BBVA, 2026e; Banco BBVA Perú, 2025 y 2026f, p. 3</w:t>
      </w:r>
      <w:r w:rsidDel="00000000" w:rsidR="00000000" w:rsidRPr="00000000">
        <w:rPr>
          <w:rFonts w:ascii="Times New Roman" w:cs="Times New Roman" w:eastAsia="Times New Roman" w:hAnsi="Times New Roman"/>
          <w:rtl w:val="0"/>
        </w:rPr>
        <w:t xml:space="preserve">). Referencia: Banco BBVA Perú (</w:t>
      </w:r>
      <w:r w:rsidDel="00000000" w:rsidR="00000000" w:rsidRPr="00000000">
        <w:rPr>
          <w:rFonts w:ascii="Times New Roman" w:cs="Times New Roman" w:eastAsia="Times New Roman" w:hAnsi="Times New Roman"/>
          <w:rtl w:val="0"/>
        </w:rPr>
        <w:t xml:space="preserve">2026g, p. 25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4">
      <w:pPr>
        <w:pStyle w:val="Heading1"/>
        <w:numPr>
          <w:ilvl w:val="0"/>
          <w:numId w:val="1"/>
        </w:numPr>
        <w:ind w:left="566.9291338582675" w:hanging="360"/>
        <w:rPr>
          <w:rFonts w:ascii="Times New Roman" w:cs="Times New Roman" w:eastAsia="Times New Roman" w:hAnsi="Times New Roman"/>
          <w:b w:val="1"/>
          <w:bCs w:val="1"/>
        </w:rPr>
      </w:pPr>
      <w:bookmarkStart w:colFirst="0" w:colLast="0" w:name="_heading=h.35rcpzos48ek" w:id="35"/>
      <w:bookmarkEnd w:id="35"/>
      <w:r w:rsidDel="00000000" w:rsidR="00000000" w:rsidRPr="00000000">
        <w:rPr>
          <w:rFonts w:ascii="Times New Roman" w:cs="Times New Roman" w:eastAsia="Times New Roman" w:hAnsi="Times New Roman"/>
          <w:b w:val="1"/>
          <w:bCs w:val="1"/>
          <w:sz w:val="22"/>
          <w:szCs w:val="22"/>
          <w:rtl w:val="0"/>
        </w:rPr>
        <w:t xml:space="preserve">Descripción detallada de los puntos de dolor As Is</w:t>
      </w:r>
      <w:r w:rsidDel="00000000" w:rsidR="00000000" w:rsidRPr="00000000">
        <w:rPr>
          <w:rtl w:val="0"/>
        </w:rPr>
      </w:r>
    </w:p>
    <w:p w:rsidR="00000000" w:rsidDel="00000000" w:rsidP="00000000" w:rsidRDefault="00000000" w:rsidRPr="00000000" w14:paraId="00000475">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sección describe, para cada uno de los tres dolores críticos, la situación As Is del proceso: actores involucrados, sistemas utilizados, canales de atención, actividades manuales, tiempos promedio, errores frecuentes, costos asociados e indicadores actuales. La descripción reutiliza la evidencia ya consignada en los mapas de las secciones 3.3 a 3.5 y en las </w:t>
      </w:r>
      <w:r w:rsidDel="00000000" w:rsidR="00000000" w:rsidRPr="00000000">
        <w:rPr>
          <w:rFonts w:ascii="Times New Roman" w:cs="Times New Roman" w:eastAsia="Times New Roman" w:hAnsi="Times New Roman"/>
          <w:rtl w:val="0"/>
        </w:rPr>
        <w:t xml:space="preserve">Tablas 23 a 25;</w:t>
      </w:r>
      <w:r w:rsidDel="00000000" w:rsidR="00000000" w:rsidRPr="00000000">
        <w:rPr>
          <w:rFonts w:ascii="Times New Roman" w:cs="Times New Roman" w:eastAsia="Times New Roman" w:hAnsi="Times New Roman"/>
          <w:rtl w:val="0"/>
        </w:rPr>
        <w:t xml:space="preserve"> no se introduce ninguna cifra nueva sin fuente. DCuando no existe una fuente pública para un campo, se declara de forma expresa que la entidad no publica el dato, conforme al criterio de evidencia de la sección 3.1.</w:t>
      </w:r>
    </w:p>
    <w:p w:rsidR="00000000" w:rsidDel="00000000" w:rsidP="00000000" w:rsidRDefault="00000000" w:rsidRPr="00000000" w14:paraId="00000476">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heading=h.d6wjvfaggdaj" w:id="36"/>
      <w:bookmarkEnd w:id="36"/>
      <w:r w:rsidDel="00000000" w:rsidR="00000000" w:rsidRPr="00000000">
        <w:rPr>
          <w:rFonts w:ascii="Times New Roman" w:cs="Times New Roman" w:eastAsia="Times New Roman" w:hAnsi="Times New Roman"/>
          <w:b w:val="1"/>
          <w:bCs w:val="1"/>
          <w:sz w:val="22"/>
          <w:szCs w:val="22"/>
          <w:rtl w:val="0"/>
        </w:rPr>
        <w:t xml:space="preserve">Descripción As Is del dolor crítico DC1: originación de crédito Pyme</w:t>
      </w:r>
    </w:p>
    <w:p w:rsidR="00000000" w:rsidDel="00000000" w:rsidP="00000000" w:rsidRDefault="00000000" w:rsidRPr="00000000" w14:paraId="00000477">
      <w:pPr>
        <w:spacing w:after="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Tabla 30</w:t>
      </w:r>
      <w:r w:rsidDel="00000000" w:rsidR="00000000" w:rsidRPr="00000000">
        <w:rPr>
          <w:rtl w:val="0"/>
        </w:rPr>
      </w:r>
    </w:p>
    <w:p w:rsidR="00000000" w:rsidDel="00000000" w:rsidP="00000000" w:rsidRDefault="00000000" w:rsidRPr="00000000" w14:paraId="00000478">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Descripción As Is del DC1</w:t>
      </w:r>
      <w:r w:rsidDel="00000000" w:rsidR="00000000" w:rsidRPr="00000000">
        <w:rPr>
          <w:rtl w:val="0"/>
        </w:rPr>
      </w:r>
    </w:p>
    <w:tbl>
      <w:tblPr>
        <w:tblStyle w:val="Table30"/>
        <w:tblW w:w="9045.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2295"/>
        <w:gridCol w:w="6750"/>
        <w:tblGridChange w:id="0">
          <w:tblGrid>
            <w:gridCol w:w="2295"/>
            <w:gridCol w:w="6750"/>
          </w:tblGrid>
        </w:tblGridChange>
      </w:tblGrid>
      <w:tr>
        <w:trPr>
          <w:cantSplit w:val="0"/>
          <w:tblHeader w:val="1"/>
        </w:trPr>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47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Dimensión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47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Situación As Is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7B">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 involucrados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7C">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Empresario Pyme (persona natural con negocio o persona jurídica); apoderados y avalistas; Ejecutivo Banca Negocios (ruta asistida); motor de decisión y analista de riesgo; personal de formalización. </w:t>
            </w:r>
            <w:r w:rsidDel="00000000" w:rsidR="00000000" w:rsidRPr="00000000">
              <w:rPr>
                <w:rFonts w:ascii="Times New Roman" w:cs="Times New Roman" w:eastAsia="Times New Roman" w:hAnsi="Times New Roman"/>
                <w:sz w:val="18"/>
                <w:szCs w:val="18"/>
                <w:rtl w:val="0"/>
              </w:rPr>
              <w:t xml:space="preserve">Tabla 15;</w:t>
            </w:r>
            <w:r w:rsidDel="00000000" w:rsidR="00000000" w:rsidRPr="00000000">
              <w:rPr>
                <w:rFonts w:ascii="Times New Roman" w:cs="Times New Roman" w:eastAsia="Times New Roman" w:hAnsi="Times New Roman"/>
                <w:sz w:val="18"/>
                <w:szCs w:val="18"/>
                <w:rtl w:val="0"/>
              </w:rPr>
              <w:t xml:space="preserve"> Banco BBVA Perú (</w:t>
            </w:r>
            <w:r w:rsidDel="00000000" w:rsidR="00000000" w:rsidRPr="00000000">
              <w:rPr>
                <w:rFonts w:ascii="Times New Roman" w:cs="Times New Roman" w:eastAsia="Times New Roman" w:hAnsi="Times New Roman"/>
                <w:sz w:val="18"/>
                <w:szCs w:val="18"/>
                <w:rtl w:val="0"/>
              </w:rPr>
              <w:t xml:space="preserve">s. f.-h</w:t>
            </w:r>
            <w:r w:rsidDel="00000000" w:rsidR="00000000" w:rsidRPr="00000000">
              <w:rPr>
                <w:rFonts w:ascii="Times New Roman" w:cs="Times New Roman" w:eastAsia="Times New Roman" w:hAnsi="Times New Roman"/>
                <w:sz w:val="18"/>
                <w:szCs w:val="18"/>
                <w:rtl w:val="0"/>
              </w:rPr>
              <w:t xml:space="preserve">).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7D">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Sistemas utilizados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7E">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Perfil Mi Negocio (App BBVA), App BBVA Empresas 2.0 y BBVA Net Cash; motor de decisión y ofertas preaprobadas; centrales de riesgo; plataforma ADA; Openpay, QR Empresas y POS. Tabla 15; Banco BBVA Perú (</w:t>
            </w:r>
            <w:r w:rsidDel="00000000" w:rsidR="00000000" w:rsidRPr="00000000">
              <w:rPr>
                <w:rFonts w:ascii="Times New Roman" w:cs="Times New Roman" w:eastAsia="Times New Roman" w:hAnsi="Times New Roman"/>
                <w:sz w:val="18"/>
                <w:szCs w:val="18"/>
                <w:rtl w:val="0"/>
              </w:rPr>
              <w:t xml:space="preserve">s. f.-c, s. f.-g, s. f.-l</w:t>
            </w:r>
            <w:r w:rsidDel="00000000" w:rsidR="00000000" w:rsidRPr="00000000">
              <w:rPr>
                <w:rFonts w:ascii="Times New Roman" w:cs="Times New Roman" w:eastAsia="Times New Roman" w:hAnsi="Times New Roman"/>
                <w:sz w:val="18"/>
                <w:szCs w:val="18"/>
                <w:rtl w:val="0"/>
              </w:rPr>
              <w:t xml:space="preserve">).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7F">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Canales de atención</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80">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Digital (App BBVA, App BBVA Empresas 2.0, Net Cash), solo con </w:t>
            </w:r>
            <w:r w:rsidDel="00000000" w:rsidR="00000000" w:rsidRPr="00000000">
              <w:rPr>
                <w:rFonts w:ascii="Times New Roman" w:cs="Times New Roman" w:eastAsia="Times New Roman" w:hAnsi="Times New Roman"/>
                <w:sz w:val="18"/>
                <w:szCs w:val="18"/>
                <w:rtl w:val="0"/>
              </w:rPr>
              <w:t xml:space="preserve">oferta preaprobada</w:t>
            </w:r>
            <w:r w:rsidDel="00000000" w:rsidR="00000000" w:rsidRPr="00000000">
              <w:rPr>
                <w:rFonts w:ascii="Times New Roman" w:cs="Times New Roman" w:eastAsia="Times New Roman" w:hAnsi="Times New Roman"/>
                <w:sz w:val="18"/>
                <w:szCs w:val="18"/>
                <w:rtl w:val="0"/>
              </w:rPr>
              <w:t xml:space="preserve">; asistido (oficina); telefónico (Línea Negocios). Tabla 15; Banco BBVA Perú (</w:t>
            </w:r>
            <w:r w:rsidDel="00000000" w:rsidR="00000000" w:rsidRPr="00000000">
              <w:rPr>
                <w:rFonts w:ascii="Times New Roman" w:cs="Times New Roman" w:eastAsia="Times New Roman" w:hAnsi="Times New Roman"/>
                <w:sz w:val="18"/>
                <w:szCs w:val="18"/>
                <w:rtl w:val="0"/>
              </w:rPr>
              <w:t xml:space="preserve">s. f.-h, s. f.-j</w:t>
            </w:r>
            <w:r w:rsidDel="00000000" w:rsidR="00000000" w:rsidRPr="00000000">
              <w:rPr>
                <w:rFonts w:ascii="Times New Roman" w:cs="Times New Roman" w:eastAsia="Times New Roman" w:hAnsi="Times New Roman"/>
                <w:sz w:val="18"/>
                <w:szCs w:val="18"/>
                <w:rtl w:val="0"/>
              </w:rPr>
              <w:t xml:space="preserve">).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81">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Actividades manuales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82">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Entrega en oficina de pagos de IGV o Renta y estados financieros de no más de tres meses (</w:t>
            </w:r>
            <w:r w:rsidDel="00000000" w:rsidR="00000000" w:rsidRPr="00000000">
              <w:rPr>
                <w:rFonts w:ascii="Times New Roman" w:cs="Times New Roman" w:eastAsia="Times New Roman" w:hAnsi="Times New Roman"/>
                <w:sz w:val="18"/>
                <w:szCs w:val="18"/>
                <w:rtl w:val="0"/>
              </w:rPr>
              <w:t xml:space="preserve">Banco BBVA Perú, s. f.-m</w:t>
            </w:r>
            <w:r w:rsidDel="00000000" w:rsidR="00000000" w:rsidRPr="00000000">
              <w:rPr>
                <w:rFonts w:ascii="Times New Roman" w:cs="Times New Roman" w:eastAsia="Times New Roman" w:hAnsi="Times New Roman"/>
                <w:sz w:val="18"/>
                <w:szCs w:val="18"/>
                <w:rtl w:val="0"/>
              </w:rPr>
              <w:t xml:space="preserve">); verificación de información financiera no estructurada (Melo, 2026); firma y formalización presencial (Tabla 15).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83">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Tiempos promedio</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84">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Ruta digital: 3 minutos en promedio (Reusche, 2026). Ruta asistida: sin plazo publicado; el banco solo indica que se comunicará con el cliente (</w:t>
            </w:r>
            <w:r w:rsidDel="00000000" w:rsidR="00000000" w:rsidRPr="00000000">
              <w:rPr>
                <w:rFonts w:ascii="Times New Roman" w:cs="Times New Roman" w:eastAsia="Times New Roman" w:hAnsi="Times New Roman"/>
                <w:sz w:val="18"/>
                <w:szCs w:val="18"/>
                <w:rtl w:val="0"/>
              </w:rPr>
              <w:t xml:space="preserve">Banco BBVA Perú, s. f.-h</w:t>
            </w:r>
            <w:r w:rsidDel="00000000" w:rsidR="00000000" w:rsidRPr="00000000">
              <w:rPr>
                <w:rFonts w:ascii="Times New Roman" w:cs="Times New Roman" w:eastAsia="Times New Roman" w:hAnsi="Times New Roman"/>
                <w:sz w:val="18"/>
                <w:szCs w:val="18"/>
                <w:rtl w:val="0"/>
              </w:rPr>
              <w:t xml:space="preserve">). La entidad no publica la duración del ciclo completo.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85">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Errores frecuentes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86">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Préstamo digital de una sola vez, restricción de 45 días tras otro crédito, </w:t>
            </w:r>
            <w:r w:rsidDel="00000000" w:rsidR="00000000" w:rsidRPr="00000000">
              <w:rPr>
                <w:rFonts w:ascii="Times New Roman" w:cs="Times New Roman" w:eastAsia="Times New Roman" w:hAnsi="Times New Roman"/>
                <w:sz w:val="18"/>
                <w:szCs w:val="18"/>
                <w:rtl w:val="0"/>
              </w:rPr>
              <w:t xml:space="preserve">oferta preaprobada</w:t>
            </w:r>
            <w:r w:rsidDel="00000000" w:rsidR="00000000" w:rsidRPr="00000000">
              <w:rPr>
                <w:rFonts w:ascii="Times New Roman" w:cs="Times New Roman" w:eastAsia="Times New Roman" w:hAnsi="Times New Roman"/>
                <w:sz w:val="18"/>
                <w:szCs w:val="18"/>
                <w:rtl w:val="0"/>
              </w:rPr>
              <w:t xml:space="preserve"> obligatoria y reporte positivo en la central de riesgos (</w:t>
            </w:r>
            <w:r w:rsidDel="00000000" w:rsidR="00000000" w:rsidRPr="00000000">
              <w:rPr>
                <w:rFonts w:ascii="Times New Roman" w:cs="Times New Roman" w:eastAsia="Times New Roman" w:hAnsi="Times New Roman"/>
                <w:sz w:val="18"/>
                <w:szCs w:val="18"/>
                <w:rtl w:val="0"/>
              </w:rPr>
              <w:t xml:space="preserve">Banco BBVA Perú, s. f.-i, s. f.-j, s. f.-l, s. f.-m</w:t>
            </w:r>
            <w:r w:rsidDel="00000000" w:rsidR="00000000" w:rsidRPr="00000000">
              <w:rPr>
                <w:rFonts w:ascii="Times New Roman" w:cs="Times New Roman" w:eastAsia="Times New Roman" w:hAnsi="Times New Roman"/>
                <w:sz w:val="18"/>
                <w:szCs w:val="18"/>
                <w:rtl w:val="0"/>
              </w:rPr>
              <w:t xml:space="preserve">). Sectorial: solo 1 de cada 4 mypes accede a crédito (Melo, 2026).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87">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Costos asociados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88">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Para el cliente: tasas de 10 % a 75 % en soles y comisión de S/ 8.5 por envío de información (</w:t>
            </w:r>
            <w:r w:rsidDel="00000000" w:rsidR="00000000" w:rsidRPr="00000000">
              <w:rPr>
                <w:rFonts w:ascii="Times New Roman" w:cs="Times New Roman" w:eastAsia="Times New Roman" w:hAnsi="Times New Roman"/>
                <w:sz w:val="18"/>
                <w:szCs w:val="18"/>
                <w:rtl w:val="0"/>
              </w:rPr>
              <w:t xml:space="preserve">Banco BBVA Perú, s. f.-m</w:t>
            </w:r>
            <w:r w:rsidDel="00000000" w:rsidR="00000000" w:rsidRPr="00000000">
              <w:rPr>
                <w:rFonts w:ascii="Times New Roman" w:cs="Times New Roman" w:eastAsia="Times New Roman" w:hAnsi="Times New Roman"/>
                <w:sz w:val="18"/>
                <w:szCs w:val="18"/>
                <w:rtl w:val="0"/>
              </w:rPr>
              <w:t xml:space="preserve">). Referencial, EE. UU.: ahorro de hasta USD 1,500 por préstamo automatizado (Freddie Mac, 2025, citado en Stealth Agents, 2026).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89">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Indicadores actuales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8A">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Créditos digitales: un tercio del otorgamiento; portafolio que transacciona digitalmente: 75 %; principalidad: 48 % (Reusche, 2026). Clientes Pyme digitales: 74 % (</w:t>
            </w:r>
            <w:r w:rsidDel="00000000" w:rsidR="00000000" w:rsidRPr="00000000">
              <w:rPr>
                <w:rFonts w:ascii="Times New Roman" w:cs="Times New Roman" w:eastAsia="Times New Roman" w:hAnsi="Times New Roman"/>
                <w:sz w:val="18"/>
                <w:szCs w:val="18"/>
                <w:rtl w:val="0"/>
              </w:rPr>
              <w:t xml:space="preserve">BBVA, 2026a</w:t>
            </w:r>
            <w:r w:rsidDel="00000000" w:rsidR="00000000" w:rsidRPr="00000000">
              <w:rPr>
                <w:rFonts w:ascii="Times New Roman" w:cs="Times New Roman" w:eastAsia="Times New Roman" w:hAnsi="Times New Roman"/>
                <w:sz w:val="18"/>
                <w:szCs w:val="18"/>
                <w:rtl w:val="0"/>
              </w:rPr>
              <w:t xml:space="preserve">). NPS Pyme: 33.6 frente a 52.57 en retail (</w:t>
            </w:r>
            <w:r w:rsidDel="00000000" w:rsidR="00000000" w:rsidRPr="00000000">
              <w:rPr>
                <w:rFonts w:ascii="Times New Roman" w:cs="Times New Roman" w:eastAsia="Times New Roman" w:hAnsi="Times New Roman"/>
                <w:sz w:val="18"/>
                <w:szCs w:val="18"/>
                <w:rtl w:val="0"/>
              </w:rPr>
              <w:t xml:space="preserve">Banco BBVA Perú, 2026g</w:t>
            </w:r>
            <w:r w:rsidDel="00000000" w:rsidR="00000000" w:rsidRPr="00000000">
              <w:rPr>
                <w:rFonts w:ascii="Times New Roman" w:cs="Times New Roman" w:eastAsia="Times New Roman" w:hAnsi="Times New Roman"/>
                <w:sz w:val="18"/>
                <w:szCs w:val="18"/>
                <w:rtl w:val="0"/>
              </w:rPr>
              <w:t xml:space="preserve">). </w:t>
            </w:r>
          </w:p>
        </w:tc>
      </w:tr>
    </w:tbl>
    <w:p w:rsidR="00000000" w:rsidDel="00000000" w:rsidP="00000000" w:rsidRDefault="00000000" w:rsidRPr="00000000" w14:paraId="0000048B">
      <w:pPr>
        <w:spacing w:after="220" w:before="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las fuentes citadas en cada celda; los vacíos de información se declaran de forma explícita conforme al criterio de evidencia de la </w:t>
      </w:r>
      <w:r w:rsidDel="00000000" w:rsidR="00000000" w:rsidRPr="00000000">
        <w:rPr>
          <w:rFonts w:ascii="Times New Roman" w:cs="Times New Roman" w:eastAsia="Times New Roman" w:hAnsi="Times New Roman"/>
          <w:rtl w:val="0"/>
        </w:rPr>
        <w:t xml:space="preserve">sección 3.1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C">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heading=h.t494v0iwpxk8" w:id="37"/>
      <w:bookmarkEnd w:id="37"/>
      <w:r w:rsidDel="00000000" w:rsidR="00000000" w:rsidRPr="00000000">
        <w:rPr>
          <w:rFonts w:ascii="Times New Roman" w:cs="Times New Roman" w:eastAsia="Times New Roman" w:hAnsi="Times New Roman"/>
          <w:b w:val="1"/>
          <w:bCs w:val="1"/>
          <w:sz w:val="22"/>
          <w:szCs w:val="22"/>
          <w:rtl w:val="0"/>
        </w:rPr>
        <w:t xml:space="preserve">Descripción As Is del dolor crítico DC2: operaciones no reconocidas</w:t>
      </w:r>
    </w:p>
    <w:p w:rsidR="00000000" w:rsidDel="00000000" w:rsidP="00000000" w:rsidRDefault="00000000" w:rsidRPr="00000000" w14:paraId="0000048D">
      <w:pPr>
        <w:spacing w:after="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Tabla 31</w:t>
      </w:r>
      <w:r w:rsidDel="00000000" w:rsidR="00000000" w:rsidRPr="00000000">
        <w:rPr>
          <w:rtl w:val="0"/>
        </w:rPr>
      </w:r>
    </w:p>
    <w:p w:rsidR="00000000" w:rsidDel="00000000" w:rsidP="00000000" w:rsidRDefault="00000000" w:rsidRPr="00000000" w14:paraId="0000048E">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Descripción As Is del DC2</w:t>
      </w:r>
      <w:r w:rsidDel="00000000" w:rsidR="00000000" w:rsidRPr="00000000">
        <w:rPr>
          <w:rtl w:val="0"/>
        </w:rPr>
      </w:r>
    </w:p>
    <w:tbl>
      <w:tblPr>
        <w:tblStyle w:val="Table31"/>
        <w:tblW w:w="9075.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2295"/>
        <w:gridCol w:w="6780"/>
        <w:tblGridChange w:id="0">
          <w:tblGrid>
            <w:gridCol w:w="2295"/>
            <w:gridCol w:w="6780"/>
          </w:tblGrid>
        </w:tblGridChange>
      </w:tblGrid>
      <w:tr>
        <w:trPr>
          <w:cantSplit w:val="0"/>
          <w:tblHeader w:val="1"/>
        </w:trPr>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48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Dimensión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49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Situación As Is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91">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 involucrados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92">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Cliente reclamante; asesor telefónico, de oficina o canal digital de registro; analista del área de fraude; analista de operaciones; área de atención al cliente; SBS e Indecopi como receptores del reporte regulatorio. Tabla 16.</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93">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Sistemas utilizados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94">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Motor de monitoreo transaccional y reglas antifraude; Blue Buddy, con flujo de reclamos que muestra el ciclo de vida del caso y 90 % de adopción (</w:t>
            </w:r>
            <w:r w:rsidDel="00000000" w:rsidR="00000000" w:rsidRPr="00000000">
              <w:rPr>
                <w:rFonts w:ascii="Times New Roman" w:cs="Times New Roman" w:eastAsia="Times New Roman" w:hAnsi="Times New Roman"/>
                <w:sz w:val="18"/>
                <w:szCs w:val="18"/>
                <w:rtl w:val="0"/>
              </w:rPr>
              <w:t xml:space="preserve">Banco BBVA Perú, 2026f, p. 4</w:t>
            </w:r>
            <w:r w:rsidDel="00000000" w:rsidR="00000000" w:rsidRPr="00000000">
              <w:rPr>
                <w:rFonts w:ascii="Times New Roman" w:cs="Times New Roman" w:eastAsia="Times New Roman" w:hAnsi="Times New Roman"/>
                <w:sz w:val="18"/>
                <w:szCs w:val="18"/>
                <w:rtl w:val="0"/>
              </w:rPr>
              <w:t xml:space="preserve">); sistema de gestión de reclamos; herramientas de identidades, monitoreo y respuesta a incidentes; plataforma ADA. Tabla 16.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95">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Canales de atención</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96">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 (alerta y registro del reclamo), contact center y oficina; consulta web del estado del caso (</w:t>
            </w:r>
            <w:r w:rsidDel="00000000" w:rsidR="00000000" w:rsidRPr="00000000">
              <w:rPr>
                <w:rFonts w:ascii="Times New Roman" w:cs="Times New Roman" w:eastAsia="Times New Roman" w:hAnsi="Times New Roman"/>
                <w:sz w:val="18"/>
                <w:szCs w:val="18"/>
                <w:rtl w:val="0"/>
              </w:rPr>
              <w:t xml:space="preserve">Banco BBVA Perú, s. f.-f</w:t>
            </w:r>
            <w:r w:rsidDel="00000000" w:rsidR="00000000" w:rsidRPr="00000000">
              <w:rPr>
                <w:rFonts w:ascii="Times New Roman" w:cs="Times New Roman" w:eastAsia="Times New Roman" w:hAnsi="Times New Roman"/>
                <w:sz w:val="18"/>
                <w:szCs w:val="18"/>
                <w:rtl w:val="0"/>
              </w:rPr>
              <w:t xml:space="preserve">); resultado mediante carta de respuesta. Tabla 16.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97">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Actividades manuales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98">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y tipificación del reclamo; análisis del caso y "revisión de las trazas de la operación y consulta de su ciclo de vida mediante las herramientas internas" (explícitamente manual, Tabla 16); coordinación entre las áreas de fraude, operaciones y atención (sección 3.4); decisión sobre procedencia y ejecución del abono o rechazo. Tabla 16.</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99">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Tiempos promedio</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9A">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2T2026: 11.29 días en operaciones no reconocidas frente a 8.02 del total de reclamos. Jul.-ago. 2026: 26.37 y 20.36 días. Plazo regulatorio: 15 días hábiles, prorrogable. Cálculo propio con base en Banco BBVA Perú (</w:t>
            </w:r>
            <w:r w:rsidDel="00000000" w:rsidR="00000000" w:rsidRPr="00000000">
              <w:rPr>
                <w:rFonts w:ascii="Times New Roman" w:cs="Times New Roman" w:eastAsia="Times New Roman" w:hAnsi="Times New Roman"/>
                <w:sz w:val="18"/>
                <w:szCs w:val="18"/>
                <w:rtl w:val="0"/>
              </w:rPr>
              <w:t xml:space="preserve">2026a a 2026e</w:t>
            </w:r>
            <w:r w:rsidDel="00000000" w:rsidR="00000000" w:rsidRPr="00000000">
              <w:rPr>
                <w:rFonts w:ascii="Times New Roman" w:cs="Times New Roman" w:eastAsia="Times New Roman" w:hAnsi="Times New Roman"/>
                <w:sz w:val="18"/>
                <w:szCs w:val="18"/>
                <w:rtl w:val="0"/>
              </w:rPr>
              <w:t xml:space="preserve">); SBS (2022, arts. 7.1 y 7.3).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9B">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Errores frecuentes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9C">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entidad no publica la tipología de errores operativos de este proceso. Evidencia de la propia entidad: la proporción de reclamos de esta materia resueltos a favor del usuario pasó de 21.63 % en el 2T2026 a 84.1 % en julio-agosto de 2026 (</w:t>
            </w:r>
            <w:r w:rsidDel="00000000" w:rsidR="00000000" w:rsidRPr="00000000">
              <w:rPr>
                <w:rFonts w:ascii="Times New Roman" w:cs="Times New Roman" w:eastAsia="Times New Roman" w:hAnsi="Times New Roman"/>
                <w:sz w:val="18"/>
                <w:szCs w:val="18"/>
                <w:rtl w:val="0"/>
              </w:rPr>
              <w:t xml:space="preserve">cálculo propio con base en Banco BBVA Perú, 2026a a 2026e</w:t>
            </w:r>
            <w:r w:rsidDel="00000000" w:rsidR="00000000" w:rsidRPr="00000000">
              <w:rPr>
                <w:rFonts w:ascii="Times New Roman" w:cs="Times New Roman" w:eastAsia="Times New Roman" w:hAnsi="Times New Roman"/>
                <w:sz w:val="18"/>
                <w:szCs w:val="18"/>
                <w:rtl w:val="0"/>
              </w:rPr>
              <w:t xml:space="preserve">); los reportes mensuales no publican la causa de esa variación ni la tipología del error operativo.</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9D">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Costos asociados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9E">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entidad no publica su costo operativo por caso. Cifra sectorial, no desagregada por entidad: 3,978.8 UIT en multas del Indecopi entre 2021 y marzo de 2025, de las cuales el 90 % (2,601 sanciones) recayó en el sistema financiero (Andina, 2025).</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9F">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Indicadores actuales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A0">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2T2026: 13,959 reclamos absueltos (20 % del total), 21.63 % a favor del usuario y 3.03 por cada cien mil operaciones. Jul.-ago. 2026: 5,857 absueltos, 84.1 % a favor del usuario. Cálculo propio con base en Banco BBVA Perú (</w:t>
            </w:r>
            <w:r w:rsidDel="00000000" w:rsidR="00000000" w:rsidRPr="00000000">
              <w:rPr>
                <w:rFonts w:ascii="Times New Roman" w:cs="Times New Roman" w:eastAsia="Times New Roman" w:hAnsi="Times New Roman"/>
                <w:sz w:val="18"/>
                <w:szCs w:val="18"/>
                <w:rtl w:val="0"/>
              </w:rPr>
              <w:t xml:space="preserve">2026a a 2026e</w:t>
            </w:r>
            <w:r w:rsidDel="00000000" w:rsidR="00000000" w:rsidRPr="00000000">
              <w:rPr>
                <w:rFonts w:ascii="Times New Roman" w:cs="Times New Roman" w:eastAsia="Times New Roman" w:hAnsi="Times New Roman"/>
                <w:sz w:val="18"/>
                <w:szCs w:val="18"/>
                <w:rtl w:val="0"/>
              </w:rPr>
              <w:t xml:space="preserve">); detalle en la </w:t>
            </w:r>
            <w:r w:rsidDel="00000000" w:rsidR="00000000" w:rsidRPr="00000000">
              <w:rPr>
                <w:rFonts w:ascii="Times New Roman" w:cs="Times New Roman" w:eastAsia="Times New Roman" w:hAnsi="Times New Roman"/>
                <w:sz w:val="18"/>
                <w:szCs w:val="18"/>
                <w:rtl w:val="0"/>
              </w:rPr>
              <w:t xml:space="preserve">Tabla 24</w:t>
            </w:r>
            <w:r w:rsidDel="00000000" w:rsidR="00000000" w:rsidRPr="00000000">
              <w:rPr>
                <w:rFonts w:ascii="Times New Roman" w:cs="Times New Roman" w:eastAsia="Times New Roman" w:hAnsi="Times New Roman"/>
                <w:sz w:val="18"/>
                <w:szCs w:val="18"/>
                <w:rtl w:val="0"/>
              </w:rPr>
              <w:t xml:space="preserve">. </w:t>
            </w:r>
          </w:p>
        </w:tc>
      </w:tr>
    </w:tbl>
    <w:p w:rsidR="00000000" w:rsidDel="00000000" w:rsidP="00000000" w:rsidRDefault="00000000" w:rsidRPr="00000000" w14:paraId="000004A1">
      <w:pPr>
        <w:spacing w:after="220" w:before="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las fuentes citadas en cada celda; los vacíos de información se declaran de forma explícita conforme al criterio de evidencia de la </w:t>
      </w:r>
      <w:r w:rsidDel="00000000" w:rsidR="00000000" w:rsidRPr="00000000">
        <w:rPr>
          <w:rFonts w:ascii="Times New Roman" w:cs="Times New Roman" w:eastAsia="Times New Roman" w:hAnsi="Times New Roman"/>
          <w:rtl w:val="0"/>
        </w:rPr>
        <w:t xml:space="preserve">sección 3.1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A2">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heading=h.i61wlycfcfiy" w:id="38"/>
      <w:bookmarkEnd w:id="38"/>
      <w:r w:rsidDel="00000000" w:rsidR="00000000" w:rsidRPr="00000000">
        <w:rPr>
          <w:rFonts w:ascii="Times New Roman" w:cs="Times New Roman" w:eastAsia="Times New Roman" w:hAnsi="Times New Roman"/>
          <w:b w:val="1"/>
          <w:bCs w:val="1"/>
          <w:sz w:val="22"/>
          <w:szCs w:val="22"/>
          <w:rtl w:val="0"/>
        </w:rPr>
        <w:t xml:space="preserve">Descripción As Is del dolor crítico DC3: contratación por canal digital</w:t>
      </w:r>
    </w:p>
    <w:p w:rsidR="00000000" w:rsidDel="00000000" w:rsidP="00000000" w:rsidRDefault="00000000" w:rsidRPr="00000000" w14:paraId="000004A3">
      <w:pPr>
        <w:spacing w:after="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Tabla 32</w:t>
      </w:r>
      <w:r w:rsidDel="00000000" w:rsidR="00000000" w:rsidRPr="00000000">
        <w:rPr>
          <w:rtl w:val="0"/>
        </w:rPr>
      </w:r>
    </w:p>
    <w:p w:rsidR="00000000" w:rsidDel="00000000" w:rsidP="00000000" w:rsidRDefault="00000000" w:rsidRPr="00000000" w14:paraId="000004A4">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Descripción As Is del DC3</w:t>
      </w:r>
      <w:r w:rsidDel="00000000" w:rsidR="00000000" w:rsidRPr="00000000">
        <w:rPr>
          <w:rtl w:val="0"/>
        </w:rPr>
      </w:r>
    </w:p>
    <w:tbl>
      <w:tblPr>
        <w:tblStyle w:val="Table32"/>
        <w:tblW w:w="9105.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2295"/>
        <w:gridCol w:w="6810"/>
        <w:tblGridChange w:id="0">
          <w:tblGrid>
            <w:gridCol w:w="2295"/>
            <w:gridCol w:w="6810"/>
          </w:tblGrid>
        </w:tblGridChange>
      </w:tblGrid>
      <w:tr>
        <w:trPr>
          <w:cantSplit w:val="0"/>
          <w:tblHeader w:val="1"/>
        </w:trPr>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4A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Dimensión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4A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Situación As Is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A7">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 involucrados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A8">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Cliente o no cliente interesado en contratar un producto; asistente Blue Buddy; personal de oficina que atiende los casos derivados. </w:t>
            </w:r>
            <w:r w:rsidDel="00000000" w:rsidR="00000000" w:rsidRPr="00000000">
              <w:rPr>
                <w:rFonts w:ascii="Times New Roman" w:cs="Times New Roman" w:eastAsia="Times New Roman" w:hAnsi="Times New Roman"/>
                <w:sz w:val="18"/>
                <w:szCs w:val="18"/>
                <w:rtl w:val="0"/>
              </w:rPr>
              <w:t xml:space="preserve">Tabla 17; Anexo A.</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A9">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Sistemas utilizados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AA">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 BBVA, web, simuladores, flujo digital de contratación (incluido el proceso íntegramente digital para no clientes lanzado a inicios de 2026), cajeros, agentes, Plin y QR. Tabla 17; A. Moquillaza, comunicación personal, 11 de setiembre de 2026.</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AB">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Canales de atención</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AC">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 BBVA (85 % de las operaciones monetarias), web, publicidad, oficina, contact center. Tabla 17; Banco BBVA Perú (</w:t>
            </w:r>
            <w:r w:rsidDel="00000000" w:rsidR="00000000" w:rsidRPr="00000000">
              <w:rPr>
                <w:rFonts w:ascii="Times New Roman" w:cs="Times New Roman" w:eastAsia="Times New Roman" w:hAnsi="Times New Roman"/>
                <w:sz w:val="18"/>
                <w:szCs w:val="18"/>
                <w:rtl w:val="0"/>
              </w:rPr>
              <w:t xml:space="preserve">2026f, p. 3</w:t>
            </w:r>
            <w:r w:rsidDel="00000000" w:rsidR="00000000" w:rsidRPr="00000000">
              <w:rPr>
                <w:rFonts w:ascii="Times New Roman" w:cs="Times New Roman" w:eastAsia="Times New Roman" w:hAnsi="Times New Roman"/>
                <w:sz w:val="18"/>
                <w:szCs w:val="18"/>
                <w:rtl w:val="0"/>
              </w:rPr>
              <w:t xml:space="preserve">).</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AD">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Actividades manuales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AE">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Derivación a oficina física cuando el sistema detiene el recorrido ante perfiles </w:t>
            </w:r>
            <w:r w:rsidDel="00000000" w:rsidR="00000000" w:rsidRPr="00000000">
              <w:rPr>
                <w:rFonts w:ascii="Times New Roman" w:cs="Times New Roman" w:eastAsia="Times New Roman" w:hAnsi="Times New Roman"/>
                <w:sz w:val="18"/>
                <w:szCs w:val="18"/>
                <w:rtl w:val="0"/>
              </w:rPr>
              <w:t xml:space="preserve">no contemplados: usuarios</w:t>
            </w:r>
            <w:r w:rsidDel="00000000" w:rsidR="00000000" w:rsidRPr="00000000">
              <w:rPr>
                <w:rFonts w:ascii="Times New Roman" w:cs="Times New Roman" w:eastAsia="Times New Roman" w:hAnsi="Times New Roman"/>
                <w:sz w:val="18"/>
                <w:szCs w:val="18"/>
                <w:rtl w:val="0"/>
              </w:rPr>
              <w:t xml:space="preserve"> menores de edad o con carné de extranjería; formalización presencial de esos casos. A. Moquillaza, comunicación personal, 11 de setiembre de 2026. Para extranjeros, el banco describe la ruta presencial como una secuencia de pasos: acercarse a la entidad, pasar por la entrevista, llenar formularios, hacer un depósito inicial si es requisito y esperar la activación de la cuenta (</w:t>
            </w:r>
            <w:r w:rsidDel="00000000" w:rsidR="00000000" w:rsidRPr="00000000">
              <w:rPr>
                <w:rFonts w:ascii="Times New Roman" w:cs="Times New Roman" w:eastAsia="Times New Roman" w:hAnsi="Times New Roman"/>
                <w:sz w:val="18"/>
                <w:szCs w:val="18"/>
                <w:rtl w:val="0"/>
              </w:rPr>
              <w:t xml:space="preserve">Banco BBVA Perú, s. f.-</w:t>
            </w:r>
            <w:r w:rsidDel="00000000" w:rsidR="00000000" w:rsidRPr="00000000">
              <w:rPr>
                <w:rFonts w:ascii="Times New Roman" w:cs="Times New Roman" w:eastAsia="Times New Roman" w:hAnsi="Times New Roman"/>
                <w:sz w:val="18"/>
                <w:szCs w:val="18"/>
                <w:rtl w:val="0"/>
              </w:rPr>
              <w:t xml:space="preserve">e</w:t>
            </w:r>
            <w:r w:rsidDel="00000000" w:rsidR="00000000" w:rsidRPr="00000000">
              <w:rPr>
                <w:rFonts w:ascii="Times New Roman" w:cs="Times New Roman" w:eastAsia="Times New Roman" w:hAnsi="Times New Roman"/>
                <w:sz w:val="18"/>
                <w:szCs w:val="18"/>
                <w:rtl w:val="0"/>
              </w:rPr>
              <w:t xml:space="preserve">).</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AF">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Tiempos promedio</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B0">
            <w:pPr>
              <w:spacing w:after="0" w:line="240" w:lineRule="auto"/>
              <w:jc w:val="both"/>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rtl w:val="0"/>
              </w:rPr>
              <w:t xml:space="preserve">Proceso 100 % digital para no clientes: menos de 5 minutos. Apertura de la cuenta digital para nuevos clientes: cuatro minutos (</w:t>
            </w:r>
            <w:r w:rsidDel="00000000" w:rsidR="00000000" w:rsidRPr="00000000">
              <w:rPr>
                <w:rFonts w:ascii="Times New Roman" w:cs="Times New Roman" w:eastAsia="Times New Roman" w:hAnsi="Times New Roman"/>
                <w:sz w:val="18"/>
                <w:szCs w:val="18"/>
                <w:rtl w:val="0"/>
              </w:rPr>
              <w:t xml:space="preserve">Banco BBVA Perú, 2026g, p. 25</w:t>
            </w:r>
            <w:r w:rsidDel="00000000" w:rsidR="00000000" w:rsidRPr="00000000">
              <w:rPr>
                <w:rFonts w:ascii="Times New Roman" w:cs="Times New Roman" w:eastAsia="Times New Roman" w:hAnsi="Times New Roman"/>
                <w:sz w:val="18"/>
                <w:szCs w:val="18"/>
                <w:rtl w:val="0"/>
              </w:rPr>
              <w:t xml:space="preserve">). A. Moquillaza, comunicación personal, 11 de setiembre de 2026. La entidad no publica el tiempo de la ruta derivada a oficina.</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B1">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Errores frecuentes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B2">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entidad no publica la tasa de abandono ni la de error de este flujo (véase la Tabla 25). Evidencia indirecta: el banco indica que la apertura digital puede completarse en pocos minutos «siempre que la validación de identidad sea exitosa» (</w:t>
            </w:r>
            <w:r w:rsidDel="00000000" w:rsidR="00000000" w:rsidRPr="00000000">
              <w:rPr>
                <w:rFonts w:ascii="Times New Roman" w:cs="Times New Roman" w:eastAsia="Times New Roman" w:hAnsi="Times New Roman"/>
                <w:sz w:val="18"/>
                <w:szCs w:val="18"/>
                <w:rtl w:val="0"/>
              </w:rPr>
              <w:t xml:space="preserve">Banco BBVA Perú, s. f.-</w:t>
            </w:r>
            <w:r w:rsidDel="00000000" w:rsidR="00000000" w:rsidRPr="00000000">
              <w:rPr>
                <w:rFonts w:ascii="Times New Roman" w:cs="Times New Roman" w:eastAsia="Times New Roman" w:hAnsi="Times New Roman"/>
                <w:sz w:val="18"/>
                <w:szCs w:val="18"/>
                <w:rtl w:val="0"/>
              </w:rPr>
              <w:t xml:space="preserve">b</w:t>
            </w:r>
            <w:r w:rsidDel="00000000" w:rsidR="00000000" w:rsidRPr="00000000">
              <w:rPr>
                <w:rFonts w:ascii="Times New Roman" w:cs="Times New Roman" w:eastAsia="Times New Roman" w:hAnsi="Times New Roman"/>
                <w:sz w:val="18"/>
                <w:szCs w:val="18"/>
                <w:rtl w:val="0"/>
              </w:rPr>
              <w:t xml:space="preserve">), lo que identifica esa validación como punto crítico del flujo, sin que se publique su tasa de falla.</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B3">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Costos asociados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B4">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entidad no publica el costo de adquisición por canal (véase la Tabla 25). Referencia propia de la entidad, cualitativa y de 2019: BBVA Perú estimó que, sin su transformación digital, habría tenido que abrir 40 agencias más, con los costos que ello implica, para captar al millón de clientes de los tres años previos, y que los canales digitales registraban índices de recomendación neta casi del doble que los canales tradicionales (BBVA, 2019).</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B5">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Indicadores actuales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4B6">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Penetración digital: 33 % en cuentas, 50 % en tarjetas de crédito, 54 % en préstamos de consumo y 93 % en cambio de moneda al 2T2026, con retroceso frente al cierre de 2025 en tres de los cuatro productos. Ventas digitales totales: 79.57 %. Banco BBVA Perú (</w:t>
            </w:r>
            <w:r w:rsidDel="00000000" w:rsidR="00000000" w:rsidRPr="00000000">
              <w:rPr>
                <w:rFonts w:ascii="Times New Roman" w:cs="Times New Roman" w:eastAsia="Times New Roman" w:hAnsi="Times New Roman"/>
                <w:sz w:val="18"/>
                <w:szCs w:val="18"/>
                <w:rtl w:val="0"/>
              </w:rPr>
              <w:t xml:space="preserve">2025, 2026f, p. 3</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detalle por producto en la Tabla 25 y en la sección 3.5</w:t>
            </w:r>
            <w:r w:rsidDel="00000000" w:rsidR="00000000" w:rsidRPr="00000000">
              <w:rPr>
                <w:rFonts w:ascii="Times New Roman" w:cs="Times New Roman" w:eastAsia="Times New Roman" w:hAnsi="Times New Roman"/>
                <w:sz w:val="18"/>
                <w:szCs w:val="18"/>
                <w:rtl w:val="0"/>
              </w:rPr>
              <w:t xml:space="preserve">.</w:t>
            </w:r>
          </w:p>
        </w:tc>
      </w:tr>
    </w:tbl>
    <w:p w:rsidR="00000000" w:rsidDel="00000000" w:rsidP="00000000" w:rsidRDefault="00000000" w:rsidRPr="00000000" w14:paraId="000004B7">
      <w:pPr>
        <w:spacing w:after="220" w:before="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las fuentes citadas en cada celda; los vacíos de información se declaran de forma explícita conforme al criterio de evidencia de la </w:t>
      </w:r>
      <w:r w:rsidDel="00000000" w:rsidR="00000000" w:rsidRPr="00000000">
        <w:rPr>
          <w:rFonts w:ascii="Times New Roman" w:cs="Times New Roman" w:eastAsia="Times New Roman" w:hAnsi="Times New Roman"/>
          <w:rtl w:val="0"/>
        </w:rPr>
        <w:t xml:space="preserve">sección 3.1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B8">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los tres dolores, los de originación de crédito Pyme (DC1) y de contratación digital (DC3) comparten el mismo tipo de vacío: ninguno cuenta con línea base pública de tiempos ni de costos para su ruta asistida o derivada, porque esa información corresponde a gestión interna que la entidad no publica en sus reportes al mercado, la misma limitación ya declarada en la sección 4.4. El dolor de operaciones no reconocidas (DC2) es el único de los tres que cuenta con una línea base pública completa de tiempos e indicadores de volumen, por derivar de un reporte regulatorio de periodicidad mensual.</w:t>
      </w:r>
    </w:p>
    <w:p w:rsidR="00000000" w:rsidDel="00000000" w:rsidP="00000000" w:rsidRDefault="00000000" w:rsidRPr="00000000" w14:paraId="000004B9">
      <w:pPr>
        <w:pStyle w:val="Heading1"/>
        <w:numPr>
          <w:ilvl w:val="0"/>
          <w:numId w:val="1"/>
        </w:numPr>
        <w:ind w:left="566.9291338582675" w:hanging="360"/>
        <w:rPr>
          <w:rFonts w:ascii="Times New Roman" w:cs="Times New Roman" w:eastAsia="Times New Roman" w:hAnsi="Times New Roman"/>
          <w:b w:val="1"/>
          <w:bCs w:val="1"/>
        </w:rPr>
      </w:pPr>
      <w:bookmarkStart w:colFirst="0" w:colLast="0" w:name="_heading=h.ange4ffppmsn" w:id="39"/>
      <w:bookmarkEnd w:id="39"/>
      <w:r w:rsidDel="00000000" w:rsidR="00000000" w:rsidRPr="00000000">
        <w:rPr>
          <w:rFonts w:ascii="Times New Roman" w:cs="Times New Roman" w:eastAsia="Times New Roman" w:hAnsi="Times New Roman"/>
          <w:b w:val="1"/>
          <w:bCs w:val="1"/>
          <w:sz w:val="22"/>
          <w:szCs w:val="22"/>
          <w:rtl w:val="0"/>
        </w:rPr>
        <w:t xml:space="preserve">Referencias bibliográficas</w:t>
      </w:r>
      <w:r w:rsidDel="00000000" w:rsidR="00000000" w:rsidRPr="00000000">
        <w:rPr>
          <w:rtl w:val="0"/>
        </w:rPr>
      </w:r>
    </w:p>
    <w:p w:rsidR="00000000" w:rsidDel="00000000" w:rsidP="00000000" w:rsidRDefault="00000000" w:rsidRPr="00000000" w14:paraId="000004BA">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Alarcón, L. (2023, 27 de agosto). Robos digitales: las millonarias multas a los bancos por consumos no reconocidos. </w:t>
      </w:r>
      <w:r w:rsidDel="00000000" w:rsidR="00000000" w:rsidRPr="00000000">
        <w:rPr>
          <w:rFonts w:ascii="Times New Roman" w:cs="Times New Roman" w:eastAsia="Times New Roman" w:hAnsi="Times New Roman"/>
          <w:i w:val="1"/>
          <w:iCs w:val="1"/>
          <w:rtl w:val="0"/>
        </w:rPr>
        <w:t xml:space="preserve">Ojo Público</w:t>
      </w:r>
      <w:r w:rsidDel="00000000" w:rsidR="00000000" w:rsidRPr="00000000">
        <w:rPr>
          <w:rFonts w:ascii="Times New Roman" w:cs="Times New Roman" w:eastAsia="Times New Roman" w:hAnsi="Times New Roman"/>
          <w:rtl w:val="0"/>
        </w:rPr>
        <w:t xml:space="preserve">. </w:t>
      </w:r>
      <w:hyperlink r:id="rId14">
        <w:r w:rsidDel="00000000" w:rsidR="00000000" w:rsidRPr="00000000">
          <w:rPr>
            <w:rFonts w:ascii="Times New Roman" w:cs="Times New Roman" w:eastAsia="Times New Roman" w:hAnsi="Times New Roman"/>
            <w:color w:val="1155cc"/>
            <w:u w:val="single"/>
            <w:rtl w:val="0"/>
          </w:rPr>
          <w:t xml:space="preserve">https://ojo-publico.com/4559/las-millonarias-multas-los-bancos-por-consumos-no-reconocidos</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BB">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Andina. (2025, 16 de abril). Indecopi: sistema financiero concentra 90 % de sanciones por operaciones no reconocidas. </w:t>
      </w:r>
      <w:r w:rsidDel="00000000" w:rsidR="00000000" w:rsidRPr="00000000">
        <w:rPr>
          <w:rFonts w:ascii="Times New Roman" w:cs="Times New Roman" w:eastAsia="Times New Roman" w:hAnsi="Times New Roman"/>
          <w:i w:val="1"/>
          <w:iCs w:val="1"/>
          <w:rtl w:val="0"/>
        </w:rPr>
        <w:t xml:space="preserve">Agencia Peruana de Noticias Andina</w:t>
      </w:r>
      <w:r w:rsidDel="00000000" w:rsidR="00000000" w:rsidRPr="00000000">
        <w:rPr>
          <w:rFonts w:ascii="Times New Roman" w:cs="Times New Roman" w:eastAsia="Times New Roman" w:hAnsi="Times New Roman"/>
          <w:rtl w:val="0"/>
        </w:rPr>
        <w:t xml:space="preserve">. </w:t>
      </w:r>
      <w:hyperlink r:id="rId15">
        <w:r w:rsidDel="00000000" w:rsidR="00000000" w:rsidRPr="00000000">
          <w:rPr>
            <w:rFonts w:ascii="Times New Roman" w:cs="Times New Roman" w:eastAsia="Times New Roman" w:hAnsi="Times New Roman"/>
            <w:i w:val="0"/>
            <w:iCs w:val="0"/>
            <w:color w:val="1155cc"/>
            <w:u w:val="single"/>
            <w:rtl w:val="0"/>
          </w:rPr>
          <w:t xml:space="preserve">https://andina.pe/agencia/noticia-indecopi-sistema-financiero-concentra-90-sanciones-operaciones-no-reconocidas-1026373.aspx</w:t>
        </w:r>
      </w:hyperlink>
      <w:r w:rsidDel="00000000" w:rsidR="00000000" w:rsidRPr="00000000">
        <w:rPr>
          <w:rtl w:val="0"/>
        </w:rPr>
      </w:r>
    </w:p>
    <w:p w:rsidR="00000000" w:rsidDel="00000000" w:rsidP="00000000" w:rsidRDefault="00000000" w:rsidRPr="00000000" w14:paraId="000004BC">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Backbase. (2026, 26 de mayo). </w:t>
      </w:r>
      <w:r w:rsidDel="00000000" w:rsidR="00000000" w:rsidRPr="00000000">
        <w:rPr>
          <w:rFonts w:ascii="Times New Roman" w:cs="Times New Roman" w:eastAsia="Times New Roman" w:hAnsi="Times New Roman"/>
          <w:i w:val="1"/>
          <w:iCs w:val="1"/>
          <w:rtl w:val="0"/>
        </w:rPr>
        <w:t xml:space="preserve">AI banking dispute resolution automation</w:t>
      </w:r>
      <w:r w:rsidDel="00000000" w:rsidR="00000000" w:rsidRPr="00000000">
        <w:rPr>
          <w:rFonts w:ascii="Times New Roman" w:cs="Times New Roman" w:eastAsia="Times New Roman" w:hAnsi="Times New Roman"/>
          <w:rtl w:val="0"/>
        </w:rPr>
        <w:t xml:space="preserve">. </w:t>
      </w:r>
      <w:hyperlink r:id="rId16">
        <w:r w:rsidDel="00000000" w:rsidR="00000000" w:rsidRPr="00000000">
          <w:rPr>
            <w:rFonts w:ascii="Times New Roman" w:cs="Times New Roman" w:eastAsia="Times New Roman" w:hAnsi="Times New Roman"/>
            <w:color w:val="1155cc"/>
            <w:u w:val="single"/>
            <w:rtl w:val="0"/>
          </w:rPr>
          <w:t xml:space="preserve">https://www.backbase.com/blog/ai-banking-dispute-resolution-automation</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BD">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r w:rsidDel="00000000" w:rsidR="00000000" w:rsidRPr="00000000">
        <w:rPr>
          <w:rFonts w:ascii="Times New Roman" w:cs="Times New Roman" w:eastAsia="Times New Roman" w:hAnsi="Times New Roman"/>
          <w:rtl w:val="0"/>
        </w:rPr>
        <w:t xml:space="preserve">s. f.-a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Abrir Cuenta digital desde App</w:t>
      </w:r>
      <w:r w:rsidDel="00000000" w:rsidR="00000000" w:rsidRPr="00000000">
        <w:rPr>
          <w:rFonts w:ascii="Times New Roman" w:cs="Times New Roman" w:eastAsia="Times New Roman" w:hAnsi="Times New Roman"/>
          <w:rtl w:val="0"/>
        </w:rPr>
        <w:t xml:space="preserve">. Recuperado el 26 de setiembre de 2026, de </w:t>
      </w:r>
      <w:hyperlink r:id="rId17">
        <w:r w:rsidDel="00000000" w:rsidR="00000000" w:rsidRPr="00000000">
          <w:rPr>
            <w:rFonts w:ascii="Times New Roman" w:cs="Times New Roman" w:eastAsia="Times New Roman" w:hAnsi="Times New Roman"/>
            <w:color w:val="1155cc"/>
            <w:u w:val="single"/>
            <w:rtl w:val="0"/>
          </w:rPr>
          <w:t xml:space="preserve">https://www.bbva.pe/personas/productos/cuentas/ahorro/cuenta-digital/abrir-cuenta-app.html</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BE">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r w:rsidDel="00000000" w:rsidR="00000000" w:rsidRPr="00000000">
        <w:rPr>
          <w:rFonts w:ascii="Times New Roman" w:cs="Times New Roman" w:eastAsia="Times New Roman" w:hAnsi="Times New Roman"/>
          <w:rtl w:val="0"/>
        </w:rPr>
        <w:t xml:space="preserve">s. f.-b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Abrir cuenta joven BBVA paso a paso</w:t>
      </w:r>
      <w:r w:rsidDel="00000000" w:rsidR="00000000" w:rsidRPr="00000000">
        <w:rPr>
          <w:rFonts w:ascii="Times New Roman" w:cs="Times New Roman" w:eastAsia="Times New Roman" w:hAnsi="Times New Roman"/>
          <w:rtl w:val="0"/>
        </w:rPr>
        <w:t xml:space="preserve">. Recuperado el 26 de setiembre de 2026, de </w:t>
      </w:r>
      <w:hyperlink r:id="rId18">
        <w:r w:rsidDel="00000000" w:rsidR="00000000" w:rsidRPr="00000000">
          <w:rPr>
            <w:rFonts w:ascii="Times New Roman" w:cs="Times New Roman" w:eastAsia="Times New Roman" w:hAnsi="Times New Roman"/>
            <w:color w:val="1155cc"/>
            <w:u w:val="single"/>
            <w:rtl w:val="0"/>
          </w:rPr>
          <w:t xml:space="preserve">https://www.bbva.pe/blog/mis-finanzas/ahorro/abrir-cuenta-joven-bbva-peru.html</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BF">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r w:rsidDel="00000000" w:rsidR="00000000" w:rsidRPr="00000000">
        <w:rPr>
          <w:rFonts w:ascii="Times New Roman" w:cs="Times New Roman" w:eastAsia="Times New Roman" w:hAnsi="Times New Roman"/>
          <w:rtl w:val="0"/>
        </w:rPr>
        <w:t xml:space="preserve">s. f.-c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Anticipo POS</w:t>
      </w:r>
      <w:r w:rsidDel="00000000" w:rsidR="00000000" w:rsidRPr="00000000">
        <w:rPr>
          <w:rFonts w:ascii="Times New Roman" w:cs="Times New Roman" w:eastAsia="Times New Roman" w:hAnsi="Times New Roman"/>
          <w:rtl w:val="0"/>
        </w:rPr>
        <w:t xml:space="preserve">. Recuperado el 26 de setiembre de 2026, de </w:t>
      </w:r>
      <w:hyperlink r:id="rId19">
        <w:r w:rsidDel="00000000" w:rsidR="00000000" w:rsidRPr="00000000">
          <w:rPr>
            <w:rFonts w:ascii="Times New Roman" w:cs="Times New Roman" w:eastAsia="Times New Roman" w:hAnsi="Times New Roman"/>
            <w:color w:val="1155cc"/>
            <w:u w:val="single"/>
            <w:rtl w:val="0"/>
          </w:rPr>
          <w:t xml:space="preserve">https://www.bbva.pe/empresas/productos/financiamiento/prestamos-comerciales/anticipo-pos.html</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C0">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Banco BBVA Perú. (</w:t>
      </w:r>
      <w:r w:rsidDel="00000000" w:rsidR="00000000" w:rsidRPr="00000000">
        <w:rPr>
          <w:rFonts w:ascii="Times New Roman" w:cs="Times New Roman" w:eastAsia="Times New Roman" w:hAnsi="Times New Roman"/>
          <w:rtl w:val="0"/>
        </w:rPr>
        <w:t xml:space="preserve">s. f.-d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Cuenta de ahorros</w:t>
      </w:r>
      <w:r w:rsidDel="00000000" w:rsidR="00000000" w:rsidRPr="00000000">
        <w:rPr>
          <w:rFonts w:ascii="Times New Roman" w:cs="Times New Roman" w:eastAsia="Times New Roman" w:hAnsi="Times New Roman"/>
          <w:rtl w:val="0"/>
        </w:rPr>
        <w:t xml:space="preserve">. Recuperado el 12 de setiembre de 2026, de </w:t>
      </w:r>
      <w:hyperlink r:id="rId20">
        <w:r w:rsidDel="00000000" w:rsidR="00000000" w:rsidRPr="00000000">
          <w:rPr>
            <w:rFonts w:ascii="Times New Roman" w:cs="Times New Roman" w:eastAsia="Times New Roman" w:hAnsi="Times New Roman"/>
            <w:color w:val="1155cc"/>
            <w:u w:val="single"/>
            <w:rtl w:val="0"/>
          </w:rPr>
          <w:t xml:space="preserve">https://www.bbva.pe/personas/productos/cuentas/ahorro.html</w:t>
        </w:r>
      </w:hyperlink>
      <w:r w:rsidDel="00000000" w:rsidR="00000000" w:rsidRPr="00000000">
        <w:rPr>
          <w:rtl w:val="0"/>
        </w:rPr>
      </w:r>
    </w:p>
    <w:p w:rsidR="00000000" w:rsidDel="00000000" w:rsidP="00000000" w:rsidRDefault="00000000" w:rsidRPr="00000000" w14:paraId="000004C1">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r w:rsidDel="00000000" w:rsidR="00000000" w:rsidRPr="00000000">
        <w:rPr>
          <w:rFonts w:ascii="Times New Roman" w:cs="Times New Roman" w:eastAsia="Times New Roman" w:hAnsi="Times New Roman"/>
          <w:rtl w:val="0"/>
        </w:rPr>
        <w:t xml:space="preserve">s. f.-e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Cuentas bancarias para ciudadanos extranjeros</w:t>
      </w:r>
      <w:r w:rsidDel="00000000" w:rsidR="00000000" w:rsidRPr="00000000">
        <w:rPr>
          <w:rFonts w:ascii="Times New Roman" w:cs="Times New Roman" w:eastAsia="Times New Roman" w:hAnsi="Times New Roman"/>
          <w:rtl w:val="0"/>
        </w:rPr>
        <w:t xml:space="preserve">. Recuperado el 26 de setiembre de 2026, de </w:t>
      </w:r>
      <w:hyperlink r:id="rId21">
        <w:r w:rsidDel="00000000" w:rsidR="00000000" w:rsidRPr="00000000">
          <w:rPr>
            <w:rFonts w:ascii="Times New Roman" w:cs="Times New Roman" w:eastAsia="Times New Roman" w:hAnsi="Times New Roman"/>
            <w:color w:val="1155cc"/>
            <w:u w:val="single"/>
            <w:rtl w:val="0"/>
          </w:rPr>
          <w:t xml:space="preserve">https://www.bbva.pe/blog/mis-finanzas/ahorro/cuentas-bancarias-para-ciudadanos-extranjeros.html</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C2">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r w:rsidDel="00000000" w:rsidR="00000000" w:rsidRPr="00000000">
        <w:rPr>
          <w:rFonts w:ascii="Times New Roman" w:cs="Times New Roman" w:eastAsia="Times New Roman" w:hAnsi="Times New Roman"/>
          <w:rtl w:val="0"/>
        </w:rPr>
        <w:t xml:space="preserve">s. f.-f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Estado de tu caso</w:t>
      </w:r>
      <w:r w:rsidDel="00000000" w:rsidR="00000000" w:rsidRPr="00000000">
        <w:rPr>
          <w:rFonts w:ascii="Times New Roman" w:cs="Times New Roman" w:eastAsia="Times New Roman" w:hAnsi="Times New Roman"/>
          <w:rtl w:val="0"/>
        </w:rPr>
        <w:t xml:space="preserve">. Recuperado el 26 de setiembre de 2026, de </w:t>
      </w:r>
      <w:hyperlink r:id="rId22">
        <w:r w:rsidDel="00000000" w:rsidR="00000000" w:rsidRPr="00000000">
          <w:rPr>
            <w:rFonts w:ascii="Times New Roman" w:cs="Times New Roman" w:eastAsia="Times New Roman" w:hAnsi="Times New Roman"/>
            <w:color w:val="1155cc"/>
            <w:u w:val="single"/>
            <w:rtl w:val="0"/>
          </w:rPr>
          <w:t xml:space="preserve">https://www.bbva.pe/personas/sos-cliente/consulta-de-reclamos.html</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C3">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Banco BBVA Perú. (</w:t>
      </w:r>
      <w:r w:rsidDel="00000000" w:rsidR="00000000" w:rsidRPr="00000000">
        <w:rPr>
          <w:rFonts w:ascii="Times New Roman" w:cs="Times New Roman" w:eastAsia="Times New Roman" w:hAnsi="Times New Roman"/>
          <w:rtl w:val="0"/>
        </w:rPr>
        <w:t xml:space="preserve">s. f.-g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Fast Cash</w:t>
      </w:r>
      <w:r w:rsidDel="00000000" w:rsidR="00000000" w:rsidRPr="00000000">
        <w:rPr>
          <w:rFonts w:ascii="Times New Roman" w:cs="Times New Roman" w:eastAsia="Times New Roman" w:hAnsi="Times New Roman"/>
          <w:rtl w:val="0"/>
        </w:rPr>
        <w:t xml:space="preserve">. Recuperado el 12 de setiembre de 2026, de </w:t>
      </w:r>
      <w:hyperlink r:id="rId23">
        <w:r w:rsidDel="00000000" w:rsidR="00000000" w:rsidRPr="00000000">
          <w:rPr>
            <w:rFonts w:ascii="Times New Roman" w:cs="Times New Roman" w:eastAsia="Times New Roman" w:hAnsi="Times New Roman"/>
            <w:color w:val="1155cc"/>
            <w:u w:val="single"/>
            <w:rtl w:val="0"/>
          </w:rPr>
          <w:t xml:space="preserve">https://www.bbva.pe/pymes/productos/financiamiento/fast-cash.html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C4">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r w:rsidDel="00000000" w:rsidR="00000000" w:rsidRPr="00000000">
        <w:rPr>
          <w:rFonts w:ascii="Times New Roman" w:cs="Times New Roman" w:eastAsia="Times New Roman" w:hAnsi="Times New Roman"/>
          <w:rtl w:val="0"/>
        </w:rPr>
        <w:t xml:space="preserve">s. f.-h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Línea de Préstamo Comercial Negocios</w:t>
      </w:r>
      <w:r w:rsidDel="00000000" w:rsidR="00000000" w:rsidRPr="00000000">
        <w:rPr>
          <w:rFonts w:ascii="Times New Roman" w:cs="Times New Roman" w:eastAsia="Times New Roman" w:hAnsi="Times New Roman"/>
          <w:rtl w:val="0"/>
        </w:rPr>
        <w:t xml:space="preserve">. Recuperado el 26 de setiembre de 2026, de </w:t>
      </w:r>
      <w:hyperlink r:id="rId24">
        <w:r w:rsidDel="00000000" w:rsidR="00000000" w:rsidRPr="00000000">
          <w:rPr>
            <w:rFonts w:ascii="Times New Roman" w:cs="Times New Roman" w:eastAsia="Times New Roman" w:hAnsi="Times New Roman"/>
            <w:color w:val="1155cc"/>
            <w:u w:val="single"/>
            <w:rtl w:val="0"/>
          </w:rPr>
          <w:t xml:space="preserve">https://www.bbva.pe/empresas/productos/financiamiento/prestamos-comerciales/linea-negocios.html</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C5">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r w:rsidDel="00000000" w:rsidR="00000000" w:rsidRPr="00000000">
        <w:rPr>
          <w:rFonts w:ascii="Times New Roman" w:cs="Times New Roman" w:eastAsia="Times New Roman" w:hAnsi="Times New Roman"/>
          <w:rtl w:val="0"/>
        </w:rPr>
        <w:t xml:space="preserve">s. f.-i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Línea de Préstamo Digital</w:t>
      </w:r>
      <w:r w:rsidDel="00000000" w:rsidR="00000000" w:rsidRPr="00000000">
        <w:rPr>
          <w:rFonts w:ascii="Times New Roman" w:cs="Times New Roman" w:eastAsia="Times New Roman" w:hAnsi="Times New Roman"/>
          <w:rtl w:val="0"/>
        </w:rPr>
        <w:t xml:space="preserve">. Recuperado el 26 de setiembre de 2026, de </w:t>
      </w:r>
      <w:hyperlink r:id="rId25">
        <w:r w:rsidDel="00000000" w:rsidR="00000000" w:rsidRPr="00000000">
          <w:rPr>
            <w:rFonts w:ascii="Times New Roman" w:cs="Times New Roman" w:eastAsia="Times New Roman" w:hAnsi="Times New Roman"/>
            <w:color w:val="1155cc"/>
            <w:u w:val="single"/>
            <w:rtl w:val="0"/>
          </w:rPr>
          <w:t xml:space="preserve">https://www.bbva.pe/empresas/productos/financiamiento/prestamos-comerciales/linea-de-prestamo-digital.html</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C6">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r w:rsidDel="00000000" w:rsidR="00000000" w:rsidRPr="00000000">
        <w:rPr>
          <w:rFonts w:ascii="Times New Roman" w:cs="Times New Roman" w:eastAsia="Times New Roman" w:hAnsi="Times New Roman"/>
          <w:rtl w:val="0"/>
        </w:rPr>
        <w:t xml:space="preserve">s. f.-j</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Línea Préstamo Digital Persona Jurídica</w:t>
      </w:r>
      <w:r w:rsidDel="00000000" w:rsidR="00000000" w:rsidRPr="00000000">
        <w:rPr>
          <w:rFonts w:ascii="Times New Roman" w:cs="Times New Roman" w:eastAsia="Times New Roman" w:hAnsi="Times New Roman"/>
          <w:rtl w:val="0"/>
        </w:rPr>
        <w:t xml:space="preserve">. Recuperado el 26 de setiembre de 2026, de </w:t>
      </w:r>
      <w:hyperlink r:id="rId26">
        <w:r w:rsidDel="00000000" w:rsidR="00000000" w:rsidRPr="00000000">
          <w:rPr>
            <w:rFonts w:ascii="Times New Roman" w:cs="Times New Roman" w:eastAsia="Times New Roman" w:hAnsi="Times New Roman"/>
            <w:color w:val="1155cc"/>
            <w:u w:val="single"/>
            <w:rtl w:val="0"/>
          </w:rPr>
          <w:t xml:space="preserve">https://www.bbva.pe/empresas/productos/financiamiento/prestamos-comerciales/linea-prestamo-digital-persona-juridica.html</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C7">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r w:rsidDel="00000000" w:rsidR="00000000" w:rsidRPr="00000000">
        <w:rPr>
          <w:rFonts w:ascii="Times New Roman" w:cs="Times New Roman" w:eastAsia="Times New Roman" w:hAnsi="Times New Roman"/>
          <w:rtl w:val="0"/>
        </w:rPr>
        <w:t xml:space="preserve">s. f.-k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Preguntas frecuentes sobre cuentas de ahorro</w:t>
      </w:r>
      <w:r w:rsidDel="00000000" w:rsidR="00000000" w:rsidRPr="00000000">
        <w:rPr>
          <w:rFonts w:ascii="Times New Roman" w:cs="Times New Roman" w:eastAsia="Times New Roman" w:hAnsi="Times New Roman"/>
          <w:rtl w:val="0"/>
        </w:rPr>
        <w:t xml:space="preserve">. Recuperado el 26 de setiembre de 2026, de </w:t>
      </w:r>
      <w:hyperlink r:id="rId27">
        <w:r w:rsidDel="00000000" w:rsidR="00000000" w:rsidRPr="00000000">
          <w:rPr>
            <w:rFonts w:ascii="Times New Roman" w:cs="Times New Roman" w:eastAsia="Times New Roman" w:hAnsi="Times New Roman"/>
            <w:color w:val="1155cc"/>
            <w:u w:val="single"/>
            <w:rtl w:val="0"/>
          </w:rPr>
          <w:t xml:space="preserve">https://www.bbva.pe/personas/productos/cuentas/ahorro/preguntas-frecuentes-sobre-cuentas-de-ahorro.html</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C8">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Banco BBVA Perú. (</w:t>
      </w:r>
      <w:r w:rsidDel="00000000" w:rsidR="00000000" w:rsidRPr="00000000">
        <w:rPr>
          <w:rFonts w:ascii="Times New Roman" w:cs="Times New Roman" w:eastAsia="Times New Roman" w:hAnsi="Times New Roman"/>
          <w:rtl w:val="0"/>
        </w:rPr>
        <w:t xml:space="preserve">s. f.-l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Préstamo digital negocio</w:t>
      </w:r>
      <w:r w:rsidDel="00000000" w:rsidR="00000000" w:rsidRPr="00000000">
        <w:rPr>
          <w:rFonts w:ascii="Times New Roman" w:cs="Times New Roman" w:eastAsia="Times New Roman" w:hAnsi="Times New Roman"/>
          <w:rtl w:val="0"/>
        </w:rPr>
        <w:t xml:space="preserve">. Recuperado el 12 de setiembre de 2026, de </w:t>
      </w:r>
      <w:hyperlink r:id="rId28">
        <w:r w:rsidDel="00000000" w:rsidR="00000000" w:rsidRPr="00000000">
          <w:rPr>
            <w:rFonts w:ascii="Times New Roman" w:cs="Times New Roman" w:eastAsia="Times New Roman" w:hAnsi="Times New Roman"/>
            <w:color w:val="1155cc"/>
            <w:u w:val="single"/>
            <w:rtl w:val="0"/>
          </w:rPr>
          <w:t xml:space="preserve">https://www.bbva.pe/pymes/productos/financiamiento/prestamo-digital-negocio.html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C9">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r w:rsidDel="00000000" w:rsidR="00000000" w:rsidRPr="00000000">
        <w:rPr>
          <w:rFonts w:ascii="Times New Roman" w:cs="Times New Roman" w:eastAsia="Times New Roman" w:hAnsi="Times New Roman"/>
          <w:rtl w:val="0"/>
        </w:rPr>
        <w:t xml:space="preserve">s. f.-m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Préstamos Comerciales Negocios y Empresas</w:t>
      </w:r>
      <w:r w:rsidDel="00000000" w:rsidR="00000000" w:rsidRPr="00000000">
        <w:rPr>
          <w:rFonts w:ascii="Times New Roman" w:cs="Times New Roman" w:eastAsia="Times New Roman" w:hAnsi="Times New Roman"/>
          <w:rtl w:val="0"/>
        </w:rPr>
        <w:t xml:space="preserve">. Recuperado el 26 de setiembre de 2026, de </w:t>
      </w:r>
      <w:hyperlink r:id="rId29">
        <w:r w:rsidDel="00000000" w:rsidR="00000000" w:rsidRPr="00000000">
          <w:rPr>
            <w:rFonts w:ascii="Times New Roman" w:cs="Times New Roman" w:eastAsia="Times New Roman" w:hAnsi="Times New Roman"/>
            <w:color w:val="1155cc"/>
            <w:u w:val="single"/>
            <w:rtl w:val="0"/>
          </w:rPr>
          <w:t xml:space="preserve">https://www.bbva.pe/empresas/productos/financiamiento/prestamos-comerciales/negocios-empresas.html</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CA">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Banco BBVA Perú. (2025). </w:t>
      </w:r>
      <w:r w:rsidDel="00000000" w:rsidR="00000000" w:rsidRPr="00000000">
        <w:rPr>
          <w:rFonts w:ascii="Times New Roman" w:cs="Times New Roman" w:eastAsia="Times New Roman" w:hAnsi="Times New Roman"/>
          <w:i w:val="1"/>
          <w:iCs w:val="1"/>
          <w:rtl w:val="0"/>
        </w:rPr>
        <w:t xml:space="preserve">Informe de gerencia: Cuarto trimestre 2025</w:t>
      </w:r>
      <w:r w:rsidDel="00000000" w:rsidR="00000000" w:rsidRPr="00000000">
        <w:rPr>
          <w:rFonts w:ascii="Times New Roman" w:cs="Times New Roman" w:eastAsia="Times New Roman" w:hAnsi="Times New Roman"/>
          <w:rtl w:val="0"/>
        </w:rPr>
        <w:t xml:space="preserve">. </w:t>
      </w:r>
      <w:hyperlink r:id="rId30">
        <w:r w:rsidDel="00000000" w:rsidR="00000000" w:rsidRPr="00000000">
          <w:rPr>
            <w:rFonts w:ascii="Times New Roman" w:cs="Times New Roman" w:eastAsia="Times New Roman" w:hAnsi="Times New Roman"/>
            <w:color w:val="1155cc"/>
            <w:u w:val="single"/>
            <w:rtl w:val="0"/>
          </w:rPr>
          <w:t xml:space="preserve">https://www.bbva.pe/content/dam/public-web/peru/documents/personas/investor-relations/BBVA_Peru_Informe_de_Gestion_4Q25.pdf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CB">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Banco BBVA Perú. (</w:t>
      </w:r>
      <w:r w:rsidDel="00000000" w:rsidR="00000000" w:rsidRPr="00000000">
        <w:rPr>
          <w:rFonts w:ascii="Times New Roman" w:cs="Times New Roman" w:eastAsia="Times New Roman" w:hAnsi="Times New Roman"/>
          <w:rtl w:val="0"/>
        </w:rPr>
        <w:t xml:space="preserve">2026a</w:t>
      </w:r>
      <w:r w:rsidDel="00000000" w:rsidR="00000000" w:rsidRPr="00000000">
        <w:rPr>
          <w:rFonts w:ascii="Times New Roman" w:cs="Times New Roman" w:eastAsia="Times New Roman" w:hAnsi="Times New Roman"/>
          <w:rtl w:val="0"/>
        </w:rPr>
        <w:t xml:space="preserve">, abril). </w:t>
      </w:r>
      <w:r w:rsidDel="00000000" w:rsidR="00000000" w:rsidRPr="00000000">
        <w:rPr>
          <w:rFonts w:ascii="Times New Roman" w:cs="Times New Roman" w:eastAsia="Times New Roman" w:hAnsi="Times New Roman"/>
          <w:i w:val="1"/>
          <w:iCs w:val="1"/>
          <w:rtl w:val="0"/>
        </w:rPr>
        <w:t xml:space="preserve">Información de reclamos atendidos: Periodo del 1 al 30 de abril de 2026</w:t>
      </w:r>
      <w:r w:rsidDel="00000000" w:rsidR="00000000" w:rsidRPr="00000000">
        <w:rPr>
          <w:rFonts w:ascii="Times New Roman" w:cs="Times New Roman" w:eastAsia="Times New Roman" w:hAnsi="Times New Roman"/>
          <w:rtl w:val="0"/>
        </w:rPr>
        <w:t xml:space="preserve">. </w:t>
      </w:r>
      <w:hyperlink r:id="rId31">
        <w:r w:rsidDel="00000000" w:rsidR="00000000" w:rsidRPr="00000000">
          <w:rPr>
            <w:rFonts w:ascii="Times New Roman" w:cs="Times New Roman" w:eastAsia="Times New Roman" w:hAnsi="Times New Roman"/>
            <w:color w:val="1155cc"/>
            <w:u w:val="single"/>
            <w:rtl w:val="0"/>
          </w:rPr>
          <w:t xml:space="preserve">https://www.bbva.pe/content/dam/public-web/peru/documents/personas/informacion-reclamos-atendidos-abril-2026.pdf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CC">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Banco BBVA Perú. (</w:t>
      </w:r>
      <w:r w:rsidDel="00000000" w:rsidR="00000000" w:rsidRPr="00000000">
        <w:rPr>
          <w:rFonts w:ascii="Times New Roman" w:cs="Times New Roman" w:eastAsia="Times New Roman" w:hAnsi="Times New Roman"/>
          <w:rtl w:val="0"/>
        </w:rPr>
        <w:t xml:space="preserve">2026b</w:t>
      </w:r>
      <w:r w:rsidDel="00000000" w:rsidR="00000000" w:rsidRPr="00000000">
        <w:rPr>
          <w:rFonts w:ascii="Times New Roman" w:cs="Times New Roman" w:eastAsia="Times New Roman" w:hAnsi="Times New Roman"/>
          <w:rtl w:val="0"/>
        </w:rPr>
        <w:t xml:space="preserve">, mayo). </w:t>
      </w:r>
      <w:r w:rsidDel="00000000" w:rsidR="00000000" w:rsidRPr="00000000">
        <w:rPr>
          <w:rFonts w:ascii="Times New Roman" w:cs="Times New Roman" w:eastAsia="Times New Roman" w:hAnsi="Times New Roman"/>
          <w:i w:val="1"/>
          <w:iCs w:val="1"/>
          <w:rtl w:val="0"/>
        </w:rPr>
        <w:t xml:space="preserve">Información de reclamos atendidos: Periodo del 1 al 31 de mayo de 2026</w:t>
      </w:r>
      <w:r w:rsidDel="00000000" w:rsidR="00000000" w:rsidRPr="00000000">
        <w:rPr>
          <w:rFonts w:ascii="Times New Roman" w:cs="Times New Roman" w:eastAsia="Times New Roman" w:hAnsi="Times New Roman"/>
          <w:rtl w:val="0"/>
        </w:rPr>
        <w:t xml:space="preserve">. </w:t>
      </w:r>
      <w:hyperlink r:id="rId32">
        <w:r w:rsidDel="00000000" w:rsidR="00000000" w:rsidRPr="00000000">
          <w:rPr>
            <w:rFonts w:ascii="Times New Roman" w:cs="Times New Roman" w:eastAsia="Times New Roman" w:hAnsi="Times New Roman"/>
            <w:color w:val="1155cc"/>
            <w:u w:val="single"/>
            <w:rtl w:val="0"/>
          </w:rPr>
          <w:t xml:space="preserve">https://www.bbva.pe/content/dam/public-web/peru/documents/personas/Informacion_de_Reclamos_Atendidos_Mayo_2026.pdf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CD">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Banco BBVA Perú. (</w:t>
      </w:r>
      <w:r w:rsidDel="00000000" w:rsidR="00000000" w:rsidRPr="00000000">
        <w:rPr>
          <w:rFonts w:ascii="Times New Roman" w:cs="Times New Roman" w:eastAsia="Times New Roman" w:hAnsi="Times New Roman"/>
          <w:rtl w:val="0"/>
        </w:rPr>
        <w:t xml:space="preserve">2026c</w:t>
      </w:r>
      <w:r w:rsidDel="00000000" w:rsidR="00000000" w:rsidRPr="00000000">
        <w:rPr>
          <w:rFonts w:ascii="Times New Roman" w:cs="Times New Roman" w:eastAsia="Times New Roman" w:hAnsi="Times New Roman"/>
          <w:rtl w:val="0"/>
        </w:rPr>
        <w:t xml:space="preserve">, junio). </w:t>
      </w:r>
      <w:r w:rsidDel="00000000" w:rsidR="00000000" w:rsidRPr="00000000">
        <w:rPr>
          <w:rFonts w:ascii="Times New Roman" w:cs="Times New Roman" w:eastAsia="Times New Roman" w:hAnsi="Times New Roman"/>
          <w:i w:val="1"/>
          <w:iCs w:val="1"/>
          <w:rtl w:val="0"/>
        </w:rPr>
        <w:t xml:space="preserve">Información de reclamos atendidos: Periodo del 1 al 30 de junio de 2026</w:t>
      </w:r>
      <w:r w:rsidDel="00000000" w:rsidR="00000000" w:rsidRPr="00000000">
        <w:rPr>
          <w:rFonts w:ascii="Times New Roman" w:cs="Times New Roman" w:eastAsia="Times New Roman" w:hAnsi="Times New Roman"/>
          <w:rtl w:val="0"/>
        </w:rPr>
        <w:t xml:space="preserve">. </w:t>
      </w:r>
      <w:hyperlink r:id="rId33">
        <w:r w:rsidDel="00000000" w:rsidR="00000000" w:rsidRPr="00000000">
          <w:rPr>
            <w:rFonts w:ascii="Times New Roman" w:cs="Times New Roman" w:eastAsia="Times New Roman" w:hAnsi="Times New Roman"/>
            <w:color w:val="1155cc"/>
            <w:u w:val="single"/>
            <w:rtl w:val="0"/>
          </w:rPr>
          <w:t xml:space="preserve">https://www.bbva.pe/content/dam/public-web/peru/documents/personas/Informacion_de_Reclamos_atendidos_Junio2026.pdf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CE">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r w:rsidDel="00000000" w:rsidR="00000000" w:rsidRPr="00000000">
        <w:rPr>
          <w:rFonts w:ascii="Times New Roman" w:cs="Times New Roman" w:eastAsia="Times New Roman" w:hAnsi="Times New Roman"/>
          <w:rtl w:val="0"/>
        </w:rPr>
        <w:t xml:space="preserve">2026d</w:t>
      </w:r>
      <w:r w:rsidDel="00000000" w:rsidR="00000000" w:rsidRPr="00000000">
        <w:rPr>
          <w:rFonts w:ascii="Times New Roman" w:cs="Times New Roman" w:eastAsia="Times New Roman" w:hAnsi="Times New Roman"/>
          <w:rtl w:val="0"/>
        </w:rPr>
        <w:t xml:space="preserve">, julio). </w:t>
      </w:r>
      <w:r w:rsidDel="00000000" w:rsidR="00000000" w:rsidRPr="00000000">
        <w:rPr>
          <w:rFonts w:ascii="Times New Roman" w:cs="Times New Roman" w:eastAsia="Times New Roman" w:hAnsi="Times New Roman"/>
          <w:i w:val="1"/>
          <w:iCs w:val="1"/>
          <w:rtl w:val="0"/>
        </w:rPr>
        <w:t xml:space="preserve">Información de reclamos atendidos: Periodo del 1 al 31 de julio de 2026</w:t>
      </w:r>
      <w:r w:rsidDel="00000000" w:rsidR="00000000" w:rsidRPr="00000000">
        <w:rPr>
          <w:rFonts w:ascii="Times New Roman" w:cs="Times New Roman" w:eastAsia="Times New Roman" w:hAnsi="Times New Roman"/>
          <w:rtl w:val="0"/>
        </w:rPr>
        <w:t xml:space="preserve">. </w:t>
      </w:r>
      <w:hyperlink r:id="rId34">
        <w:r w:rsidDel="00000000" w:rsidR="00000000" w:rsidRPr="00000000">
          <w:rPr>
            <w:rFonts w:ascii="Times New Roman" w:cs="Times New Roman" w:eastAsia="Times New Roman" w:hAnsi="Times New Roman"/>
            <w:color w:val="1155cc"/>
            <w:u w:val="single"/>
            <w:rtl w:val="0"/>
          </w:rPr>
          <w:t xml:space="preserve">https://www.bbva.pe/content/dam/public-web/peru/documents/personas/Informacion_de_Reclamos_Atendidos_Julio_2026.pdf</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CF">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r w:rsidDel="00000000" w:rsidR="00000000" w:rsidRPr="00000000">
        <w:rPr>
          <w:rFonts w:ascii="Times New Roman" w:cs="Times New Roman" w:eastAsia="Times New Roman" w:hAnsi="Times New Roman"/>
          <w:rtl w:val="0"/>
        </w:rPr>
        <w:t xml:space="preserve">2026e</w:t>
      </w:r>
      <w:r w:rsidDel="00000000" w:rsidR="00000000" w:rsidRPr="00000000">
        <w:rPr>
          <w:rFonts w:ascii="Times New Roman" w:cs="Times New Roman" w:eastAsia="Times New Roman" w:hAnsi="Times New Roman"/>
          <w:rtl w:val="0"/>
        </w:rPr>
        <w:t xml:space="preserve">, agosto). </w:t>
      </w:r>
      <w:r w:rsidDel="00000000" w:rsidR="00000000" w:rsidRPr="00000000">
        <w:rPr>
          <w:rFonts w:ascii="Times New Roman" w:cs="Times New Roman" w:eastAsia="Times New Roman" w:hAnsi="Times New Roman"/>
          <w:i w:val="1"/>
          <w:iCs w:val="1"/>
          <w:rtl w:val="0"/>
        </w:rPr>
        <w:t xml:space="preserve">Información de reclamos atendidos: Periodo del 1 al 31 de agosto de 2026</w:t>
      </w:r>
      <w:r w:rsidDel="00000000" w:rsidR="00000000" w:rsidRPr="00000000">
        <w:rPr>
          <w:rFonts w:ascii="Times New Roman" w:cs="Times New Roman" w:eastAsia="Times New Roman" w:hAnsi="Times New Roman"/>
          <w:rtl w:val="0"/>
        </w:rPr>
        <w:t xml:space="preserve">. </w:t>
      </w:r>
      <w:hyperlink r:id="rId35">
        <w:r w:rsidDel="00000000" w:rsidR="00000000" w:rsidRPr="00000000">
          <w:rPr>
            <w:rFonts w:ascii="Times New Roman" w:cs="Times New Roman" w:eastAsia="Times New Roman" w:hAnsi="Times New Roman"/>
            <w:color w:val="1155cc"/>
            <w:u w:val="single"/>
            <w:rtl w:val="0"/>
          </w:rPr>
          <w:t xml:space="preserve">https://www.bbva.pe/content/dam/public-web/peru/documents/personas/Informacion_de_Reclamos_Atendidos_Agosto2026.pdf</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D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r w:rsidDel="00000000" w:rsidR="00000000" w:rsidRPr="00000000">
        <w:rPr>
          <w:rFonts w:ascii="Times New Roman" w:cs="Times New Roman" w:eastAsia="Times New Roman" w:hAnsi="Times New Roman"/>
          <w:rtl w:val="0"/>
        </w:rPr>
        <w:t xml:space="preserve">2026f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Informe de gerencia: Segundo trimestre 2026</w:t>
      </w:r>
      <w:r w:rsidDel="00000000" w:rsidR="00000000" w:rsidRPr="00000000">
        <w:rPr>
          <w:rFonts w:ascii="Times New Roman" w:cs="Times New Roman" w:eastAsia="Times New Roman" w:hAnsi="Times New Roman"/>
          <w:rtl w:val="0"/>
        </w:rPr>
        <w:t xml:space="preserve">. </w:t>
      </w:r>
      <w:hyperlink r:id="rId36">
        <w:r w:rsidDel="00000000" w:rsidR="00000000" w:rsidRPr="00000000">
          <w:rPr>
            <w:rFonts w:ascii="Times New Roman" w:cs="Times New Roman" w:eastAsia="Times New Roman" w:hAnsi="Times New Roman"/>
            <w:i w:val="0"/>
            <w:iCs w:val="0"/>
            <w:color w:val="1155cc"/>
            <w:u w:val="single"/>
            <w:rtl w:val="0"/>
          </w:rPr>
          <w:t xml:space="preserve">https://www.bbva.pe/content/dam/public-web/peru/documents/prefooter/informacion-financiera/informacion-anual/2026/informe-de-gestion-2T2026.pdf</w:t>
        </w:r>
      </w:hyperlink>
      <w:r w:rsidDel="00000000" w:rsidR="00000000" w:rsidRPr="00000000">
        <w:rPr>
          <w:rtl w:val="0"/>
        </w:rPr>
      </w:r>
    </w:p>
    <w:p w:rsidR="00000000" w:rsidDel="00000000" w:rsidP="00000000" w:rsidRDefault="00000000" w:rsidRPr="00000000" w14:paraId="000004D1">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r w:rsidDel="00000000" w:rsidR="00000000" w:rsidRPr="00000000">
        <w:rPr>
          <w:rFonts w:ascii="Times New Roman" w:cs="Times New Roman" w:eastAsia="Times New Roman" w:hAnsi="Times New Roman"/>
          <w:rtl w:val="0"/>
        </w:rPr>
        <w:t xml:space="preserve">2026g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Memoria anual 2025: ¿Avanzamos? Informe integrado</w:t>
      </w:r>
      <w:r w:rsidDel="00000000" w:rsidR="00000000" w:rsidRPr="00000000">
        <w:rPr>
          <w:rFonts w:ascii="Times New Roman" w:cs="Times New Roman" w:eastAsia="Times New Roman" w:hAnsi="Times New Roman"/>
          <w:rtl w:val="0"/>
        </w:rPr>
        <w:t xml:space="preserve">. </w:t>
      </w:r>
      <w:hyperlink r:id="rId37">
        <w:r w:rsidDel="00000000" w:rsidR="00000000" w:rsidRPr="00000000">
          <w:rPr>
            <w:rFonts w:ascii="Times New Roman" w:cs="Times New Roman" w:eastAsia="Times New Roman" w:hAnsi="Times New Roman"/>
            <w:i w:val="0"/>
            <w:iCs w:val="0"/>
            <w:color w:val="1155cc"/>
            <w:u w:val="single"/>
            <w:rtl w:val="0"/>
          </w:rPr>
          <w:t xml:space="preserve">https://www.bbva.pe/content/dam/public-web/peru/documents/personas/investor-relations/vii-Memoria-Anual-2025.pdf</w:t>
        </w:r>
      </w:hyperlink>
      <w:r w:rsidDel="00000000" w:rsidR="00000000" w:rsidRPr="00000000">
        <w:rPr>
          <w:rtl w:val="0"/>
        </w:rPr>
      </w:r>
    </w:p>
    <w:p w:rsidR="00000000" w:rsidDel="00000000" w:rsidP="00000000" w:rsidRDefault="00000000" w:rsidRPr="00000000" w14:paraId="000004D2">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BBVA. (2019, 14 de noviembre). </w:t>
      </w:r>
      <w:r w:rsidDel="00000000" w:rsidR="00000000" w:rsidRPr="00000000">
        <w:rPr>
          <w:rFonts w:ascii="Times New Roman" w:cs="Times New Roman" w:eastAsia="Times New Roman" w:hAnsi="Times New Roman"/>
          <w:i w:val="1"/>
          <w:iCs w:val="1"/>
          <w:rtl w:val="0"/>
        </w:rPr>
        <w:t xml:space="preserve">Las ventajas que ofrecen los canales digitales para BBVA y sus clientes</w:t>
      </w:r>
      <w:r w:rsidDel="00000000" w:rsidR="00000000" w:rsidRPr="00000000">
        <w:rPr>
          <w:rFonts w:ascii="Times New Roman" w:cs="Times New Roman" w:eastAsia="Times New Roman" w:hAnsi="Times New Roman"/>
          <w:rtl w:val="0"/>
        </w:rPr>
        <w:t xml:space="preserve">. </w:t>
      </w:r>
      <w:hyperlink r:id="rId38">
        <w:r w:rsidDel="00000000" w:rsidR="00000000" w:rsidRPr="00000000">
          <w:rPr>
            <w:rFonts w:ascii="Times New Roman" w:cs="Times New Roman" w:eastAsia="Times New Roman" w:hAnsi="Times New Roman"/>
            <w:color w:val="1155cc"/>
            <w:u w:val="single"/>
            <w:rtl w:val="0"/>
          </w:rPr>
          <w:t xml:space="preserve">https://www.bbva.com/es/pe/innovacion/las-ventajas-que-ofrecen-los-canales-digitales-para-bbva-y-sus-clientes/</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D3">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BBVA. (</w:t>
      </w:r>
      <w:r w:rsidDel="00000000" w:rsidR="00000000" w:rsidRPr="00000000">
        <w:rPr>
          <w:rFonts w:ascii="Times New Roman" w:cs="Times New Roman" w:eastAsia="Times New Roman" w:hAnsi="Times New Roman"/>
          <w:rtl w:val="0"/>
        </w:rPr>
        <w:t xml:space="preserve">2025a</w:t>
      </w:r>
      <w:r w:rsidDel="00000000" w:rsidR="00000000" w:rsidRPr="00000000">
        <w:rPr>
          <w:rFonts w:ascii="Times New Roman" w:cs="Times New Roman" w:eastAsia="Times New Roman" w:hAnsi="Times New Roman"/>
          <w:rtl w:val="0"/>
        </w:rPr>
        <w:t xml:space="preserve">, 12 de diciembre). </w:t>
      </w:r>
      <w:r w:rsidDel="00000000" w:rsidR="00000000" w:rsidRPr="00000000">
        <w:rPr>
          <w:rFonts w:ascii="Times New Roman" w:cs="Times New Roman" w:eastAsia="Times New Roman" w:hAnsi="Times New Roman"/>
          <w:i w:val="1"/>
          <w:iCs w:val="1"/>
          <w:rtl w:val="0"/>
        </w:rPr>
        <w:t xml:space="preserve">BBVA impulsa ‘The Eight’, su estrategia para transformar la experiencia financiera con IA</w:t>
      </w:r>
      <w:r w:rsidDel="00000000" w:rsidR="00000000" w:rsidRPr="00000000">
        <w:rPr>
          <w:rFonts w:ascii="Times New Roman" w:cs="Times New Roman" w:eastAsia="Times New Roman" w:hAnsi="Times New Roman"/>
          <w:rtl w:val="0"/>
        </w:rPr>
        <w:t xml:space="preserve">. </w:t>
      </w:r>
      <w:hyperlink r:id="rId39">
        <w:r w:rsidDel="00000000" w:rsidR="00000000" w:rsidRPr="00000000">
          <w:rPr>
            <w:rFonts w:ascii="Times New Roman" w:cs="Times New Roman" w:eastAsia="Times New Roman" w:hAnsi="Times New Roman"/>
            <w:color w:val="1155cc"/>
            <w:u w:val="single"/>
            <w:rtl w:val="0"/>
          </w:rPr>
          <w:t xml:space="preserve">https://www.bbva.com/es/innovacion/bbva-impulsa-the-eight-su-estrategia-para-transformar-la-experiencia-financiera-con-ia/</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D4">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BBVA. (</w:t>
      </w:r>
      <w:r w:rsidDel="00000000" w:rsidR="00000000" w:rsidRPr="00000000">
        <w:rPr>
          <w:rFonts w:ascii="Times New Roman" w:cs="Times New Roman" w:eastAsia="Times New Roman" w:hAnsi="Times New Roman"/>
          <w:rtl w:val="0"/>
        </w:rPr>
        <w:t xml:space="preserve">2025b</w:t>
      </w:r>
      <w:r w:rsidDel="00000000" w:rsidR="00000000" w:rsidRPr="00000000">
        <w:rPr>
          <w:rFonts w:ascii="Times New Roman" w:cs="Times New Roman" w:eastAsia="Times New Roman" w:hAnsi="Times New Roman"/>
          <w:rtl w:val="0"/>
        </w:rPr>
        <w:t xml:space="preserve">, 30 de abril)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Prioridades estratégicas</w:t>
      </w:r>
      <w:r w:rsidDel="00000000" w:rsidR="00000000" w:rsidRPr="00000000">
        <w:rPr>
          <w:rFonts w:ascii="Times New Roman" w:cs="Times New Roman" w:eastAsia="Times New Roman" w:hAnsi="Times New Roman"/>
          <w:rtl w:val="0"/>
        </w:rPr>
        <w:t xml:space="preserve">. </w:t>
      </w:r>
      <w:hyperlink r:id="rId40">
        <w:r w:rsidDel="00000000" w:rsidR="00000000" w:rsidRPr="00000000">
          <w:rPr>
            <w:rFonts w:ascii="Times New Roman" w:cs="Times New Roman" w:eastAsia="Times New Roman" w:hAnsi="Times New Roman"/>
            <w:i w:val="0"/>
            <w:iCs w:val="0"/>
            <w:color w:val="1155cc"/>
            <w:u w:val="single"/>
            <w:rtl w:val="0"/>
          </w:rPr>
          <w:t xml:space="preserve">https://accionistaseinversores.bbva.com/grupo-bbva/estrategia-la-transformacion-en-bbva/prioridades-estrategicas/</w:t>
        </w:r>
      </w:hyperlink>
      <w:r w:rsidDel="00000000" w:rsidR="00000000" w:rsidRPr="00000000">
        <w:rPr>
          <w:rtl w:val="0"/>
        </w:rPr>
      </w:r>
    </w:p>
    <w:p w:rsidR="00000000" w:rsidDel="00000000" w:rsidP="00000000" w:rsidRDefault="00000000" w:rsidRPr="00000000" w14:paraId="000004D5">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BBVA. (</w:t>
      </w:r>
      <w:r w:rsidDel="00000000" w:rsidR="00000000" w:rsidRPr="00000000">
        <w:rPr>
          <w:rFonts w:ascii="Times New Roman" w:cs="Times New Roman" w:eastAsia="Times New Roman" w:hAnsi="Times New Roman"/>
          <w:rtl w:val="0"/>
        </w:rPr>
        <w:t xml:space="preserve">2026a</w:t>
      </w:r>
      <w:r w:rsidDel="00000000" w:rsidR="00000000" w:rsidRPr="00000000">
        <w:rPr>
          <w:rFonts w:ascii="Times New Roman" w:cs="Times New Roman" w:eastAsia="Times New Roman" w:hAnsi="Times New Roman"/>
          <w:rtl w:val="0"/>
        </w:rPr>
        <w:t xml:space="preserve">, 5 de marzo). </w:t>
      </w:r>
      <w:r w:rsidDel="00000000" w:rsidR="00000000" w:rsidRPr="00000000">
        <w:rPr>
          <w:rFonts w:ascii="Times New Roman" w:cs="Times New Roman" w:eastAsia="Times New Roman" w:hAnsi="Times New Roman"/>
          <w:i w:val="1"/>
          <w:iCs w:val="1"/>
          <w:rtl w:val="0"/>
        </w:rPr>
        <w:t xml:space="preserve">La app BBVA Empresas 2.0 crece 141 % y acelera la digitalización de las pymes</w:t>
      </w:r>
      <w:r w:rsidDel="00000000" w:rsidR="00000000" w:rsidRPr="00000000">
        <w:rPr>
          <w:rFonts w:ascii="Times New Roman" w:cs="Times New Roman" w:eastAsia="Times New Roman" w:hAnsi="Times New Roman"/>
          <w:rtl w:val="0"/>
        </w:rPr>
        <w:t xml:space="preserve">. </w:t>
      </w:r>
      <w:hyperlink r:id="rId41">
        <w:r w:rsidDel="00000000" w:rsidR="00000000" w:rsidRPr="00000000">
          <w:rPr>
            <w:rFonts w:ascii="Times New Roman" w:cs="Times New Roman" w:eastAsia="Times New Roman" w:hAnsi="Times New Roman"/>
            <w:i w:val="0"/>
            <w:iCs w:val="0"/>
            <w:color w:val="1155cc"/>
            <w:u w:val="single"/>
            <w:rtl w:val="0"/>
          </w:rPr>
          <w:t xml:space="preserve">https://www.bbva.com/es/pe/empresas/la-app-bbva-empresas-2-0-crece-141-y-acelera-la-digitalizacion-de-las-pymes/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6">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BBVA. (</w:t>
      </w:r>
      <w:r w:rsidDel="00000000" w:rsidR="00000000" w:rsidRPr="00000000">
        <w:rPr>
          <w:rFonts w:ascii="Times New Roman" w:cs="Times New Roman" w:eastAsia="Times New Roman" w:hAnsi="Times New Roman"/>
          <w:rtl w:val="0"/>
        </w:rPr>
        <w:t xml:space="preserve">2026b</w:t>
      </w:r>
      <w:r w:rsidDel="00000000" w:rsidR="00000000" w:rsidRPr="00000000">
        <w:rPr>
          <w:rFonts w:ascii="Times New Roman" w:cs="Times New Roman" w:eastAsia="Times New Roman" w:hAnsi="Times New Roman"/>
          <w:rtl w:val="0"/>
        </w:rPr>
        <w:t xml:space="preserve">, 5 de febrero). </w:t>
      </w:r>
      <w:r w:rsidDel="00000000" w:rsidR="00000000" w:rsidRPr="00000000">
        <w:rPr>
          <w:rFonts w:ascii="Times New Roman" w:cs="Times New Roman" w:eastAsia="Times New Roman" w:hAnsi="Times New Roman"/>
          <w:i w:val="1"/>
          <w:iCs w:val="1"/>
          <w:rtl w:val="0"/>
        </w:rPr>
        <w:t xml:space="preserve">BBVA bate récord de beneficios en 2025 con €10.511 millones y repartirá un dividendo de más de €5.200 millones [Nota de prensa]</w:t>
      </w:r>
      <w:r w:rsidDel="00000000" w:rsidR="00000000" w:rsidRPr="00000000">
        <w:rPr>
          <w:rFonts w:ascii="Times New Roman" w:cs="Times New Roman" w:eastAsia="Times New Roman" w:hAnsi="Times New Roman"/>
          <w:rtl w:val="0"/>
        </w:rPr>
        <w:t xml:space="preserve">. </w:t>
      </w:r>
      <w:hyperlink r:id="rId42">
        <w:r w:rsidDel="00000000" w:rsidR="00000000" w:rsidRPr="00000000">
          <w:rPr>
            <w:rFonts w:ascii="Times New Roman" w:cs="Times New Roman" w:eastAsia="Times New Roman" w:hAnsi="Times New Roman"/>
            <w:color w:val="1155cc"/>
            <w:u w:val="single"/>
            <w:rtl w:val="0"/>
          </w:rPr>
          <w:t xml:space="preserve">https://accionistaseinversores.bbva.com/wp-content/uploads/2026/02/NP-Resultados-BBVA-4T2025_esp.pdf</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D7">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BBVA. (</w:t>
      </w:r>
      <w:r w:rsidDel="00000000" w:rsidR="00000000" w:rsidRPr="00000000">
        <w:rPr>
          <w:rFonts w:ascii="Times New Roman" w:cs="Times New Roman" w:eastAsia="Times New Roman" w:hAnsi="Times New Roman"/>
          <w:rtl w:val="0"/>
        </w:rPr>
        <w:t xml:space="preserve">2026c</w:t>
      </w:r>
      <w:r w:rsidDel="00000000" w:rsidR="00000000" w:rsidRPr="00000000">
        <w:rPr>
          <w:rFonts w:ascii="Times New Roman" w:cs="Times New Roman" w:eastAsia="Times New Roman" w:hAnsi="Times New Roman"/>
          <w:rtl w:val="0"/>
        </w:rPr>
        <w:t xml:space="preserve">, 12 de enero). </w:t>
      </w:r>
      <w:r w:rsidDel="00000000" w:rsidR="00000000" w:rsidRPr="00000000">
        <w:rPr>
          <w:rFonts w:ascii="Times New Roman" w:cs="Times New Roman" w:eastAsia="Times New Roman" w:hAnsi="Times New Roman"/>
          <w:i w:val="1"/>
          <w:iCs w:val="1"/>
          <w:rtl w:val="0"/>
        </w:rPr>
        <w:t xml:space="preserve">BBVA completes its global move to the cloud with a single data and artificial intelligence platform</w:t>
      </w:r>
      <w:r w:rsidDel="00000000" w:rsidR="00000000" w:rsidRPr="00000000">
        <w:rPr>
          <w:rFonts w:ascii="Times New Roman" w:cs="Times New Roman" w:eastAsia="Times New Roman" w:hAnsi="Times New Roman"/>
          <w:rtl w:val="0"/>
        </w:rPr>
        <w:t xml:space="preserve">. </w:t>
      </w:r>
      <w:hyperlink r:id="rId43">
        <w:r w:rsidDel="00000000" w:rsidR="00000000" w:rsidRPr="00000000">
          <w:rPr>
            <w:rFonts w:ascii="Times New Roman" w:cs="Times New Roman" w:eastAsia="Times New Roman" w:hAnsi="Times New Roman"/>
            <w:i w:val="0"/>
            <w:iCs w:val="0"/>
            <w:color w:val="1155cc"/>
            <w:u w:val="single"/>
            <w:rtl w:val="0"/>
          </w:rPr>
          <w:t xml:space="preserve">https://www.bbva.com/en/innovation/bbva-completes-its-global-move-to-the-cloud-with-a-single-data-and-artificial-intelligence-platform/</w:t>
        </w:r>
      </w:hyperlink>
      <w:r w:rsidDel="00000000" w:rsidR="00000000" w:rsidRPr="00000000">
        <w:rPr>
          <w:rtl w:val="0"/>
        </w:rPr>
      </w:r>
    </w:p>
    <w:p w:rsidR="00000000" w:rsidDel="00000000" w:rsidP="00000000" w:rsidRDefault="00000000" w:rsidRPr="00000000" w14:paraId="000004D8">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BBVA. (2026d, 24 de junio). </w:t>
      </w:r>
      <w:r w:rsidDel="00000000" w:rsidR="00000000" w:rsidRPr="00000000">
        <w:rPr>
          <w:rFonts w:ascii="Times New Roman" w:cs="Times New Roman" w:eastAsia="Times New Roman" w:hAnsi="Times New Roman"/>
          <w:i w:val="1"/>
          <w:iCs w:val="1"/>
          <w:rtl w:val="0"/>
        </w:rPr>
        <w:t xml:space="preserve">BBVA México lanzó estrategia de financiamiento digital para 1.1 millones de Pymes por hasta 14 mdp</w:t>
      </w:r>
      <w:r w:rsidDel="00000000" w:rsidR="00000000" w:rsidRPr="00000000">
        <w:rPr>
          <w:rFonts w:ascii="Times New Roman" w:cs="Times New Roman" w:eastAsia="Times New Roman" w:hAnsi="Times New Roman"/>
          <w:rtl w:val="0"/>
        </w:rPr>
        <w:t xml:space="preserve">. </w:t>
      </w:r>
      <w:hyperlink r:id="rId44">
        <w:r w:rsidDel="00000000" w:rsidR="00000000" w:rsidRPr="00000000">
          <w:rPr>
            <w:rFonts w:ascii="Times New Roman" w:cs="Times New Roman" w:eastAsia="Times New Roman" w:hAnsi="Times New Roman"/>
            <w:color w:val="1155cc"/>
            <w:u w:val="single"/>
            <w:rtl w:val="0"/>
          </w:rPr>
          <w:t xml:space="preserve">https://www.bbva.com/es/mx/economia-y-finanzas/bbva-mexico-lanzo-estrategia-de-financiamiento-digital-para-1-1-millones-de-pymes-por-hasta-14-mdp/</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D9">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BBVA. (2026e, 9 de enero)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El sector de las pymes sigue creciendo y fortaleciendo la economía peruana</w:t>
      </w:r>
      <w:r w:rsidDel="00000000" w:rsidR="00000000" w:rsidRPr="00000000">
        <w:rPr>
          <w:rFonts w:ascii="Times New Roman" w:cs="Times New Roman" w:eastAsia="Times New Roman" w:hAnsi="Times New Roman"/>
          <w:rtl w:val="0"/>
        </w:rPr>
        <w:t xml:space="preserve">. </w:t>
      </w:r>
      <w:hyperlink r:id="rId45">
        <w:r w:rsidDel="00000000" w:rsidR="00000000" w:rsidRPr="00000000">
          <w:rPr>
            <w:rFonts w:ascii="Times New Roman" w:cs="Times New Roman" w:eastAsia="Times New Roman" w:hAnsi="Times New Roman"/>
            <w:i w:val="0"/>
            <w:iCs w:val="0"/>
            <w:color w:val="1155cc"/>
            <w:u w:val="single"/>
            <w:rtl w:val="0"/>
          </w:rPr>
          <w:t xml:space="preserve">https://www.bbva.com/es/pe/empresas/el-sector-de-las-pymes-sigue-creciendo-y-fortaleciendo-la-economia-peruana/</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A">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BBVA Perú. (s. f.). </w:t>
      </w:r>
      <w:r w:rsidDel="00000000" w:rsidR="00000000" w:rsidRPr="00000000">
        <w:rPr>
          <w:rFonts w:ascii="Times New Roman" w:cs="Times New Roman" w:eastAsia="Times New Roman" w:hAnsi="Times New Roman"/>
          <w:i w:val="1"/>
          <w:iCs w:val="1"/>
          <w:rtl w:val="0"/>
        </w:rPr>
        <w:t xml:space="preserve">BBVA Perú: El BBVA te da la bienvenida</w:t>
      </w:r>
      <w:r w:rsidDel="00000000" w:rsidR="00000000" w:rsidRPr="00000000">
        <w:rPr>
          <w:rFonts w:ascii="Times New Roman" w:cs="Times New Roman" w:eastAsia="Times New Roman" w:hAnsi="Times New Roman"/>
          <w:rtl w:val="0"/>
        </w:rPr>
        <w:t xml:space="preserve">.</w:t>
      </w:r>
      <w:hyperlink r:id="rId46">
        <w:r w:rsidDel="00000000" w:rsidR="00000000" w:rsidRPr="00000000">
          <w:rPr>
            <w:rFonts w:ascii="Times New Roman" w:cs="Times New Roman" w:eastAsia="Times New Roman" w:hAnsi="Times New Roman"/>
            <w:rtl w:val="0"/>
          </w:rPr>
          <w:t xml:space="preserve"> </w:t>
        </w:r>
      </w:hyperlink>
      <w:hyperlink r:id="rId47">
        <w:r w:rsidDel="00000000" w:rsidR="00000000" w:rsidRPr="00000000">
          <w:rPr>
            <w:rFonts w:ascii="Times New Roman" w:cs="Times New Roman" w:eastAsia="Times New Roman" w:hAnsi="Times New Roman"/>
            <w:color w:val="0563c1"/>
            <w:u w:val="single"/>
            <w:rtl w:val="0"/>
          </w:rPr>
          <w:t xml:space="preserve">https://www.bbva.pe/personas.html</w:t>
        </w:r>
      </w:hyperlink>
      <w:r w:rsidDel="00000000" w:rsidR="00000000" w:rsidRPr="00000000">
        <w:rPr>
          <w:rtl w:val="0"/>
        </w:rPr>
      </w:r>
    </w:p>
    <w:p w:rsidR="00000000" w:rsidDel="00000000" w:rsidP="00000000" w:rsidRDefault="00000000" w:rsidRPr="00000000" w14:paraId="000004DB">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Bitner, M. J., Ostrom, A. L., &amp; Morgan, F. N. (2008). Service blueprinting: A practical technique for service innovation. </w:t>
      </w:r>
      <w:r w:rsidDel="00000000" w:rsidR="00000000" w:rsidRPr="00000000">
        <w:rPr>
          <w:rFonts w:ascii="Times New Roman" w:cs="Times New Roman" w:eastAsia="Times New Roman" w:hAnsi="Times New Roman"/>
          <w:i w:val="1"/>
          <w:iCs w:val="1"/>
          <w:rtl w:val="0"/>
        </w:rPr>
        <w:t xml:space="preserve">California Management Review, 50</w:t>
      </w:r>
      <w:r w:rsidDel="00000000" w:rsidR="00000000" w:rsidRPr="00000000">
        <w:rPr>
          <w:rFonts w:ascii="Times New Roman" w:cs="Times New Roman" w:eastAsia="Times New Roman" w:hAnsi="Times New Roman"/>
          <w:i w:val="0"/>
          <w:iCs w:val="0"/>
          <w:rtl w:val="0"/>
        </w:rPr>
        <w:t xml:space="preserve">(3), 66-94. </w:t>
      </w:r>
      <w:hyperlink r:id="rId48">
        <w:r w:rsidDel="00000000" w:rsidR="00000000" w:rsidRPr="00000000">
          <w:rPr>
            <w:rFonts w:ascii="Times New Roman" w:cs="Times New Roman" w:eastAsia="Times New Roman" w:hAnsi="Times New Roman"/>
            <w:i w:val="0"/>
            <w:iCs w:val="0"/>
            <w:color w:val="1155cc"/>
            <w:u w:val="single"/>
            <w:rtl w:val="0"/>
          </w:rPr>
          <w:t xml:space="preserve">https://doi.org/10.2307/41166446</w:t>
        </w:r>
      </w:hyperlink>
      <w:r w:rsidDel="00000000" w:rsidR="00000000" w:rsidRPr="00000000">
        <w:rPr>
          <w:rtl w:val="0"/>
        </w:rPr>
      </w:r>
    </w:p>
    <w:p w:rsidR="00000000" w:rsidDel="00000000" w:rsidP="00000000" w:rsidRDefault="00000000" w:rsidRPr="00000000" w14:paraId="000004DC">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Blue Ocean Strategy. (s. f.). </w:t>
      </w:r>
      <w:r w:rsidDel="00000000" w:rsidR="00000000" w:rsidRPr="00000000">
        <w:rPr>
          <w:rFonts w:ascii="Times New Roman" w:cs="Times New Roman" w:eastAsia="Times New Roman" w:hAnsi="Times New Roman"/>
          <w:i w:val="1"/>
          <w:iCs w:val="1"/>
          <w:rtl w:val="0"/>
        </w:rPr>
        <w:t xml:space="preserve">Eliminate-Reduce-Raise-Create Grid (ERRC Grid)</w:t>
      </w:r>
      <w:r w:rsidDel="00000000" w:rsidR="00000000" w:rsidRPr="00000000">
        <w:rPr>
          <w:rFonts w:ascii="Times New Roman" w:cs="Times New Roman" w:eastAsia="Times New Roman" w:hAnsi="Times New Roman"/>
          <w:rtl w:val="0"/>
        </w:rPr>
        <w:t xml:space="preserve">. Recuperado el 15 de setiembre de 2026, de </w:t>
      </w:r>
      <w:hyperlink r:id="rId49">
        <w:r w:rsidDel="00000000" w:rsidR="00000000" w:rsidRPr="00000000">
          <w:rPr>
            <w:rFonts w:ascii="Times New Roman" w:cs="Times New Roman" w:eastAsia="Times New Roman" w:hAnsi="Times New Roman"/>
            <w:color w:val="1155cc"/>
            <w:u w:val="single"/>
            <w:rtl w:val="0"/>
          </w:rPr>
          <w:t xml:space="preserve">https://www.blueoceanstrategy.com/tools/errc-grid/</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DD">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Decreto Supremo </w:t>
      </w:r>
      <w:r w:rsidDel="00000000" w:rsidR="00000000" w:rsidRPr="00000000">
        <w:rPr>
          <w:rFonts w:ascii="Times New Roman" w:cs="Times New Roman" w:eastAsia="Times New Roman" w:hAnsi="Times New Roman"/>
          <w:rtl w:val="0"/>
        </w:rPr>
        <w:t xml:space="preserve">N.º </w:t>
      </w:r>
      <w:r w:rsidDel="00000000" w:rsidR="00000000" w:rsidRPr="00000000">
        <w:rPr>
          <w:rFonts w:ascii="Times New Roman" w:cs="Times New Roman" w:eastAsia="Times New Roman" w:hAnsi="Times New Roman"/>
          <w:rtl w:val="0"/>
        </w:rPr>
        <w:t xml:space="preserve">115-2025-PCM. (2025, 9 de setiembre). Decreto Supremo que aprueba el Reglamento de la Ley </w:t>
      </w:r>
      <w:r w:rsidDel="00000000" w:rsidR="00000000" w:rsidRPr="00000000">
        <w:rPr>
          <w:rFonts w:ascii="Times New Roman" w:cs="Times New Roman" w:eastAsia="Times New Roman" w:hAnsi="Times New Roman"/>
          <w:rtl w:val="0"/>
        </w:rPr>
        <w:t xml:space="preserve">N.º </w:t>
      </w:r>
      <w:r w:rsidDel="00000000" w:rsidR="00000000" w:rsidRPr="00000000">
        <w:rPr>
          <w:rFonts w:ascii="Times New Roman" w:cs="Times New Roman" w:eastAsia="Times New Roman" w:hAnsi="Times New Roman"/>
          <w:rtl w:val="0"/>
        </w:rPr>
        <w:t xml:space="preserve">31814, Ley que promueve el uso de la inteligencia artificial en favor del desarrollo económico y social del país. </w:t>
      </w:r>
      <w:r w:rsidDel="00000000" w:rsidR="00000000" w:rsidRPr="00000000">
        <w:rPr>
          <w:rFonts w:ascii="Times New Roman" w:cs="Times New Roman" w:eastAsia="Times New Roman" w:hAnsi="Times New Roman"/>
          <w:i w:val="1"/>
          <w:iCs w:val="1"/>
          <w:rtl w:val="0"/>
        </w:rPr>
        <w:t xml:space="preserve">Diario Oficial El Peruano</w:t>
      </w:r>
      <w:r w:rsidDel="00000000" w:rsidR="00000000" w:rsidRPr="00000000">
        <w:rPr>
          <w:rFonts w:ascii="Times New Roman" w:cs="Times New Roman" w:eastAsia="Times New Roman" w:hAnsi="Times New Roman"/>
          <w:rtl w:val="0"/>
        </w:rPr>
        <w:t xml:space="preserve">. </w:t>
      </w:r>
      <w:hyperlink r:id="rId50">
        <w:r w:rsidDel="00000000" w:rsidR="00000000" w:rsidRPr="00000000">
          <w:rPr>
            <w:rFonts w:ascii="Times New Roman" w:cs="Times New Roman" w:eastAsia="Times New Roman" w:hAnsi="Times New Roman"/>
            <w:color w:val="1155cc"/>
            <w:u w:val="single"/>
            <w:rtl w:val="0"/>
          </w:rPr>
          <w:t xml:space="preserve">https://busquedas.elperuano.pe/dispositivo/NL/2436426-1</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DE">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Diario Oficial El Peruano. (2023, 28 de agosto). Indecopi impone 1,284 sanciones a bancos por operaciones no reconocidas por clientes. </w:t>
      </w:r>
      <w:r w:rsidDel="00000000" w:rsidR="00000000" w:rsidRPr="00000000">
        <w:rPr>
          <w:rFonts w:ascii="Times New Roman" w:cs="Times New Roman" w:eastAsia="Times New Roman" w:hAnsi="Times New Roman"/>
          <w:i w:val="1"/>
          <w:iCs w:val="1"/>
          <w:rtl w:val="0"/>
        </w:rPr>
        <w:t xml:space="preserve">El Peruano</w:t>
      </w:r>
      <w:r w:rsidDel="00000000" w:rsidR="00000000" w:rsidRPr="00000000">
        <w:rPr>
          <w:rFonts w:ascii="Times New Roman" w:cs="Times New Roman" w:eastAsia="Times New Roman" w:hAnsi="Times New Roman"/>
          <w:rtl w:val="0"/>
        </w:rPr>
        <w:t xml:space="preserve">. </w:t>
      </w:r>
      <w:hyperlink r:id="rId51">
        <w:r w:rsidDel="00000000" w:rsidR="00000000" w:rsidRPr="00000000">
          <w:rPr>
            <w:rFonts w:ascii="Times New Roman" w:cs="Times New Roman" w:eastAsia="Times New Roman" w:hAnsi="Times New Roman"/>
            <w:i w:val="0"/>
            <w:iCs w:val="0"/>
            <w:color w:val="1155cc"/>
            <w:u w:val="single"/>
            <w:rtl w:val="0"/>
          </w:rPr>
          <w:t xml:space="preserve">https://www.elperuano.pe/noticia/221705-indecopi-impone-1284-sanciones-a-bancos-por-operaciones-no-reconocidas-por-clientes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F">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Europa Press. (2026, 1 de setiembre). Revolut lanza Air en España, su nuevo asistente de inteligencia artificial para gestionar las finanzas. </w:t>
      </w:r>
      <w:r w:rsidDel="00000000" w:rsidR="00000000" w:rsidRPr="00000000">
        <w:rPr>
          <w:rFonts w:ascii="Times New Roman" w:cs="Times New Roman" w:eastAsia="Times New Roman" w:hAnsi="Times New Roman"/>
          <w:i w:val="1"/>
          <w:iCs w:val="1"/>
          <w:rtl w:val="0"/>
        </w:rPr>
        <w:t xml:space="preserve">Bolsamanía</w:t>
      </w:r>
      <w:r w:rsidDel="00000000" w:rsidR="00000000" w:rsidRPr="00000000">
        <w:rPr>
          <w:rFonts w:ascii="Times New Roman" w:cs="Times New Roman" w:eastAsia="Times New Roman" w:hAnsi="Times New Roman"/>
          <w:rtl w:val="0"/>
        </w:rPr>
        <w:t xml:space="preserve">. </w:t>
      </w:r>
      <w:hyperlink r:id="rId52">
        <w:r w:rsidDel="00000000" w:rsidR="00000000" w:rsidRPr="00000000">
          <w:rPr>
            <w:rFonts w:ascii="Times New Roman" w:cs="Times New Roman" w:eastAsia="Times New Roman" w:hAnsi="Times New Roman"/>
            <w:color w:val="1155cc"/>
            <w:u w:val="single"/>
            <w:rtl w:val="0"/>
          </w:rPr>
          <w:t xml:space="preserve">https://www.bolsamania.com/noticias/mercados/economia--revolut-lanza-air-en-espana-su-nuevo-asistente-de-inteligencia-artificial-para-gestionar-las-finanzas--23442762.html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Interbank. (s. f.). </w:t>
      </w:r>
      <w:r w:rsidDel="00000000" w:rsidR="00000000" w:rsidRPr="00000000">
        <w:rPr>
          <w:rFonts w:ascii="Times New Roman" w:cs="Times New Roman" w:eastAsia="Times New Roman" w:hAnsi="Times New Roman"/>
          <w:i w:val="1"/>
          <w:iCs w:val="1"/>
          <w:rtl w:val="0"/>
        </w:rPr>
        <w:t xml:space="preserve">Tarjeta Digital</w:t>
      </w:r>
      <w:r w:rsidDel="00000000" w:rsidR="00000000" w:rsidRPr="00000000">
        <w:rPr>
          <w:rFonts w:ascii="Times New Roman" w:cs="Times New Roman" w:eastAsia="Times New Roman" w:hAnsi="Times New Roman"/>
          <w:rtl w:val="0"/>
        </w:rPr>
        <w:t xml:space="preserve">. Recuperado el 26 de setiembre de 2026, de </w:t>
      </w:r>
      <w:hyperlink r:id="rId53">
        <w:r w:rsidDel="00000000" w:rsidR="00000000" w:rsidRPr="00000000">
          <w:rPr>
            <w:rFonts w:ascii="Times New Roman" w:cs="Times New Roman" w:eastAsia="Times New Roman" w:hAnsi="Times New Roman"/>
            <w:color w:val="1155cc"/>
            <w:u w:val="single"/>
            <w:rtl w:val="0"/>
          </w:rPr>
          <w:t xml:space="preserve">https://interbank.pe/tarjetas/tarjeta-digital/tarjeta-digital</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E1">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Kim, W. C., &amp; Mauborgne, R. (2005). </w:t>
      </w:r>
      <w:r w:rsidDel="00000000" w:rsidR="00000000" w:rsidRPr="00000000">
        <w:rPr>
          <w:rFonts w:ascii="Times New Roman" w:cs="Times New Roman" w:eastAsia="Times New Roman" w:hAnsi="Times New Roman"/>
          <w:i w:val="1"/>
          <w:iCs w:val="1"/>
          <w:rtl w:val="0"/>
        </w:rPr>
        <w:t xml:space="preserve">Blue Ocean Strategy: How to Create Uncontested Market Space and Make the Competition Irrelevant</w:t>
      </w:r>
      <w:r w:rsidDel="00000000" w:rsidR="00000000" w:rsidRPr="00000000">
        <w:rPr>
          <w:rFonts w:ascii="Times New Roman" w:cs="Times New Roman" w:eastAsia="Times New Roman" w:hAnsi="Times New Roman"/>
          <w:rtl w:val="0"/>
        </w:rPr>
        <w:t xml:space="preserve">. Harvard Business School Press.</w:t>
      </w:r>
      <w:r w:rsidDel="00000000" w:rsidR="00000000" w:rsidRPr="00000000">
        <w:rPr>
          <w:rtl w:val="0"/>
        </w:rPr>
      </w:r>
    </w:p>
    <w:p w:rsidR="00000000" w:rsidDel="00000000" w:rsidP="00000000" w:rsidRDefault="00000000" w:rsidRPr="00000000" w14:paraId="000004E2">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Kore.ai. (2026, 20 de febrero). </w:t>
      </w:r>
      <w:r w:rsidDel="00000000" w:rsidR="00000000" w:rsidRPr="00000000">
        <w:rPr>
          <w:rFonts w:ascii="Times New Roman" w:cs="Times New Roman" w:eastAsia="Times New Roman" w:hAnsi="Times New Roman"/>
          <w:i w:val="1"/>
          <w:iCs w:val="1"/>
          <w:rtl w:val="0"/>
        </w:rPr>
        <w:t xml:space="preserve">AI agents in finance and banking: 12 proven use cases (2026)</w:t>
      </w:r>
      <w:r w:rsidDel="00000000" w:rsidR="00000000" w:rsidRPr="00000000">
        <w:rPr>
          <w:rFonts w:ascii="Times New Roman" w:cs="Times New Roman" w:eastAsia="Times New Roman" w:hAnsi="Times New Roman"/>
          <w:rtl w:val="0"/>
        </w:rPr>
        <w:t xml:space="preserve">. </w:t>
      </w:r>
      <w:hyperlink r:id="rId54">
        <w:r w:rsidDel="00000000" w:rsidR="00000000" w:rsidRPr="00000000">
          <w:rPr>
            <w:rFonts w:ascii="Times New Roman" w:cs="Times New Roman" w:eastAsia="Times New Roman" w:hAnsi="Times New Roman"/>
            <w:color w:val="1155cc"/>
            <w:u w:val="single"/>
            <w:rtl w:val="0"/>
          </w:rPr>
          <w:t xml:space="preserve">https://www.kore.ai/blog/ai-agents-in-finance-banking-12-proven-use-cases-2026</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E3">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Lemon, K. N., &amp; Verhoef, P. C. (2016). Understanding customer experience throughout the customer journey. </w:t>
      </w:r>
      <w:r w:rsidDel="00000000" w:rsidR="00000000" w:rsidRPr="00000000">
        <w:rPr>
          <w:rFonts w:ascii="Times New Roman" w:cs="Times New Roman" w:eastAsia="Times New Roman" w:hAnsi="Times New Roman"/>
          <w:i w:val="1"/>
          <w:iCs w:val="1"/>
          <w:rtl w:val="0"/>
        </w:rPr>
        <w:t xml:space="preserve">Journal of Marketing, 80</w:t>
      </w:r>
      <w:r w:rsidDel="00000000" w:rsidR="00000000" w:rsidRPr="00000000">
        <w:rPr>
          <w:rFonts w:ascii="Times New Roman" w:cs="Times New Roman" w:eastAsia="Times New Roman" w:hAnsi="Times New Roman"/>
          <w:i w:val="0"/>
          <w:iCs w:val="0"/>
          <w:rtl w:val="0"/>
        </w:rPr>
        <w:t xml:space="preserve">(6), 69-96. </w:t>
      </w:r>
      <w:hyperlink r:id="rId55">
        <w:r w:rsidDel="00000000" w:rsidR="00000000" w:rsidRPr="00000000">
          <w:rPr>
            <w:rFonts w:ascii="Times New Roman" w:cs="Times New Roman" w:eastAsia="Times New Roman" w:hAnsi="Times New Roman"/>
            <w:i w:val="0"/>
            <w:iCs w:val="0"/>
            <w:color w:val="1155cc"/>
            <w:u w:val="single"/>
            <w:rtl w:val="0"/>
          </w:rPr>
          <w:t xml:space="preserve">https://doi.org/10.1509/jm.15.0420</w:t>
        </w:r>
      </w:hyperlink>
      <w:r w:rsidDel="00000000" w:rsidR="00000000" w:rsidRPr="00000000">
        <w:rPr>
          <w:rtl w:val="0"/>
        </w:rPr>
      </w:r>
    </w:p>
    <w:p w:rsidR="00000000" w:rsidDel="00000000" w:rsidP="00000000" w:rsidRDefault="00000000" w:rsidRPr="00000000" w14:paraId="000004E4">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López, P. (2026, 25 de mayo). </w:t>
      </w:r>
      <w:r w:rsidDel="00000000" w:rsidR="00000000" w:rsidRPr="00000000">
        <w:rPr>
          <w:rFonts w:ascii="Times New Roman" w:cs="Times New Roman" w:eastAsia="Times New Roman" w:hAnsi="Times New Roman"/>
          <w:i w:val="1"/>
          <w:iCs w:val="1"/>
          <w:rtl w:val="0"/>
        </w:rPr>
        <w:t xml:space="preserve">Blue Buddy: la IA generativa que mejora la atención en oficinas bancarias</w:t>
      </w:r>
      <w:r w:rsidDel="00000000" w:rsidR="00000000" w:rsidRPr="00000000">
        <w:rPr>
          <w:rFonts w:ascii="Times New Roman" w:cs="Times New Roman" w:eastAsia="Times New Roman" w:hAnsi="Times New Roman"/>
          <w:rtl w:val="0"/>
        </w:rPr>
        <w:t xml:space="preserve">. BBVA. </w:t>
      </w:r>
      <w:hyperlink r:id="rId56">
        <w:r w:rsidDel="00000000" w:rsidR="00000000" w:rsidRPr="00000000">
          <w:rPr>
            <w:rFonts w:ascii="Times New Roman" w:cs="Times New Roman" w:eastAsia="Times New Roman" w:hAnsi="Times New Roman"/>
            <w:color w:val="1155cc"/>
            <w:u w:val="single"/>
            <w:rtl w:val="0"/>
          </w:rPr>
          <w:t xml:space="preserve">https://www.bbva.com/es/pe/innovacion/blue-buddy-la-ia-generativa-que-mejora-la-atencion-en-oficinas-bancarias/</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E5">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Melo, Y. (2026, 24 de marzo). Solo 1 de cada 4 mypes accede a crédito y paga más por falta de información financiera. </w:t>
      </w:r>
      <w:r w:rsidDel="00000000" w:rsidR="00000000" w:rsidRPr="00000000">
        <w:rPr>
          <w:rFonts w:ascii="Times New Roman" w:cs="Times New Roman" w:eastAsia="Times New Roman" w:hAnsi="Times New Roman"/>
          <w:i w:val="1"/>
          <w:iCs w:val="1"/>
          <w:rtl w:val="0"/>
        </w:rPr>
        <w:t xml:space="preserve">Infobae</w:t>
      </w:r>
      <w:r w:rsidDel="00000000" w:rsidR="00000000" w:rsidRPr="00000000">
        <w:rPr>
          <w:rFonts w:ascii="Times New Roman" w:cs="Times New Roman" w:eastAsia="Times New Roman" w:hAnsi="Times New Roman"/>
          <w:rtl w:val="0"/>
        </w:rPr>
        <w:t xml:space="preserve">. </w:t>
      </w:r>
      <w:hyperlink r:id="rId57">
        <w:r w:rsidDel="00000000" w:rsidR="00000000" w:rsidRPr="00000000">
          <w:rPr>
            <w:rFonts w:ascii="Times New Roman" w:cs="Times New Roman" w:eastAsia="Times New Roman" w:hAnsi="Times New Roman"/>
            <w:i w:val="0"/>
            <w:iCs w:val="0"/>
            <w:color w:val="1155cc"/>
            <w:u w:val="single"/>
            <w:rtl w:val="0"/>
          </w:rPr>
          <w:t xml:space="preserve">https://www.infobae.com/peru/2026/03/24/solo-1-de-cada-4-mypes-accede-a-credito-y-paga-mas-por-falta-de-informacion-financiera/</w:t>
        </w:r>
      </w:hyperlink>
      <w:r w:rsidDel="00000000" w:rsidR="00000000" w:rsidRPr="00000000">
        <w:rPr>
          <w:rtl w:val="0"/>
        </w:rPr>
      </w:r>
    </w:p>
    <w:p w:rsidR="00000000" w:rsidDel="00000000" w:rsidP="00000000" w:rsidRDefault="00000000" w:rsidRPr="00000000" w14:paraId="000004E6">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Mestanza Arquiñigo, C. (2024, 13 de noviembre). </w:t>
      </w:r>
      <w:r w:rsidDel="00000000" w:rsidR="00000000" w:rsidRPr="00000000">
        <w:rPr>
          <w:rFonts w:ascii="Times New Roman" w:cs="Times New Roman" w:eastAsia="Times New Roman" w:hAnsi="Times New Roman"/>
          <w:i w:val="1"/>
          <w:iCs w:val="1"/>
          <w:rtl w:val="0"/>
        </w:rPr>
        <w:t xml:space="preserve">La inteligencia artificial llega al "call center": ¿cómo responde el voicebot bancario y qué será capaz de hacer? El Comercio</w:t>
      </w:r>
      <w:r w:rsidDel="00000000" w:rsidR="00000000" w:rsidRPr="00000000">
        <w:rPr>
          <w:rFonts w:ascii="Times New Roman" w:cs="Times New Roman" w:eastAsia="Times New Roman" w:hAnsi="Times New Roman"/>
          <w:rtl w:val="0"/>
        </w:rPr>
        <w:t xml:space="preserve">. </w:t>
      </w:r>
      <w:hyperlink r:id="rId58">
        <w:r w:rsidDel="00000000" w:rsidR="00000000" w:rsidRPr="00000000">
          <w:rPr>
            <w:rFonts w:ascii="Times New Roman" w:cs="Times New Roman" w:eastAsia="Times New Roman" w:hAnsi="Times New Roman"/>
            <w:color w:val="1155cc"/>
            <w:u w:val="single"/>
            <w:rtl w:val="0"/>
          </w:rPr>
          <w:t xml:space="preserve">https://elcomercio.pe/tecnologia/inteligencia-artificial/la-inteligencia-artificial-llega-al-call-center-como-responde-el-voicebot-bancario-y-que-sera-capaz-de-hacer-ia-bancos-sistema-financiero-atencion-al-cliente-noticia/</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E7">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Osterwalder, A., &amp; Pigneur, Y. (2010). </w:t>
      </w:r>
      <w:r w:rsidDel="00000000" w:rsidR="00000000" w:rsidRPr="00000000">
        <w:rPr>
          <w:rFonts w:ascii="Times New Roman" w:cs="Times New Roman" w:eastAsia="Times New Roman" w:hAnsi="Times New Roman"/>
          <w:i w:val="1"/>
          <w:iCs w:val="1"/>
          <w:rtl w:val="0"/>
        </w:rPr>
        <w:t xml:space="preserve">Business model generation: A handbook for visionaries, game changers, and challengers</w:t>
      </w:r>
      <w:r w:rsidDel="00000000" w:rsidR="00000000" w:rsidRPr="00000000">
        <w:rPr>
          <w:rFonts w:ascii="Times New Roman" w:cs="Times New Roman" w:eastAsia="Times New Roman" w:hAnsi="Times New Roman"/>
          <w:rtl w:val="0"/>
        </w:rPr>
        <w:t xml:space="preserve">. John Wiley &amp; Sons.</w:t>
      </w:r>
      <w:hyperlink r:id="rId59">
        <w:r w:rsidDel="00000000" w:rsidR="00000000" w:rsidRPr="00000000">
          <w:rPr>
            <w:rFonts w:ascii="Times New Roman" w:cs="Times New Roman" w:eastAsia="Times New Roman" w:hAnsi="Times New Roman"/>
            <w:rtl w:val="0"/>
          </w:rPr>
          <w:t xml:space="preserve"> </w:t>
        </w:r>
      </w:hyperlink>
      <w:hyperlink r:id="rId60">
        <w:r w:rsidDel="00000000" w:rsidR="00000000" w:rsidRPr="00000000">
          <w:rPr>
            <w:rFonts w:ascii="Times New Roman" w:cs="Times New Roman" w:eastAsia="Times New Roman" w:hAnsi="Times New Roman"/>
            <w:color w:val="0563c1"/>
            <w:u w:val="single"/>
            <w:rtl w:val="0"/>
          </w:rPr>
          <w:t xml:space="preserve">https://www.wiley.com/en-us/Business%2BModel%2BGeneration%3A%2BA%2BHandbook%2Bfor%2BVisionaries%2C%2BGame%2BChangers%2C%2Band%2BChallengers-p-9780470876411</w:t>
        </w:r>
      </w:hyperlink>
      <w:r w:rsidDel="00000000" w:rsidR="00000000" w:rsidRPr="00000000">
        <w:rPr>
          <w:rtl w:val="0"/>
        </w:rPr>
      </w:r>
    </w:p>
    <w:p w:rsidR="00000000" w:rsidDel="00000000" w:rsidP="00000000" w:rsidRDefault="00000000" w:rsidRPr="00000000" w14:paraId="000004E8">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Pombo Nartallo, V. (2025, 7 de marzo). </w:t>
      </w:r>
      <w:r w:rsidDel="00000000" w:rsidR="00000000" w:rsidRPr="00000000">
        <w:rPr>
          <w:rFonts w:ascii="Times New Roman" w:cs="Times New Roman" w:eastAsia="Times New Roman" w:hAnsi="Times New Roman"/>
          <w:i w:val="1"/>
          <w:iCs w:val="1"/>
          <w:rtl w:val="0"/>
        </w:rPr>
        <w:t xml:space="preserve">Generative AI: Customer service, SMEs and fraud detection stood out at the BBVA Bot Talent competition</w:t>
      </w:r>
      <w:r w:rsidDel="00000000" w:rsidR="00000000" w:rsidRPr="00000000">
        <w:rPr>
          <w:rFonts w:ascii="Times New Roman" w:cs="Times New Roman" w:eastAsia="Times New Roman" w:hAnsi="Times New Roman"/>
          <w:rtl w:val="0"/>
        </w:rPr>
        <w:t xml:space="preserve">. BBVA. </w:t>
      </w:r>
      <w:hyperlink r:id="rId61">
        <w:r w:rsidDel="00000000" w:rsidR="00000000" w:rsidRPr="00000000">
          <w:rPr>
            <w:rFonts w:ascii="Times New Roman" w:cs="Times New Roman" w:eastAsia="Times New Roman" w:hAnsi="Times New Roman"/>
            <w:color w:val="1155cc"/>
            <w:u w:val="single"/>
            <w:rtl w:val="0"/>
          </w:rPr>
          <w:t xml:space="preserve">https://www.bbva.com/en/innovation/generative-ai-customer-service-smes-and-fraud-detection-stood-out-at-the-bbva-bot-talent-competition/</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E9">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PressPerú. (2026, 23 de julio). </w:t>
      </w:r>
      <w:r w:rsidDel="00000000" w:rsidR="00000000" w:rsidRPr="00000000">
        <w:rPr>
          <w:rFonts w:ascii="Times New Roman" w:cs="Times New Roman" w:eastAsia="Times New Roman" w:hAnsi="Times New Roman"/>
          <w:i w:val="1"/>
          <w:iCs w:val="1"/>
          <w:rtl w:val="0"/>
        </w:rPr>
        <w:t xml:space="preserve">Mibanco lleva la IA agéntica de AWS a WhatsApp para transformar el acceso a las microfinanzas en Perú</w:t>
      </w:r>
      <w:r w:rsidDel="00000000" w:rsidR="00000000" w:rsidRPr="00000000">
        <w:rPr>
          <w:rFonts w:ascii="Times New Roman" w:cs="Times New Roman" w:eastAsia="Times New Roman" w:hAnsi="Times New Roman"/>
          <w:rtl w:val="0"/>
        </w:rPr>
        <w:t xml:space="preserve">. </w:t>
      </w:r>
      <w:hyperlink r:id="rId62">
        <w:r w:rsidDel="00000000" w:rsidR="00000000" w:rsidRPr="00000000">
          <w:rPr>
            <w:rFonts w:ascii="Times New Roman" w:cs="Times New Roman" w:eastAsia="Times New Roman" w:hAnsi="Times New Roman"/>
            <w:color w:val="1155cc"/>
            <w:u w:val="single"/>
            <w:rtl w:val="0"/>
          </w:rPr>
          <w:t xml:space="preserve">https://pressperu.com/2026/07/23/mibanco-lleva-la-ia-agentica-de-aws-a-whatsapp-para-transformar-el-acceso-a-las-microfinanzas-en-peru/</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EA">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Ramírez Huancayo, Z. (2026, 14 de setiembre). </w:t>
      </w:r>
      <w:r w:rsidDel="00000000" w:rsidR="00000000" w:rsidRPr="00000000">
        <w:rPr>
          <w:rFonts w:ascii="Times New Roman" w:cs="Times New Roman" w:eastAsia="Times New Roman" w:hAnsi="Times New Roman"/>
          <w:i w:val="1"/>
          <w:iCs w:val="1"/>
          <w:rtl w:val="0"/>
        </w:rPr>
        <w:t xml:space="preserve">Habrá más control a créditos bancarios que se otorguen con IA, ¿qué ganarán clientes? Gestión</w:t>
      </w:r>
      <w:r w:rsidDel="00000000" w:rsidR="00000000" w:rsidRPr="00000000">
        <w:rPr>
          <w:rFonts w:ascii="Times New Roman" w:cs="Times New Roman" w:eastAsia="Times New Roman" w:hAnsi="Times New Roman"/>
          <w:rtl w:val="0"/>
        </w:rPr>
        <w:t xml:space="preserve">. </w:t>
      </w:r>
      <w:hyperlink r:id="rId63">
        <w:r w:rsidDel="00000000" w:rsidR="00000000" w:rsidRPr="00000000">
          <w:rPr>
            <w:rFonts w:ascii="Times New Roman" w:cs="Times New Roman" w:eastAsia="Times New Roman" w:hAnsi="Times New Roman"/>
            <w:color w:val="1155cc"/>
            <w:u w:val="single"/>
            <w:rtl w:val="0"/>
          </w:rPr>
          <w:t xml:space="preserve">https://gestion.pe/economia/empresas/habra-mas-control-a-creditos-bancarios-que-se-otorguen-con-ia-que-ganaran-clientes-noticia/</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EB">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Reusche, I. (2025, 31 de enero). </w:t>
      </w:r>
      <w:r w:rsidDel="00000000" w:rsidR="00000000" w:rsidRPr="00000000">
        <w:rPr>
          <w:rFonts w:ascii="Times New Roman" w:cs="Times New Roman" w:eastAsia="Times New Roman" w:hAnsi="Times New Roman"/>
          <w:i w:val="1"/>
          <w:iCs w:val="1"/>
          <w:rtl w:val="0"/>
        </w:rPr>
        <w:t xml:space="preserve">'Blue', el asistente virtual de BBVA, atiende más de cuatro millones de consultas en Perú</w:t>
      </w:r>
      <w:r w:rsidDel="00000000" w:rsidR="00000000" w:rsidRPr="00000000">
        <w:rPr>
          <w:rFonts w:ascii="Times New Roman" w:cs="Times New Roman" w:eastAsia="Times New Roman" w:hAnsi="Times New Roman"/>
          <w:rtl w:val="0"/>
        </w:rPr>
        <w:t xml:space="preserve">. BBVA. </w:t>
      </w:r>
      <w:hyperlink r:id="rId64">
        <w:r w:rsidDel="00000000" w:rsidR="00000000" w:rsidRPr="00000000">
          <w:rPr>
            <w:rFonts w:ascii="Times New Roman" w:cs="Times New Roman" w:eastAsia="Times New Roman" w:hAnsi="Times New Roman"/>
            <w:color w:val="1155cc"/>
            <w:u w:val="single"/>
            <w:rtl w:val="0"/>
          </w:rPr>
          <w:t xml:space="preserve">https://www.bbva.com/es/pe/innovacion/blue-el-asistente-virtual-de-bbva-atiende-mas-de-cuatro-millones-de-consultas-en-peru/</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EC">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Reusche, I. (2026, 4 de agosto). </w:t>
      </w:r>
      <w:r w:rsidDel="00000000" w:rsidR="00000000" w:rsidRPr="00000000">
        <w:rPr>
          <w:rFonts w:ascii="Times New Roman" w:cs="Times New Roman" w:eastAsia="Times New Roman" w:hAnsi="Times New Roman"/>
          <w:i w:val="1"/>
          <w:iCs w:val="1"/>
          <w:rtl w:val="0"/>
        </w:rPr>
        <w:t xml:space="preserve">BBVA en Perú alcanza una facturación trimestral histórica en el segmento Pymes con 48 % de crecimiento versus 2025</w:t>
      </w:r>
      <w:r w:rsidDel="00000000" w:rsidR="00000000" w:rsidRPr="00000000">
        <w:rPr>
          <w:rFonts w:ascii="Times New Roman" w:cs="Times New Roman" w:eastAsia="Times New Roman" w:hAnsi="Times New Roman"/>
          <w:rtl w:val="0"/>
        </w:rPr>
        <w:t xml:space="preserve">. BBVA. </w:t>
      </w:r>
      <w:hyperlink r:id="rId65">
        <w:r w:rsidDel="00000000" w:rsidR="00000000" w:rsidRPr="00000000">
          <w:rPr>
            <w:rFonts w:ascii="Times New Roman" w:cs="Times New Roman" w:eastAsia="Times New Roman" w:hAnsi="Times New Roman"/>
            <w:i w:val="0"/>
            <w:iCs w:val="0"/>
            <w:color w:val="1155cc"/>
            <w:u w:val="single"/>
            <w:rtl w:val="0"/>
          </w:rPr>
          <w:t xml:space="preserve">https://www.bbva.com/es/pe/empresas/bbva-en-peru-alcanza-una-facturacion-trimestral-historica-en-el-segmento-pymes-con-48-de-crecimiento-versus-2025/</w:t>
        </w:r>
      </w:hyperlink>
      <w:r w:rsidDel="00000000" w:rsidR="00000000" w:rsidRPr="00000000">
        <w:rPr>
          <w:rtl w:val="0"/>
        </w:rPr>
      </w:r>
    </w:p>
    <w:p w:rsidR="00000000" w:rsidDel="00000000" w:rsidP="00000000" w:rsidRDefault="00000000" w:rsidRPr="00000000" w14:paraId="000004ED">
      <w:pPr>
        <w:spacing w:after="160" w:line="360" w:lineRule="auto"/>
        <w:ind w:left="720" w:hanging="720"/>
        <w:jc w:val="left"/>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Salazar Herrada, E. (2026, 3 de junio). SBS: Utilidad del sistema financiero alcanza los S/ 17,934 millones y la morosidad vuelve a niveles prepandemia. </w:t>
      </w:r>
      <w:r w:rsidDel="00000000" w:rsidR="00000000" w:rsidRPr="00000000">
        <w:rPr>
          <w:rFonts w:ascii="Times New Roman" w:cs="Times New Roman" w:eastAsia="Times New Roman" w:hAnsi="Times New Roman"/>
          <w:i w:val="1"/>
          <w:iCs w:val="1"/>
          <w:rtl w:val="0"/>
        </w:rPr>
        <w:t xml:space="preserve">Infobae</w:t>
      </w:r>
      <w:r w:rsidDel="00000000" w:rsidR="00000000" w:rsidRPr="00000000">
        <w:rPr>
          <w:rFonts w:ascii="Times New Roman" w:cs="Times New Roman" w:eastAsia="Times New Roman" w:hAnsi="Times New Roman"/>
          <w:rtl w:val="0"/>
        </w:rPr>
        <w:t xml:space="preserve">. </w:t>
      </w:r>
      <w:hyperlink r:id="rId66">
        <w:r w:rsidDel="00000000" w:rsidR="00000000" w:rsidRPr="00000000">
          <w:rPr>
            <w:rFonts w:ascii="Times New Roman" w:cs="Times New Roman" w:eastAsia="Times New Roman" w:hAnsi="Times New Roman"/>
            <w:i w:val="0"/>
            <w:iCs w:val="0"/>
            <w:color w:val="1155cc"/>
            <w:u w:val="single"/>
            <w:rtl w:val="0"/>
          </w:rPr>
          <w:t xml:space="preserve">https://www.infobae.com/peru/2026/06/03/sbs-utilidad-del-sistema-financiero-alcanza-los-s17934-millones-y-la-morosidad-vuelve-a-niveles-prepandemia/</w:t>
        </w:r>
      </w:hyperlink>
      <w:r w:rsidDel="00000000" w:rsidR="00000000" w:rsidRPr="00000000">
        <w:rPr>
          <w:rtl w:val="0"/>
        </w:rPr>
      </w:r>
    </w:p>
    <w:p w:rsidR="00000000" w:rsidDel="00000000" w:rsidP="00000000" w:rsidRDefault="00000000" w:rsidRPr="00000000" w14:paraId="000004EE">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Scotiabank Perú. (s. f.). </w:t>
      </w:r>
      <w:r w:rsidDel="00000000" w:rsidR="00000000" w:rsidRPr="00000000">
        <w:rPr>
          <w:rFonts w:ascii="Times New Roman" w:cs="Times New Roman" w:eastAsia="Times New Roman" w:hAnsi="Times New Roman"/>
          <w:i w:val="1"/>
          <w:iCs w:val="1"/>
          <w:rtl w:val="0"/>
        </w:rPr>
        <w:t xml:space="preserve">Cuenta Kids</w:t>
      </w:r>
      <w:r w:rsidDel="00000000" w:rsidR="00000000" w:rsidRPr="00000000">
        <w:rPr>
          <w:rFonts w:ascii="Times New Roman" w:cs="Times New Roman" w:eastAsia="Times New Roman" w:hAnsi="Times New Roman"/>
          <w:rtl w:val="0"/>
        </w:rPr>
        <w:t xml:space="preserve">. Recuperado el 26 de setiembre de 2026, de </w:t>
      </w:r>
      <w:hyperlink r:id="rId67">
        <w:r w:rsidDel="00000000" w:rsidR="00000000" w:rsidRPr="00000000">
          <w:rPr>
            <w:rFonts w:ascii="Times New Roman" w:cs="Times New Roman" w:eastAsia="Times New Roman" w:hAnsi="Times New Roman"/>
            <w:color w:val="1155cc"/>
            <w:u w:val="single"/>
            <w:rtl w:val="0"/>
          </w:rPr>
          <w:t xml:space="preserve">https://www.scotiabank.com.pe/Personas/Ahorros/Cuentas-Bancarias/cuenta-kids-scotiabank</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EF">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Stealth Agents. (2026, 25 de junio). </w:t>
      </w:r>
      <w:r w:rsidDel="00000000" w:rsidR="00000000" w:rsidRPr="00000000">
        <w:rPr>
          <w:rFonts w:ascii="Times New Roman" w:cs="Times New Roman" w:eastAsia="Times New Roman" w:hAnsi="Times New Roman"/>
          <w:i w:val="1"/>
          <w:iCs w:val="1"/>
          <w:rtl w:val="0"/>
        </w:rPr>
        <w:t xml:space="preserve">AI loan underwriting automation stats 2026</w:t>
      </w:r>
      <w:r w:rsidDel="00000000" w:rsidR="00000000" w:rsidRPr="00000000">
        <w:rPr>
          <w:rFonts w:ascii="Times New Roman" w:cs="Times New Roman" w:eastAsia="Times New Roman" w:hAnsi="Times New Roman"/>
          <w:rtl w:val="0"/>
        </w:rPr>
        <w:t xml:space="preserve">. </w:t>
      </w:r>
      <w:hyperlink r:id="rId68">
        <w:r w:rsidDel="00000000" w:rsidR="00000000" w:rsidRPr="00000000">
          <w:rPr>
            <w:rFonts w:ascii="Times New Roman" w:cs="Times New Roman" w:eastAsia="Times New Roman" w:hAnsi="Times New Roman"/>
            <w:color w:val="1155cc"/>
            <w:u w:val="single"/>
            <w:rtl w:val="0"/>
          </w:rPr>
          <w:t xml:space="preserve">https://stealthagents.com/research/ai-loan-underwriting-automation-statistics-2026</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F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Sundararajan, R., &amp; Jeenah, U. (2025, 15 de agosto). </w:t>
      </w:r>
      <w:r w:rsidDel="00000000" w:rsidR="00000000" w:rsidRPr="00000000">
        <w:rPr>
          <w:rFonts w:ascii="Times New Roman" w:cs="Times New Roman" w:eastAsia="Times New Roman" w:hAnsi="Times New Roman"/>
          <w:i w:val="1"/>
          <w:iCs w:val="1"/>
          <w:rtl w:val="0"/>
        </w:rPr>
        <w:t xml:space="preserve">El fin de la inercia: los agentes de IA y la disrupción en la banca minorista y PyME</w:t>
      </w:r>
      <w:r w:rsidDel="00000000" w:rsidR="00000000" w:rsidRPr="00000000">
        <w:rPr>
          <w:rFonts w:ascii="Times New Roman" w:cs="Times New Roman" w:eastAsia="Times New Roman" w:hAnsi="Times New Roman"/>
          <w:rtl w:val="0"/>
        </w:rPr>
        <w:t xml:space="preserve">. McKinsey &amp; Company. </w:t>
      </w:r>
      <w:hyperlink r:id="rId69">
        <w:r w:rsidDel="00000000" w:rsidR="00000000" w:rsidRPr="00000000">
          <w:rPr>
            <w:rFonts w:ascii="Times New Roman" w:cs="Times New Roman" w:eastAsia="Times New Roman" w:hAnsi="Times New Roman"/>
            <w:color w:val="1155cc"/>
            <w:u w:val="single"/>
            <w:rtl w:val="0"/>
          </w:rPr>
          <w:t xml:space="preserve">https://www.mckinsey.com/locations/south-america/latam/hispanoamerica-en-potencia/el-fin-de-la-inercia-los-agentes-de-ia-y-la-disrupcion-en-la-banca-minorista-y-pyme/es-CL</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F1">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Superintendencia de Banca, Seguros y Administradoras Privadas de Fondos de Pensiones. (</w:t>
      </w:r>
      <w:r w:rsidDel="00000000" w:rsidR="00000000" w:rsidRPr="00000000">
        <w:rPr>
          <w:rFonts w:ascii="Times New Roman" w:cs="Times New Roman" w:eastAsia="Times New Roman" w:hAnsi="Times New Roman"/>
          <w:rtl w:val="0"/>
        </w:rPr>
        <w:t xml:space="preserve">2020). </w:t>
      </w:r>
      <w:r w:rsidDel="00000000" w:rsidR="00000000" w:rsidRPr="00000000">
        <w:rPr>
          <w:rFonts w:ascii="Times New Roman" w:cs="Times New Roman" w:eastAsia="Times New Roman" w:hAnsi="Times New Roman"/>
          <w:i w:val="1"/>
          <w:iCs w:val="1"/>
          <w:rtl w:val="0"/>
        </w:rPr>
        <w:t xml:space="preserve">Resolución SBS N.º </w:t>
      </w:r>
      <w:r w:rsidDel="00000000" w:rsidR="00000000" w:rsidRPr="00000000">
        <w:rPr>
          <w:rFonts w:ascii="Times New Roman" w:cs="Times New Roman" w:eastAsia="Times New Roman" w:hAnsi="Times New Roman"/>
          <w:i w:val="1"/>
          <w:iCs w:val="1"/>
          <w:rtl w:val="0"/>
        </w:rPr>
        <w:t xml:space="preserve">877-2020. Reglamento para la Gestión de la Continuidad del Negocio</w:t>
      </w:r>
      <w:r w:rsidDel="00000000" w:rsidR="00000000" w:rsidRPr="00000000">
        <w:rPr>
          <w:rFonts w:ascii="Times New Roman" w:cs="Times New Roman" w:eastAsia="Times New Roman" w:hAnsi="Times New Roman"/>
          <w:rtl w:val="0"/>
        </w:rPr>
        <w:t xml:space="preserve">.</w:t>
      </w:r>
      <w:hyperlink r:id="rId70">
        <w:r w:rsidDel="00000000" w:rsidR="00000000" w:rsidRPr="00000000">
          <w:rPr>
            <w:rFonts w:ascii="Times New Roman" w:cs="Times New Roman" w:eastAsia="Times New Roman" w:hAnsi="Times New Roman"/>
            <w:rtl w:val="0"/>
          </w:rPr>
          <w:t xml:space="preserve"> </w:t>
        </w:r>
      </w:hyperlink>
      <w:hyperlink r:id="rId71">
        <w:r w:rsidDel="00000000" w:rsidR="00000000" w:rsidRPr="00000000">
          <w:rPr>
            <w:rFonts w:ascii="Times New Roman" w:cs="Times New Roman" w:eastAsia="Times New Roman" w:hAnsi="Times New Roman"/>
            <w:color w:val="1155cc"/>
            <w:u w:val="single"/>
            <w:rtl w:val="0"/>
          </w:rPr>
          <w:t xml:space="preserve">https://intranet2.sbs.gob.pe/dv_int_cn/1894/v1.0/Adjuntos/877-2020.R.pdf</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F2">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Superintendencia de Banca, Seguros y Administradoras Privadas de Fondos de Pensiones. (</w:t>
      </w:r>
      <w:r w:rsidDel="00000000" w:rsidR="00000000" w:rsidRPr="00000000">
        <w:rPr>
          <w:rFonts w:ascii="Times New Roman" w:cs="Times New Roman" w:eastAsia="Times New Roman" w:hAnsi="Times New Roman"/>
          <w:rtl w:val="0"/>
        </w:rPr>
        <w:t xml:space="preserve">2021). </w:t>
      </w:r>
      <w:r w:rsidDel="00000000" w:rsidR="00000000" w:rsidRPr="00000000">
        <w:rPr>
          <w:rFonts w:ascii="Times New Roman" w:cs="Times New Roman" w:eastAsia="Times New Roman" w:hAnsi="Times New Roman"/>
          <w:i w:val="1"/>
          <w:iCs w:val="1"/>
          <w:rtl w:val="0"/>
        </w:rPr>
        <w:t xml:space="preserve">Resolución SBS N.º </w:t>
      </w:r>
      <w:r w:rsidDel="00000000" w:rsidR="00000000" w:rsidRPr="00000000">
        <w:rPr>
          <w:rFonts w:ascii="Times New Roman" w:cs="Times New Roman" w:eastAsia="Times New Roman" w:hAnsi="Times New Roman"/>
          <w:i w:val="1"/>
          <w:iCs w:val="1"/>
          <w:rtl w:val="0"/>
        </w:rPr>
        <w:t xml:space="preserve">504-2021. Reglamento para la Gestión de la Seguridad de la Información y la Ciberseguridad</w:t>
      </w:r>
      <w:r w:rsidDel="00000000" w:rsidR="00000000" w:rsidRPr="00000000">
        <w:rPr>
          <w:rFonts w:ascii="Times New Roman" w:cs="Times New Roman" w:eastAsia="Times New Roman" w:hAnsi="Times New Roman"/>
          <w:rtl w:val="0"/>
        </w:rPr>
        <w:t xml:space="preserve">.</w:t>
      </w:r>
      <w:hyperlink r:id="rId72">
        <w:r w:rsidDel="00000000" w:rsidR="00000000" w:rsidRPr="00000000">
          <w:rPr>
            <w:rFonts w:ascii="Times New Roman" w:cs="Times New Roman" w:eastAsia="Times New Roman" w:hAnsi="Times New Roman"/>
            <w:i w:val="1"/>
            <w:iCs w:val="1"/>
            <w:rtl w:val="0"/>
          </w:rPr>
          <w:t xml:space="preserve"> </w:t>
        </w:r>
      </w:hyperlink>
      <w:hyperlink r:id="rId73">
        <w:r w:rsidDel="00000000" w:rsidR="00000000" w:rsidRPr="00000000">
          <w:rPr>
            <w:rFonts w:ascii="Times New Roman" w:cs="Times New Roman" w:eastAsia="Times New Roman" w:hAnsi="Times New Roman"/>
            <w:color w:val="0563c1"/>
            <w:u w:val="single"/>
            <w:rtl w:val="0"/>
          </w:rPr>
          <w:t xml:space="preserve">https://intranet2.sbs.gob.pe/dv_int_cn/2046/v2.0/Adjuntos/504-2021.R.pdf</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F3">
      <w:pPr>
        <w:spacing w:after="240" w:before="240" w:line="360" w:lineRule="auto"/>
        <w:ind w:left="708.6614173228347" w:hanging="708.661417322834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Superintendencia de Banca, Seguros y Administradoras Privadas de Fondos de Pensiones. (2022, 28 de diciembre). </w:t>
      </w:r>
      <w:r w:rsidDel="00000000" w:rsidR="00000000" w:rsidRPr="00000000">
        <w:rPr>
          <w:rFonts w:ascii="Times New Roman" w:cs="Times New Roman" w:eastAsia="Times New Roman" w:hAnsi="Times New Roman"/>
          <w:i w:val="1"/>
          <w:iCs w:val="1"/>
          <w:rtl w:val="0"/>
        </w:rPr>
        <w:t xml:space="preserve">Resolución SBS N.º 04036-2022: Reglamento de Gestión de Reclamos y Requerimientos</w:t>
      </w:r>
      <w:r w:rsidDel="00000000" w:rsidR="00000000" w:rsidRPr="00000000">
        <w:rPr>
          <w:rFonts w:ascii="Times New Roman" w:cs="Times New Roman" w:eastAsia="Times New Roman" w:hAnsi="Times New Roman"/>
          <w:rtl w:val="0"/>
        </w:rPr>
        <w:t xml:space="preserve">.</w:t>
      </w:r>
      <w:hyperlink r:id="rId74">
        <w:r w:rsidDel="00000000" w:rsidR="00000000" w:rsidRPr="00000000">
          <w:rPr>
            <w:rFonts w:ascii="Times New Roman" w:cs="Times New Roman" w:eastAsia="Times New Roman" w:hAnsi="Times New Roman"/>
            <w:rtl w:val="0"/>
          </w:rPr>
          <w:t xml:space="preserve"> </w:t>
        </w:r>
      </w:hyperlink>
      <w:hyperlink r:id="rId75">
        <w:r w:rsidDel="00000000" w:rsidR="00000000" w:rsidRPr="00000000">
          <w:rPr>
            <w:rFonts w:ascii="Times New Roman" w:cs="Times New Roman" w:eastAsia="Times New Roman" w:hAnsi="Times New Roman"/>
            <w:color w:val="1155cc"/>
            <w:u w:val="single"/>
            <w:rtl w:val="0"/>
          </w:rPr>
          <w:t xml:space="preserve">https://intranet2.sbs.gob.pe/dv_int_cn/2230/v1.0/Adjuntos/4036-2022.r.pdf</w:t>
        </w:r>
      </w:hyperlink>
      <w:r w:rsidDel="00000000" w:rsidR="00000000" w:rsidRPr="00000000">
        <w:rPr>
          <w:rtl w:val="0"/>
        </w:rPr>
      </w:r>
    </w:p>
    <w:p w:rsidR="00000000" w:rsidDel="00000000" w:rsidP="00000000" w:rsidRDefault="00000000" w:rsidRPr="00000000" w14:paraId="000004F4">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Superintendencia de Banca, Seguros y Administradoras Privadas de Fondos de </w:t>
      </w:r>
      <w:r w:rsidDel="00000000" w:rsidR="00000000" w:rsidRPr="00000000">
        <w:rPr>
          <w:rFonts w:ascii="Times New Roman" w:cs="Times New Roman" w:eastAsia="Times New Roman" w:hAnsi="Times New Roman"/>
          <w:rtl w:val="0"/>
        </w:rPr>
        <w:t xml:space="preserve">Pensiones. (2025a). </w:t>
      </w:r>
      <w:r w:rsidDel="00000000" w:rsidR="00000000" w:rsidRPr="00000000">
        <w:rPr>
          <w:rFonts w:ascii="Times New Roman" w:cs="Times New Roman" w:eastAsia="Times New Roman" w:hAnsi="Times New Roman"/>
          <w:i w:val="1"/>
          <w:iCs w:val="1"/>
          <w:rtl w:val="0"/>
        </w:rPr>
        <w:t xml:space="preserve">Resolución SBS N.º 00814-202</w:t>
      </w:r>
      <w:r w:rsidDel="00000000" w:rsidR="00000000" w:rsidRPr="00000000">
        <w:rPr>
          <w:rFonts w:ascii="Times New Roman" w:cs="Times New Roman" w:eastAsia="Times New Roman" w:hAnsi="Times New Roman"/>
          <w:i w:val="1"/>
          <w:iCs w:val="1"/>
          <w:rtl w:val="0"/>
        </w:rPr>
        <w:t xml:space="preserve">5</w:t>
      </w:r>
      <w:r w:rsidDel="00000000" w:rsidR="00000000" w:rsidRPr="00000000">
        <w:rPr>
          <w:rFonts w:ascii="Times New Roman" w:cs="Times New Roman" w:eastAsia="Times New Roman" w:hAnsi="Times New Roman"/>
          <w:i w:val="1"/>
          <w:iCs w:val="1"/>
          <w:rtl w:val="0"/>
        </w:rPr>
        <w:t xml:space="preserve">. Modifican el Reglamento para la Gestión de la Continuidad del Negocio y el Reglamento de Infracciones y Sanciones</w:t>
      </w:r>
      <w:r w:rsidDel="00000000" w:rsidR="00000000" w:rsidRPr="00000000">
        <w:rPr>
          <w:rFonts w:ascii="Times New Roman" w:cs="Times New Roman" w:eastAsia="Times New Roman" w:hAnsi="Times New Roman"/>
          <w:rtl w:val="0"/>
        </w:rPr>
        <w:t xml:space="preserve">.</w:t>
      </w:r>
      <w:hyperlink r:id="rId76">
        <w:r w:rsidDel="00000000" w:rsidR="00000000" w:rsidRPr="00000000">
          <w:rPr>
            <w:rFonts w:ascii="Times New Roman" w:cs="Times New Roman" w:eastAsia="Times New Roman" w:hAnsi="Times New Roman"/>
            <w:rtl w:val="0"/>
          </w:rPr>
          <w:t xml:space="preserve"> </w:t>
        </w:r>
      </w:hyperlink>
      <w:hyperlink r:id="rId77">
        <w:r w:rsidDel="00000000" w:rsidR="00000000" w:rsidRPr="00000000">
          <w:rPr>
            <w:rFonts w:ascii="Times New Roman" w:cs="Times New Roman" w:eastAsia="Times New Roman" w:hAnsi="Times New Roman"/>
            <w:color w:val="1155cc"/>
            <w:u w:val="single"/>
            <w:rtl w:val="0"/>
          </w:rPr>
          <w:t xml:space="preserve">https://vlex.com.pe/vid/resolucion-sbs-n-00814-1073736902</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F5">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Superintendencia de Banca, Seguros y Administradoras Privadas de Fondos de Pensiones. (2025b, 18 de marzo). Resolución SBS N.º 00908-2025. Modifican</w:t>
      </w:r>
      <w:r w:rsidDel="00000000" w:rsidR="00000000" w:rsidRPr="00000000">
        <w:rPr>
          <w:rFonts w:ascii="Times New Roman" w:cs="Times New Roman" w:eastAsia="Times New Roman" w:hAnsi="Times New Roman"/>
          <w:rtl w:val="0"/>
        </w:rPr>
        <w:t xml:space="preserve"> el Reglamento de Cuentas Básicas y el Reglamento de Operaciones con Dinero Electrónico, aprobados mediante la Res. SBS </w:t>
      </w:r>
      <w:r w:rsidDel="00000000" w:rsidR="00000000" w:rsidRPr="00000000">
        <w:rPr>
          <w:rFonts w:ascii="Times New Roman" w:cs="Times New Roman" w:eastAsia="Times New Roman" w:hAnsi="Times New Roman"/>
          <w:rtl w:val="0"/>
        </w:rPr>
        <w:t xml:space="preserve">N.º </w:t>
      </w:r>
      <w:r w:rsidDel="00000000" w:rsidR="00000000" w:rsidRPr="00000000">
        <w:rPr>
          <w:rFonts w:ascii="Times New Roman" w:cs="Times New Roman" w:eastAsia="Times New Roman" w:hAnsi="Times New Roman"/>
          <w:rtl w:val="0"/>
        </w:rPr>
        <w:t xml:space="preserve">2891-2018 y la Res. SBS </w:t>
      </w:r>
      <w:r w:rsidDel="00000000" w:rsidR="00000000" w:rsidRPr="00000000">
        <w:rPr>
          <w:rFonts w:ascii="Times New Roman" w:cs="Times New Roman" w:eastAsia="Times New Roman" w:hAnsi="Times New Roman"/>
          <w:rtl w:val="0"/>
        </w:rPr>
        <w:t xml:space="preserve">N.º </w:t>
      </w:r>
      <w:r w:rsidDel="00000000" w:rsidR="00000000" w:rsidRPr="00000000">
        <w:rPr>
          <w:rFonts w:ascii="Times New Roman" w:cs="Times New Roman" w:eastAsia="Times New Roman" w:hAnsi="Times New Roman"/>
          <w:rtl w:val="0"/>
        </w:rPr>
        <w:t xml:space="preserve">6283-2013. </w:t>
      </w:r>
      <w:r w:rsidDel="00000000" w:rsidR="00000000" w:rsidRPr="00000000">
        <w:rPr>
          <w:rFonts w:ascii="Times New Roman" w:cs="Times New Roman" w:eastAsia="Times New Roman" w:hAnsi="Times New Roman"/>
          <w:i w:val="1"/>
          <w:iCs w:val="1"/>
          <w:rtl w:val="0"/>
        </w:rPr>
        <w:t xml:space="preserve">Diario Oficial El Peruano</w:t>
      </w:r>
      <w:r w:rsidDel="00000000" w:rsidR="00000000" w:rsidRPr="00000000">
        <w:rPr>
          <w:rFonts w:ascii="Times New Roman" w:cs="Times New Roman" w:eastAsia="Times New Roman" w:hAnsi="Times New Roman"/>
          <w:rtl w:val="0"/>
        </w:rPr>
        <w:t xml:space="preserve">. </w:t>
      </w:r>
      <w:hyperlink r:id="rId78">
        <w:r w:rsidDel="00000000" w:rsidR="00000000" w:rsidRPr="00000000">
          <w:rPr>
            <w:rFonts w:ascii="Times New Roman" w:cs="Times New Roman" w:eastAsia="Times New Roman" w:hAnsi="Times New Roman"/>
            <w:color w:val="1155cc"/>
            <w:u w:val="single"/>
            <w:rtl w:val="0"/>
          </w:rPr>
          <w:t xml:space="preserve">https://busquedas.elperuano.pe/dispositivo/NL/2379128-1</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F6">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Superintendencia de Banca, Seguros y Administradoras Privadas de Fondos de Pensiones. (2026, 12 de marzo). Resolución SBS N.º 00704-2026. Modifican</w:t>
      </w:r>
      <w:r w:rsidDel="00000000" w:rsidR="00000000" w:rsidRPr="00000000">
        <w:rPr>
          <w:rFonts w:ascii="Times New Roman" w:cs="Times New Roman" w:eastAsia="Times New Roman" w:hAnsi="Times New Roman"/>
          <w:rtl w:val="0"/>
        </w:rPr>
        <w:t xml:space="preserve"> el Reglamento de Operaciones con Dinero Electrónico y el Reglamento de Cuentas Básicas. </w:t>
      </w:r>
      <w:r w:rsidDel="00000000" w:rsidR="00000000" w:rsidRPr="00000000">
        <w:rPr>
          <w:rFonts w:ascii="Times New Roman" w:cs="Times New Roman" w:eastAsia="Times New Roman" w:hAnsi="Times New Roman"/>
          <w:i w:val="1"/>
          <w:iCs w:val="1"/>
          <w:rtl w:val="0"/>
        </w:rPr>
        <w:t xml:space="preserve">Diario Oficial El Peruano</w:t>
      </w:r>
      <w:r w:rsidDel="00000000" w:rsidR="00000000" w:rsidRPr="00000000">
        <w:rPr>
          <w:rFonts w:ascii="Times New Roman" w:cs="Times New Roman" w:eastAsia="Times New Roman" w:hAnsi="Times New Roman"/>
          <w:rtl w:val="0"/>
        </w:rPr>
        <w:t xml:space="preserve">. </w:t>
      </w:r>
      <w:hyperlink r:id="rId79">
        <w:r w:rsidDel="00000000" w:rsidR="00000000" w:rsidRPr="00000000">
          <w:rPr>
            <w:rFonts w:ascii="Times New Roman" w:cs="Times New Roman" w:eastAsia="Times New Roman" w:hAnsi="Times New Roman"/>
            <w:color w:val="1155cc"/>
            <w:u w:val="single"/>
            <w:rtl w:val="0"/>
          </w:rPr>
          <w:t xml:space="preserve">https://busquedas.elperuano.pe/dispositivo/NL/2494159-1</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F7">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Yape. (s. f.). </w:t>
      </w:r>
      <w:r w:rsidDel="00000000" w:rsidR="00000000" w:rsidRPr="00000000">
        <w:rPr>
          <w:rFonts w:ascii="Times New Roman" w:cs="Times New Roman" w:eastAsia="Times New Roman" w:hAnsi="Times New Roman"/>
          <w:i w:val="1"/>
          <w:iCs w:val="1"/>
          <w:rtl w:val="0"/>
        </w:rPr>
        <w:t xml:space="preserve">¿Cómo me registro a Yape con carné de extranjería o pasaporte?</w:t>
      </w:r>
      <w:r w:rsidDel="00000000" w:rsidR="00000000" w:rsidRPr="00000000">
        <w:rPr>
          <w:rFonts w:ascii="Times New Roman" w:cs="Times New Roman" w:eastAsia="Times New Roman" w:hAnsi="Times New Roman"/>
          <w:rtl w:val="0"/>
        </w:rPr>
        <w:t xml:space="preserve"> Recuperado el 26 de setiembre de 2026, de </w:t>
      </w:r>
      <w:hyperlink r:id="rId80">
        <w:r w:rsidDel="00000000" w:rsidR="00000000" w:rsidRPr="00000000">
          <w:rPr>
            <w:rFonts w:ascii="Times New Roman" w:cs="Times New Roman" w:eastAsia="Times New Roman" w:hAnsi="Times New Roman"/>
            <w:color w:val="1155cc"/>
            <w:u w:val="single"/>
            <w:rtl w:val="0"/>
          </w:rPr>
          <w:t xml:space="preserve">https://www.yape.com.pe/preguntas-frecuentes/crear-tu-cuenta-yape/como-me-registro-a-yape-con-carne-de-extranjer%C3%ADa-o-pasaporte</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F8">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APQC. (2018). </w:t>
      </w:r>
      <w:r w:rsidDel="00000000" w:rsidR="00000000" w:rsidRPr="00000000">
        <w:rPr>
          <w:rFonts w:ascii="Times New Roman" w:cs="Times New Roman" w:eastAsia="Times New Roman" w:hAnsi="Times New Roman"/>
          <w:i w:val="1"/>
          <w:iCs w:val="1"/>
          <w:rtl w:val="0"/>
        </w:rPr>
        <w:t xml:space="preserve">Understanding the elements of APQC's Process Classification Framework®</w:t>
      </w:r>
      <w:r w:rsidDel="00000000" w:rsidR="00000000" w:rsidRPr="00000000">
        <w:rPr>
          <w:rFonts w:ascii="Times New Roman" w:cs="Times New Roman" w:eastAsia="Times New Roman" w:hAnsi="Times New Roman"/>
          <w:rtl w:val="0"/>
        </w:rPr>
        <w:t xml:space="preserve">.</w:t>
      </w:r>
      <w:hyperlink r:id="rId81">
        <w:r w:rsidDel="00000000" w:rsidR="00000000" w:rsidRPr="00000000">
          <w:rPr>
            <w:rFonts w:ascii="Times New Roman" w:cs="Times New Roman" w:eastAsia="Times New Roman" w:hAnsi="Times New Roman"/>
            <w:rtl w:val="0"/>
          </w:rPr>
          <w:t xml:space="preserve"> </w:t>
        </w:r>
      </w:hyperlink>
      <w:hyperlink r:id="rId82">
        <w:r w:rsidDel="00000000" w:rsidR="00000000" w:rsidRPr="00000000">
          <w:rPr>
            <w:rFonts w:ascii="Times New Roman" w:cs="Times New Roman" w:eastAsia="Times New Roman" w:hAnsi="Times New Roman"/>
            <w:color w:val="1155cc"/>
            <w:u w:val="single"/>
            <w:rtl w:val="0"/>
          </w:rPr>
          <w:t xml:space="preserve">https://www.apqc.org/sites/default/files/files/PCF%20Collateral/Understanding%20the%20PCF%20Elements%20%20-%20FINAL.pdf</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F9">
      <w:pPr>
        <w:spacing w:line="480" w:lineRule="auto"/>
        <w:jc w:val="left"/>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FA">
      <w:pPr>
        <w:pStyle w:val="Heading1"/>
        <w:ind w:left="0" w:firstLine="0"/>
        <w:rPr>
          <w:rFonts w:ascii="Times New Roman" w:cs="Times New Roman" w:eastAsia="Times New Roman" w:hAnsi="Times New Roman"/>
          <w:b w:val="1"/>
          <w:bCs w:val="1"/>
          <w:sz w:val="22"/>
          <w:szCs w:val="22"/>
        </w:rPr>
      </w:pPr>
      <w:bookmarkStart w:colFirst="0" w:colLast="0" w:name="_heading=h.w1aa2plyd170" w:id="40"/>
      <w:bookmarkEnd w:id="40"/>
      <w:r w:rsidDel="00000000" w:rsidR="00000000" w:rsidRPr="00000000">
        <w:rPr>
          <w:rFonts w:ascii="Times New Roman" w:cs="Times New Roman" w:eastAsia="Times New Roman" w:hAnsi="Times New Roman"/>
          <w:b w:val="1"/>
          <w:bCs w:val="1"/>
          <w:sz w:val="22"/>
          <w:szCs w:val="22"/>
          <w:rtl w:val="0"/>
        </w:rPr>
        <w:t xml:space="preserve">Anexo A. Entrevista con el Service Owner de ATM y Autoservicios de BBVA Perú</w:t>
      </w:r>
      <w:r w:rsidDel="00000000" w:rsidR="00000000" w:rsidRPr="00000000">
        <w:rPr>
          <w:rtl w:val="0"/>
        </w:rPr>
      </w:r>
    </w:p>
    <w:p w:rsidR="00000000" w:rsidDel="00000000" w:rsidP="00000000" w:rsidRDefault="00000000" w:rsidRPr="00000000" w14:paraId="000004F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Entrevista sostenida el 11 de setiembre de 2026 con Arturo Moquillaza, Service Owner ATM and Self-Services de BBVA Perú. La entrevista fue grabada con autorización del entrevistado. Se transcriben a continuación los pasajes relativos al proceso de contratación de productos por canal digital en banca de personas. Los pasajes relativos a otros procesos se omiten por </w:t>
      </w:r>
      <w:r w:rsidDel="00000000" w:rsidR="00000000" w:rsidRPr="00000000">
        <w:rPr>
          <w:rFonts w:ascii="Times New Roman" w:cs="Times New Roman" w:eastAsia="Times New Roman" w:hAnsi="Times New Roman"/>
          <w:rtl w:val="0"/>
        </w:rPr>
        <w:t xml:space="preserve">no corresponder al alcance del análisis de la sección 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FC">
      <w:pPr>
        <w:spacing w:before="20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Sobre la selección del proceso</w:t>
      </w:r>
    </w:p>
    <w:p w:rsidR="00000000" w:rsidDel="00000000" w:rsidP="00000000" w:rsidRDefault="00000000" w:rsidRPr="00000000" w14:paraId="000004F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Rodrigo Sanchez: Mi equipo evaluó inicialmente opciones como la originación de crédito Pyme y la atención de reclamos por fraude digital.</w:t>
      </w:r>
    </w:p>
    <w:p w:rsidR="00000000" w:rsidDel="00000000" w:rsidP="00000000" w:rsidRDefault="00000000" w:rsidRPr="00000000" w14:paraId="000004F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Arturo Moquillaza: El área de prevención de fraude trabaja en una mesa aislada y sus procesos internos son confidenciales. Por otro lado, el flujo Pyme pertenece a un segmento distinto al de retail. El proceso con mayor claridad y disponibilidad de información es la contratación de productos en canales digitales.</w:t>
      </w:r>
    </w:p>
    <w:p w:rsidR="00000000" w:rsidDel="00000000" w:rsidP="00000000" w:rsidRDefault="00000000" w:rsidRPr="00000000" w14:paraId="000004FF">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Sobre la estructura del flujo</w:t>
      </w:r>
    </w:p>
    <w:p w:rsidR="00000000" w:rsidDel="00000000" w:rsidP="00000000" w:rsidRDefault="00000000" w:rsidRPr="00000000" w14:paraId="0000050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Rodrigo Sanchez: ¿Cuántos pasos contempla el proceso de contratación digital?</w:t>
      </w:r>
    </w:p>
    <w:p w:rsidR="00000000" w:rsidDel="00000000" w:rsidP="00000000" w:rsidRDefault="00000000" w:rsidRPr="00000000" w14:paraId="0000050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Arturo Moquillaza: Depende de cada producto, ya sean cuentas de ahorro, tarjetas, préstamos o seguros. No obstante, la tendencia es simplificar los flujos; a inicios de año se lanzó un proceso 100 % digital que permite a un no cliente contratar productos en menos de 5 minutos.</w:t>
      </w:r>
    </w:p>
    <w:p w:rsidR="00000000" w:rsidDel="00000000" w:rsidP="00000000" w:rsidRDefault="00000000" w:rsidRPr="00000000" w14:paraId="00000502">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Sobre la identificación de oportunidades de mejora</w:t>
      </w:r>
    </w:p>
    <w:p w:rsidR="00000000" w:rsidDel="00000000" w:rsidP="00000000" w:rsidRDefault="00000000" w:rsidRPr="00000000" w14:paraId="0000050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Rodrigo Sanchez: ¿Cómo nos recomiendas identificar oportunidades de mejora en este flujo?</w:t>
      </w:r>
    </w:p>
    <w:p w:rsidR="00000000" w:rsidDel="00000000" w:rsidP="00000000" w:rsidRDefault="00000000" w:rsidRPr="00000000" w14:paraId="0000050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Arturo Moquillaza: Les sugiero realizar pruebas reales del flujo como clientes y no clientes. Al evaluar "casos borde" (como usuarios menores de edad o con carné de extranjería), notarán que el sistema interrumpe el flujo y los deriva a una oficina física, lo que constituye un punto clave para optimizar y digitalizar.</w:t>
      </w:r>
    </w:p>
    <w:sectPr>
      <w:footerReference r:id="rId83" w:type="default"/>
      <w:pgSz w:h="16834" w:w="11909" w:orient="portrait"/>
      <w:pgMar w:bottom="1440" w:top="1440" w:left="1440" w:right="1399.133858267717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rge Chamorro" w:id="3" w:date="2026-10-03T16:49:20Z">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Corrección de la observación 4 de consistencia detectada al elaborar la sección 3: la Tabla 11 solo agrupaba macroprocesos de tecnología. Se incorpora el macroproceso de negocio «Cobranzas», que atraviesa los recorridos del cliente analizados en la sección 3 (originación de crédito Pyme, reclamos y contratación digital). Elaboración propia a partir de los servicios y actividades clave de las Tablas 3 y 9; validar con el docente la granularidad de los procesos.</w:t>
      </w:r>
    </w:p>
  </w:comment>
  <w:comment w:author="Jorge Chamorro" w:id="1" w:date="2026-10-03T16:49:20Z">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Corrección de la observación 4 de consistencia detectada al elaborar la sección 3: la Tabla 11 solo agrupaba macroprocesos de tecnología. Se incorpora el macroproceso de negocio «Captación de depósitos y vinculación», que atraviesa los recorridos del cliente analizados en la sección 3 (originación de crédito Pyme, reclamos y contratación digital). Elaboración propia a partir de los servicios y actividades clave de las Tablas 3 y 9; validar con el docente la granularidad de los procesos.</w:t>
      </w:r>
    </w:p>
  </w:comment>
  <w:comment w:author="Jorge Chamorro" w:id="0" w:date="2026-10-03T16:49:20Z">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Corrección de la observación 4 de consistencia detectada al elaborar la sección 3: la Tabla 11 solo agrupaba macroprocesos de tecnología. Se incorpora el macroproceso de negocio «Originación de crédito», que atraviesa los recorridos del cliente analizados en la sección 3 (originación de crédito Pyme, reclamos y contratación digital). Elaboración propia a partir de los servicios y actividades clave de las Tablas 3 y 9; validar con el docente la granularidad de los procesos.</w:t>
      </w:r>
    </w:p>
  </w:comment>
  <w:comment w:author="Jorge Chamorro" w:id="2" w:date="2026-10-03T16:49:20Z">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Corrección de la observación 4 de consistencia detectada al elaborar la sección 3: la Tabla 11 solo agrupaba macroprocesos de tecnología. Se incorpora el macroproceso de negocio «Servicio al cliente», que atraviesa los recorridos del cliente analizados en la sección 3 (originación de crédito Pyme, reclamos y contratación digital). Elaboración propia a partir de los servicios y actividades clave de las Tablas 3 y 9; validar con el docente la granularidad de los procesos.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06" w15:done="0"/>
  <w15:commentEx w15:paraId="00000507" w15:done="0"/>
  <w15:commentEx w15:paraId="00000508" w15:done="0"/>
  <w15:commentEx w15:paraId="0000050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5">
    <w:pPr>
      <w:jc w:val="center"/>
      <w:rPr/>
    </w:pP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566.9291338582675" w:hanging="359.99999999999994"/>
      </w:pPr>
      <w:rPr>
        <w:sz w:val="28"/>
        <w:szCs w:val="28"/>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ccionistaseinversores.bbva.com/grupo-bbva/estrategia-la-transformacion-en-bbva/prioridades-estrategicas/" TargetMode="External"/><Relationship Id="rId83" Type="http://schemas.openxmlformats.org/officeDocument/2006/relationships/footer" Target="footer1.xml"/><Relationship Id="rId42" Type="http://schemas.openxmlformats.org/officeDocument/2006/relationships/hyperlink" Target="https://accionistaseinversores.bbva.com/wp-content/uploads/2026/02/NP-Resultados-BBVA-4T2025_esp.pdf" TargetMode="External"/><Relationship Id="rId41" Type="http://schemas.openxmlformats.org/officeDocument/2006/relationships/hyperlink" Target="https://www.bbva.com/es/pe/empresas/la-app-bbva-empresas-2-0-crece-141-y-acelera-la-digitalizacion-de-las-pymes/" TargetMode="External"/><Relationship Id="rId44" Type="http://schemas.openxmlformats.org/officeDocument/2006/relationships/hyperlink" Target="https://www.bbva.com/es/mx/economia-y-finanzas/bbva-mexico-lanzo-estrategia-de-financiamiento-digital-para-1-1-millones-de-pymes-por-hasta-14-mdp/" TargetMode="External"/><Relationship Id="rId43" Type="http://schemas.openxmlformats.org/officeDocument/2006/relationships/hyperlink" Target="https://www.bbva.com/en/innovation/bbva-completes-its-global-move-to-the-cloud-with-a-single-data-and-artificial-intelligence-platform/" TargetMode="External"/><Relationship Id="rId46" Type="http://schemas.openxmlformats.org/officeDocument/2006/relationships/hyperlink" Target="https://www.bbva.pe/personas.html" TargetMode="External"/><Relationship Id="rId45" Type="http://schemas.openxmlformats.org/officeDocument/2006/relationships/hyperlink" Target="https://www.bbva.com/es/pe/empresas/el-sector-de-las-pymes-sigue-creciendo-y-fortaleciendo-la-economia-peruana/" TargetMode="External"/><Relationship Id="rId80" Type="http://schemas.openxmlformats.org/officeDocument/2006/relationships/hyperlink" Target="https://www.yape.com.pe/preguntas-frecuentes/crear-tu-cuenta-yape/como-me-registro-a-yape-con-carne-de-extranjer%C3%ADa-o-pasaporte" TargetMode="External"/><Relationship Id="rId82" Type="http://schemas.openxmlformats.org/officeDocument/2006/relationships/hyperlink" Target="https://www.apqc.org/sites/default/files/files/PCF%20Collateral/Understanding%20the%20PCF%20Elements%20%20-%20FINAL.pdf" TargetMode="External"/><Relationship Id="rId81" Type="http://schemas.openxmlformats.org/officeDocument/2006/relationships/hyperlink" Target="https://www.apqc.org/sites/default/files/files/PCF%20Collateral/Understanding%20the%20PCF%20Elements%20%20-%20FINAL.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48" Type="http://schemas.openxmlformats.org/officeDocument/2006/relationships/hyperlink" Target="https://doi.org/10.2307/41166446" TargetMode="External"/><Relationship Id="rId47" Type="http://schemas.openxmlformats.org/officeDocument/2006/relationships/hyperlink" Target="https://www.bbva.pe/personas.html" TargetMode="External"/><Relationship Id="rId49" Type="http://schemas.openxmlformats.org/officeDocument/2006/relationships/hyperlink" Target="https://www.blueoceanstrategy.com/tools/errc-gri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intranet2.sbs.gob.pe/dv_int_cn/2046/v2.0/Adjuntos/504-2021.R.pdf" TargetMode="External"/><Relationship Id="rId72" Type="http://schemas.openxmlformats.org/officeDocument/2006/relationships/hyperlink" Target="https://intranet2.sbs.gob.pe/dv_int_cn/2046/v2.0/Adjuntos/504-2021.R.pdf" TargetMode="External"/><Relationship Id="rId31" Type="http://schemas.openxmlformats.org/officeDocument/2006/relationships/hyperlink" Target="https://www.bbva.pe/content/dam/public-web/peru/documents/personas/informacion-reclamos-atendidos-abril-2026.pdf" TargetMode="External"/><Relationship Id="rId75" Type="http://schemas.openxmlformats.org/officeDocument/2006/relationships/hyperlink" Target="https://intranet2.sbs.gob.pe/dv_int_cn/2230/v1.0/Adjuntos/4036-2022.r.pdf" TargetMode="External"/><Relationship Id="rId30" Type="http://schemas.openxmlformats.org/officeDocument/2006/relationships/hyperlink" Target="https://www.bbva.pe/content/dam/public-web/peru/documents/personas/investor-relations/BBVA_Peru_Informe_de_Gestion_4Q25.pdf" TargetMode="External"/><Relationship Id="rId74" Type="http://schemas.openxmlformats.org/officeDocument/2006/relationships/hyperlink" Target="https://intranet2.sbs.gob.pe/dv_int_cn/2230/v1.0/Adjuntos/4036-2022.r.pdf" TargetMode="External"/><Relationship Id="rId33" Type="http://schemas.openxmlformats.org/officeDocument/2006/relationships/hyperlink" Target="https://www.bbva.pe/content/dam/public-web/peru/documents/personas/Informacion_de_Reclamos_atendidos_Junio2026.pdf" TargetMode="External"/><Relationship Id="rId77" Type="http://schemas.openxmlformats.org/officeDocument/2006/relationships/hyperlink" Target="https://vlex.com.pe/vid/resolucion-sbs-n-00814-1073736902" TargetMode="External"/><Relationship Id="rId32" Type="http://schemas.openxmlformats.org/officeDocument/2006/relationships/hyperlink" Target="https://www.bbva.pe/content/dam/public-web/peru/documents/personas/Informacion_de_Reclamos_Atendidos_Mayo_2026.pdf" TargetMode="External"/><Relationship Id="rId76" Type="http://schemas.openxmlformats.org/officeDocument/2006/relationships/hyperlink" Target="https://vlex.com.pe/vid/resolucion-sbs-n-00814-1073736902" TargetMode="External"/><Relationship Id="rId35" Type="http://schemas.openxmlformats.org/officeDocument/2006/relationships/hyperlink" Target="https://www.bbva.pe/content/dam/public-web/peru/documents/personas/Informacion_de_Reclamos_Atendidos_Agosto2026.pdf" TargetMode="External"/><Relationship Id="rId79" Type="http://schemas.openxmlformats.org/officeDocument/2006/relationships/hyperlink" Target="https://busquedas.elperuano.pe/dispositivo/NL/2494159-1" TargetMode="External"/><Relationship Id="rId34" Type="http://schemas.openxmlformats.org/officeDocument/2006/relationships/hyperlink" Target="https://www.bbva.pe/content/dam/public-web/peru/documents/personas/Informacion_de_Reclamos_Atendidos_Julio_2026.pdf" TargetMode="External"/><Relationship Id="rId78" Type="http://schemas.openxmlformats.org/officeDocument/2006/relationships/hyperlink" Target="https://busquedas.elperuano.pe/dispositivo/NL/2379128-1" TargetMode="External"/><Relationship Id="rId71" Type="http://schemas.openxmlformats.org/officeDocument/2006/relationships/hyperlink" Target="https://intranet2.sbs.gob.pe/dv_int_cn/1894/v1.0/Adjuntos/877-2020.R.pdf" TargetMode="External"/><Relationship Id="rId70" Type="http://schemas.openxmlformats.org/officeDocument/2006/relationships/hyperlink" Target="https://intranet2.sbs.gob.pe/dv_int_cn/1894/v1.0/Adjuntos/877-2020.R.pdf" TargetMode="External"/><Relationship Id="rId37" Type="http://schemas.openxmlformats.org/officeDocument/2006/relationships/hyperlink" Target="https://www.bbva.pe/content/dam/public-web/peru/documents/personas/investor-relations/vii-Memoria-Anual-2025.pdf" TargetMode="External"/><Relationship Id="rId36" Type="http://schemas.openxmlformats.org/officeDocument/2006/relationships/hyperlink" Target="https://www.bbva.pe/content/dam/public-web/peru/documents/prefooter/informacion-financiera/informacion-anual/2026/informe-de-gestion-2T2026.pdf" TargetMode="External"/><Relationship Id="rId39" Type="http://schemas.openxmlformats.org/officeDocument/2006/relationships/hyperlink" Target="https://www.bbva.com/es/innovacion/bbva-impulsa-the-eight-su-estrategia-para-transformar-la-experiencia-financiera-con-ia/" TargetMode="External"/><Relationship Id="rId38" Type="http://schemas.openxmlformats.org/officeDocument/2006/relationships/hyperlink" Target="https://www.bbva.com/es/pe/innovacion/las-ventajas-que-ofrecen-los-canales-digitales-para-bbva-y-sus-clientes/" TargetMode="External"/><Relationship Id="rId62" Type="http://schemas.openxmlformats.org/officeDocument/2006/relationships/hyperlink" Target="https://pressperu.com/2026/07/23/mibanco-lleva-la-ia-agentica-de-aws-a-whatsapp-para-transformar-el-acceso-a-las-microfinanzas-en-peru/" TargetMode="External"/><Relationship Id="rId61" Type="http://schemas.openxmlformats.org/officeDocument/2006/relationships/hyperlink" Target="https://www.bbva.com/en/innovation/generative-ai-customer-service-smes-and-fraud-detection-stood-out-at-the-bbva-bot-talent-competition/" TargetMode="External"/><Relationship Id="rId20" Type="http://schemas.openxmlformats.org/officeDocument/2006/relationships/hyperlink" Target="https://www.bbva.pe/personas/productos/cuentas/ahorro.html" TargetMode="External"/><Relationship Id="rId64" Type="http://schemas.openxmlformats.org/officeDocument/2006/relationships/hyperlink" Target="https://www.bbva.com/es/pe/innovacion/blue-el-asistente-virtual-de-bbva-atiende-mas-de-cuatro-millones-de-consultas-en-peru/" TargetMode="External"/><Relationship Id="rId63" Type="http://schemas.openxmlformats.org/officeDocument/2006/relationships/hyperlink" Target="https://gestion.pe/economia/empresas/habra-mas-control-a-creditos-bancarios-que-se-otorguen-con-ia-que-ganaran-clientes-noticia/" TargetMode="External"/><Relationship Id="rId22" Type="http://schemas.openxmlformats.org/officeDocument/2006/relationships/hyperlink" Target="https://www.bbva.pe/personas/sos-cliente/consulta-de-reclamos.html" TargetMode="External"/><Relationship Id="rId66" Type="http://schemas.openxmlformats.org/officeDocument/2006/relationships/hyperlink" Target="https://www.infobae.com/peru/2026/06/03/sbs-utilidad-del-sistema-financiero-alcanza-los-s17934-millones-y-la-morosidad-vuelve-a-niveles-prepandemia/" TargetMode="External"/><Relationship Id="rId21" Type="http://schemas.openxmlformats.org/officeDocument/2006/relationships/hyperlink" Target="https://www.bbva.pe/blog/mis-finanzas/ahorro/cuentas-bancarias-para-ciudadanos-extranjeros.html" TargetMode="External"/><Relationship Id="rId65" Type="http://schemas.openxmlformats.org/officeDocument/2006/relationships/hyperlink" Target="https://www.bbva.com/es/pe/empresas/bbva-en-peru-alcanza-una-facturacion-trimestral-historica-en-el-segmento-pymes-con-48-de-crecimiento-versus-2025/" TargetMode="External"/><Relationship Id="rId24" Type="http://schemas.openxmlformats.org/officeDocument/2006/relationships/hyperlink" Target="https://www.bbva.pe/empresas/productos/financiamiento/prestamos-comerciales/linea-negocios.html" TargetMode="External"/><Relationship Id="rId68" Type="http://schemas.openxmlformats.org/officeDocument/2006/relationships/hyperlink" Target="https://stealthagents.com/research/ai-loan-underwriting-automation-statistics-2026" TargetMode="External"/><Relationship Id="rId23" Type="http://schemas.openxmlformats.org/officeDocument/2006/relationships/hyperlink" Target="https://www.bbva.pe/pymes/productos/financiamiento/fast-cash.html" TargetMode="External"/><Relationship Id="rId67" Type="http://schemas.openxmlformats.org/officeDocument/2006/relationships/hyperlink" Target="https://www.scotiabank.com.pe/Personas/Ahorros/Cuentas-Bancarias/cuenta-kids-scotiabank" TargetMode="External"/><Relationship Id="rId60" Type="http://schemas.openxmlformats.org/officeDocument/2006/relationships/hyperlink" Target="https://www.wiley.com/en-us/Business%2BModel%2BGeneration%3A%2BA%2BHandbook%2Bfor%2BVisionaries%2C%2BGame%2BChangers%2C%2Band%2BChallengers-p-9780470876411" TargetMode="External"/><Relationship Id="rId26" Type="http://schemas.openxmlformats.org/officeDocument/2006/relationships/hyperlink" Target="https://www.bbva.pe/empresas/productos/financiamiento/prestamos-comerciales/linea-prestamo-digital-persona-juridica.html" TargetMode="External"/><Relationship Id="rId25" Type="http://schemas.openxmlformats.org/officeDocument/2006/relationships/hyperlink" Target="https://www.bbva.pe/empresas/productos/financiamiento/prestamos-comerciales/linea-de-prestamo-digital.html" TargetMode="External"/><Relationship Id="rId69" Type="http://schemas.openxmlformats.org/officeDocument/2006/relationships/hyperlink" Target="https://www.mckinsey.com/locations/south-america/latam/hispanoamerica-en-potencia/el-fin-de-la-inercia-los-agentes-de-ia-y-la-disrupcion-en-la-banca-minorista-y-pyme/es-CL" TargetMode="External"/><Relationship Id="rId28" Type="http://schemas.openxmlformats.org/officeDocument/2006/relationships/hyperlink" Target="https://www.bbva.pe/pymes/productos/financiamiento/prestamo-digital-negocio.html" TargetMode="External"/><Relationship Id="rId27" Type="http://schemas.openxmlformats.org/officeDocument/2006/relationships/hyperlink" Target="https://www.bbva.pe/personas/productos/cuentas/ahorro/preguntas-frecuentes-sobre-cuentas-de-ahorro.html" TargetMode="External"/><Relationship Id="rId29" Type="http://schemas.openxmlformats.org/officeDocument/2006/relationships/hyperlink" Target="https://www.bbva.pe/empresas/productos/financiamiento/prestamos-comerciales/negocios-empresas.html" TargetMode="External"/><Relationship Id="rId51" Type="http://schemas.openxmlformats.org/officeDocument/2006/relationships/hyperlink" Target="https://www.elperuano.pe/noticia/221705-indecopi-impone-1284-sanciones-a-bancos-por-operaciones-no-reconocidas-por-clientes" TargetMode="External"/><Relationship Id="rId50" Type="http://schemas.openxmlformats.org/officeDocument/2006/relationships/hyperlink" Target="https://busquedas.elperuano.pe/dispositivo/NL/2436426-1" TargetMode="External"/><Relationship Id="rId53" Type="http://schemas.openxmlformats.org/officeDocument/2006/relationships/hyperlink" Target="https://interbank.pe/tarjetas/tarjeta-digital/tarjeta-digital" TargetMode="External"/><Relationship Id="rId52" Type="http://schemas.openxmlformats.org/officeDocument/2006/relationships/hyperlink" Target="https://www.bolsamania.com/noticias/mercados/economia--revolut-lanza-air-en-espana-su-nuevo-asistente-de-inteligencia-artificial-para-gestionar-las-finanzas--23442762.html" TargetMode="External"/><Relationship Id="rId11" Type="http://schemas.openxmlformats.org/officeDocument/2006/relationships/image" Target="media/image3.png"/><Relationship Id="rId55" Type="http://schemas.openxmlformats.org/officeDocument/2006/relationships/hyperlink" Target="https://doi.org/10.1509/jm.15.0420" TargetMode="External"/><Relationship Id="rId10" Type="http://schemas.openxmlformats.org/officeDocument/2006/relationships/image" Target="media/image4.png"/><Relationship Id="rId54" Type="http://schemas.openxmlformats.org/officeDocument/2006/relationships/hyperlink" Target="https://www.kore.ai/blog/ai-agents-in-finance-banking-12-proven-use-cases-2026" TargetMode="External"/><Relationship Id="rId13" Type="http://schemas.openxmlformats.org/officeDocument/2006/relationships/image" Target="media/image2.png"/><Relationship Id="rId57" Type="http://schemas.openxmlformats.org/officeDocument/2006/relationships/hyperlink" Target="https://www.infobae.com/peru/2026/03/24/solo-1-de-cada-4-mypes-accede-a-credito-y-paga-mas-por-falta-de-informacion-financiera/" TargetMode="External"/><Relationship Id="rId12" Type="http://schemas.openxmlformats.org/officeDocument/2006/relationships/image" Target="media/image5.png"/><Relationship Id="rId56" Type="http://schemas.openxmlformats.org/officeDocument/2006/relationships/hyperlink" Target="https://www.bbva.com/es/pe/innovacion/blue-buddy-la-ia-generativa-que-mejora-la-atencion-en-oficinas-bancarias/" TargetMode="External"/><Relationship Id="rId15" Type="http://schemas.openxmlformats.org/officeDocument/2006/relationships/hyperlink" Target="https://andina.pe/agencia/noticia-indecopi-sistema-financiero-concentra-90-sanciones-operaciones-no-reconocidas-1026373.aspx" TargetMode="External"/><Relationship Id="rId59" Type="http://schemas.openxmlformats.org/officeDocument/2006/relationships/hyperlink" Target="https://www.wiley.com/en-us/Business%2BModel%2BGeneration%3A%2BA%2BHandbook%2Bfor%2BVisionaries%2C%2BGame%2BChangers%2C%2Band%2BChallengers-p-9780470876411" TargetMode="External"/><Relationship Id="rId14" Type="http://schemas.openxmlformats.org/officeDocument/2006/relationships/hyperlink" Target="https://ojo-publico.com/4559/las-millonarias-multas-los-bancos-por-consumos-no-reconocidos" TargetMode="External"/><Relationship Id="rId58" Type="http://schemas.openxmlformats.org/officeDocument/2006/relationships/hyperlink" Target="https://elcomercio.pe/tecnologia/inteligencia-artificial/la-inteligencia-artificial-llega-al-call-center-como-responde-el-voicebot-bancario-y-que-sera-capaz-de-hacer-ia-bancos-sistema-financiero-atencion-al-cliente-noticia/" TargetMode="External"/><Relationship Id="rId17" Type="http://schemas.openxmlformats.org/officeDocument/2006/relationships/hyperlink" Target="https://www.bbva.pe/personas/productos/cuentas/ahorro/cuenta-digital/abrir-cuenta-app.html" TargetMode="External"/><Relationship Id="rId16" Type="http://schemas.openxmlformats.org/officeDocument/2006/relationships/hyperlink" Target="https://www.backbase.com/blog/ai-banking-dispute-resolution-automation" TargetMode="External"/><Relationship Id="rId19" Type="http://schemas.openxmlformats.org/officeDocument/2006/relationships/hyperlink" Target="https://www.bbva.pe/empresas/productos/financiamiento/prestamos-comerciales/anticipo-pos.html" TargetMode="External"/><Relationship Id="rId18" Type="http://schemas.openxmlformats.org/officeDocument/2006/relationships/hyperlink" Target="https://www.bbva.pe/blog/mis-finanzas/ahorro/abrir-cuenta-joven-bbva-peru.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mRRI4+QsInitcB6FxOuZVUijt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