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 integrador: ModaPlus</w:t>
      </w:r>
    </w:p>
    <w:p>
      <w:pPr>
        <w:pStyle w:val="Subtitle"/>
      </w:pPr>
      <w:r>
        <w:t>Portafolio de proyectos de TI, hoja de ruta, business case y ficha de proyecto</w:t>
      </w:r>
    </w:p>
    <w:p>
      <w:r>
        <w:t>Caso de análisis para estudiantes. La empresa y las cifras son ficticias y se presentan únicamente con fines académicos. No existe una única solución correcta: las recomendaciones deben sustentarse en supuestos explícitos.</w:t>
      </w:r>
    </w:p>
    <w:p>
      <w:pPr>
        <w:pStyle w:val="Heading1"/>
      </w:pPr>
      <w:r>
        <w:t>1. Contexto de la empresa</w:t>
      </w:r>
    </w:p>
    <w:p>
      <w:r>
        <w:t>ModaPlus es una cadena de retail de moda con presencia nacional. Opera 120 tiendas físicas y un canal de comercio electrónico que ha crecido rápidamente en los últimos años. Emplea aproximadamente a 1.200 personas y registra ventas anuales cercanas a USD 250 millones. Su propuesta comercial combina colecciones de temporada, promociones y programas de fidelización.</w:t>
      </w:r>
    </w:p>
    <w:p>
      <w:r>
        <w:t>La dirección general ha definido dos prioridades para los próximos años: crecer de manera rentable y ofrecer una experiencia consistente a sus clientes, independientemente del canal utilizado. Sin embargo, la expansión del negocio ha puesto en evidencia limitaciones en los sistemas de información, la integración de datos y la coordinación entre áreas.</w:t>
      </w:r>
    </w:p>
    <w:p>
      <w:pPr>
        <w:pStyle w:val="Heading1"/>
      </w:pPr>
      <w:r>
        <w:t>2. Situación actual y desafíos</w:t>
      </w:r>
    </w:p>
    <w:p>
      <w:pPr>
        <w:pStyle w:val="ListBullet"/>
      </w:pPr>
      <w:r>
        <w:t>Los clientes pueden comprar por internet y en las tiendas, pero el inventario no siempre está sincronizado. En ocasiones, productos disponibles en el sitio web no pueden entregarse en los plazos ofrecidos.</w:t>
      </w:r>
    </w:p>
    <w:p>
      <w:pPr>
        <w:pStyle w:val="ListBullet"/>
      </w:pPr>
      <w:r>
        <w:t>Las áreas de marketing, ventas y servicio al cliente trabajan con información dispersa. La empresa conoce las compras realizadas, pero tiene dificultades para construir una visión integrada de cada cliente y personalizar sus campañas.</w:t>
      </w:r>
    </w:p>
    <w:p>
      <w:pPr>
        <w:pStyle w:val="ListBullet"/>
      </w:pPr>
      <w:r>
        <w:t>La reposición de mercadería depende de reportes elaborados manualmente y de criterios distintos entre tiendas. Esto provoca faltantes en algunos locales y sobreinventario en otros.</w:t>
      </w:r>
    </w:p>
    <w:p>
      <w:pPr>
        <w:pStyle w:val="ListBullet"/>
      </w:pPr>
      <w:r>
        <w:t>El ERP actual contiene componentes antiguos y conexiones poco flexibles. El equipo de TI advierte que su modernización es una condición necesaria para automatizar de forma confiable la planificación y reposición de inventarios.</w:t>
      </w:r>
    </w:p>
    <w:p>
      <w:pPr>
        <w:pStyle w:val="ListBullet"/>
      </w:pPr>
      <w:r>
        <w:t>La capacitación y administración del personal de tiendas se gestiona con herramientas heterogéneas, lo que dificulta estandarizar procesos y medir avances.</w:t>
      </w:r>
    </w:p>
    <w:p>
      <w:r>
        <w:t>Los gerentes coinciden en que es necesario invertir en TI, pero discrepan respecto de qué proyectos deberían realizarse primero. La dirección financiera exige justificar los beneficios y evitar comprometer recursos en iniciativas que no puedan completarse.</w:t>
      </w:r>
    </w:p>
    <w:p>
      <w:r>
        <w:br w:type="page"/>
      </w:r>
    </w:p>
    <w:p>
      <w:pPr>
        <w:pStyle w:val="Heading1"/>
      </w:pPr>
      <w:r>
        <w:t>3. Iniciativas propuestas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t>Código</w:t>
            </w:r>
          </w:p>
        </w:tc>
        <w:tc>
          <w:tcPr>
            <w:tcW w:type="dxa" w:w="2351"/>
            <w:vAlign w:val="center"/>
          </w:tcPr>
          <w:p>
            <w:r>
              <w:t>Iniciativa</w:t>
            </w:r>
          </w:p>
        </w:tc>
        <w:tc>
          <w:tcPr>
            <w:tcW w:type="dxa" w:w="2351"/>
            <w:vAlign w:val="center"/>
          </w:tcPr>
          <w:p>
            <w:r>
              <w:t>Descripción</w:t>
            </w:r>
          </w:p>
        </w:tc>
        <w:tc>
          <w:tcPr>
            <w:tcW w:type="dxa" w:w="2351"/>
            <w:vAlign w:val="center"/>
          </w:tcPr>
          <w:p>
            <w:r>
              <w:t>Inversión (USD)</w:t>
            </w:r>
          </w:p>
        </w:tc>
      </w:tr>
      <w:tr>
        <w:tc>
          <w:tcPr>
            <w:tcW w:type="dxa" w:w="2351"/>
            <w:vAlign w:val="center"/>
          </w:tcPr>
          <w:p>
            <w:r>
              <w:t>I1</w:t>
            </w:r>
          </w:p>
        </w:tc>
        <w:tc>
          <w:tcPr>
            <w:tcW w:type="dxa" w:w="2351"/>
            <w:vAlign w:val="center"/>
          </w:tcPr>
          <w:p>
            <w:r>
              <w:t>Comercio omnicanal</w:t>
            </w:r>
          </w:p>
        </w:tc>
        <w:tc>
          <w:tcPr>
            <w:tcW w:type="dxa" w:w="2351"/>
            <w:vAlign w:val="center"/>
          </w:tcPr>
          <w:p>
            <w:r>
              <w:t>Plataforma que integra comercio electrónico, tiendas, inventario disponible, compra en línea y recojo en tienda.</w:t>
            </w:r>
          </w:p>
        </w:tc>
        <w:tc>
          <w:tcPr>
            <w:tcW w:type="dxa" w:w="2351"/>
            <w:vAlign w:val="center"/>
          </w:tcPr>
          <w:p>
            <w:r>
              <w:t>1.200.000</w:t>
            </w:r>
          </w:p>
        </w:tc>
      </w:tr>
      <w:tr>
        <w:tc>
          <w:tcPr>
            <w:tcW w:type="dxa" w:w="2351"/>
            <w:vAlign w:val="center"/>
          </w:tcPr>
          <w:p>
            <w:r>
              <w:t>I2</w:t>
            </w:r>
          </w:p>
        </w:tc>
        <w:tc>
          <w:tcPr>
            <w:tcW w:type="dxa" w:w="2351"/>
            <w:vAlign w:val="center"/>
          </w:tcPr>
          <w:p>
            <w:r>
              <w:t>Analítica de clientes</w:t>
            </w:r>
          </w:p>
        </w:tc>
        <w:tc>
          <w:tcPr>
            <w:tcW w:type="dxa" w:w="2351"/>
            <w:vAlign w:val="center"/>
          </w:tcPr>
          <w:p>
            <w:r>
              <w:t>Integración de datos de clientes, segmentación, tableros y campañas personalizadas.</w:t>
            </w:r>
          </w:p>
        </w:tc>
        <w:tc>
          <w:tcPr>
            <w:tcW w:type="dxa" w:w="2351"/>
            <w:vAlign w:val="center"/>
          </w:tcPr>
          <w:p>
            <w:r>
              <w:t>800.000</w:t>
            </w:r>
          </w:p>
        </w:tc>
      </w:tr>
      <w:tr>
        <w:tc>
          <w:tcPr>
            <w:tcW w:type="dxa" w:w="2351"/>
            <w:vAlign w:val="center"/>
          </w:tcPr>
          <w:p>
            <w:r>
              <w:t>I3</w:t>
            </w:r>
          </w:p>
        </w:tc>
        <w:tc>
          <w:tcPr>
            <w:tcW w:type="dxa" w:w="2351"/>
            <w:vAlign w:val="center"/>
          </w:tcPr>
          <w:p>
            <w:r>
              <w:t>Optimización de inventario</w:t>
            </w:r>
          </w:p>
        </w:tc>
        <w:tc>
          <w:tcPr>
            <w:tcW w:type="dxa" w:w="2351"/>
            <w:vAlign w:val="center"/>
          </w:tcPr>
          <w:p>
            <w:r>
              <w:t>Pronóstico de demanda y reposición automatizada para reducir faltantes y excedentes.</w:t>
            </w:r>
          </w:p>
        </w:tc>
        <w:tc>
          <w:tcPr>
            <w:tcW w:type="dxa" w:w="2351"/>
            <w:vAlign w:val="center"/>
          </w:tcPr>
          <w:p>
            <w:r>
              <w:t>600.000</w:t>
            </w:r>
          </w:p>
        </w:tc>
      </w:tr>
      <w:tr>
        <w:tc>
          <w:tcPr>
            <w:tcW w:type="dxa" w:w="2351"/>
            <w:vAlign w:val="center"/>
          </w:tcPr>
          <w:p>
            <w:r>
              <w:t>I4</w:t>
            </w:r>
          </w:p>
        </w:tc>
        <w:tc>
          <w:tcPr>
            <w:tcW w:type="dxa" w:w="2351"/>
            <w:vAlign w:val="center"/>
          </w:tcPr>
          <w:p>
            <w:r>
              <w:t>Modernización del ERP</w:t>
            </w:r>
          </w:p>
        </w:tc>
        <w:tc>
          <w:tcPr>
            <w:tcW w:type="dxa" w:w="2351"/>
            <w:vAlign w:val="center"/>
          </w:tcPr>
          <w:p>
            <w:r>
              <w:t>Actualización e integración del ERP para soportar procesos y datos operativos más confiables.</w:t>
            </w:r>
          </w:p>
        </w:tc>
        <w:tc>
          <w:tcPr>
            <w:tcW w:type="dxa" w:w="2351"/>
            <w:vAlign w:val="center"/>
          </w:tcPr>
          <w:p>
            <w:r>
              <w:t>1.000.000</w:t>
            </w:r>
          </w:p>
        </w:tc>
      </w:tr>
      <w:tr>
        <w:tc>
          <w:tcPr>
            <w:tcW w:type="dxa" w:w="2351"/>
            <w:vAlign w:val="center"/>
          </w:tcPr>
          <w:p>
            <w:r>
              <w:t>I5</w:t>
            </w:r>
          </w:p>
        </w:tc>
        <w:tc>
          <w:tcPr>
            <w:tcW w:type="dxa" w:w="2351"/>
            <w:vAlign w:val="center"/>
          </w:tcPr>
          <w:p>
            <w:r>
              <w:t>Gestión del talento</w:t>
            </w:r>
          </w:p>
        </w:tc>
        <w:tc>
          <w:tcPr>
            <w:tcW w:type="dxa" w:w="2351"/>
            <w:vAlign w:val="center"/>
          </w:tcPr>
          <w:p>
            <w:r>
              <w:t>Plataforma de capacitación, seguimiento de competencias y gestión del personal de tiendas.</w:t>
            </w:r>
          </w:p>
        </w:tc>
        <w:tc>
          <w:tcPr>
            <w:tcW w:type="dxa" w:w="2351"/>
            <w:vAlign w:val="center"/>
          </w:tcPr>
          <w:p>
            <w:r>
              <w:t>400.000</w:t>
            </w:r>
          </w:p>
        </w:tc>
      </w:tr>
    </w:tbl>
    <w:p>
      <w:r>
        <w:t>Las inversiones corresponden a estimaciones preliminares y no incluyen una cuantificación validada de beneficios. Las áreas promotoras consideran que todas las iniciativas son importantes, pero aún no han elaborado business cases completos.</w:t>
      </w:r>
    </w:p>
    <w:p>
      <w:pPr>
        <w:pStyle w:val="Heading1"/>
      </w:pPr>
      <w:r>
        <w:t>4. Restricciones y decisiones pendientes</w:t>
      </w:r>
    </w:p>
    <w:p>
      <w:pPr>
        <w:pStyle w:val="ListBullet"/>
      </w:pPr>
      <w:r>
        <w:t>La organización dispone de un presupuesto máximo de USD 2.000.000 para nuevas iniciativas durante los próximos 24 meses. No es posible financiar las cinco propuestas en ese horizonte.</w:t>
      </w:r>
    </w:p>
    <w:p>
      <w:pPr>
        <w:pStyle w:val="ListBullet"/>
      </w:pPr>
      <w:r>
        <w:t>La modernización del ERP (I4) es un requisito previo para implementar plenamente la optimización de inventario (I3).</w:t>
      </w:r>
    </w:p>
    <w:p>
      <w:pPr>
        <w:pStyle w:val="ListBullet"/>
      </w:pPr>
      <w:r>
        <w:t>El equipo interno de TI tiene capacidad limitada para ejecutar varios proyectos complejos simultáneamente. La contratación de proveedores externos es posible, pero debe justificarse.</w:t>
      </w:r>
    </w:p>
    <w:p>
      <w:pPr>
        <w:pStyle w:val="ListBullet"/>
      </w:pPr>
      <w:r>
        <w:t>La dirección desea observar resultados tangibles en el corto plazo, sin descuidar inversiones habilitadoras de mayor duración.</w:t>
      </w:r>
    </w:p>
    <w:p>
      <w:pPr>
        <w:pStyle w:val="ListBullet"/>
      </w:pPr>
      <w:r>
        <w:t>Los importes son estimaciones de inversión, no presupuestos detallados; no se han definido todavía costos operativos recurrentes, beneficios cuantificados ni fechas de ejecución.</w:t>
      </w:r>
    </w:p>
    <w:p>
      <w:pPr>
        <w:pStyle w:val="Heading1"/>
      </w:pPr>
      <w:r>
        <w:t>5. Información adicional para la evaluación</w:t>
      </w:r>
    </w:p>
    <w:p>
      <w:r>
        <w:t>El comité de inversiones propone considerar, como mínimo, alineación estratégica, beneficios esperados, costos de inversión y operación, riesgos, disponibilidad de recursos y tiempo para obtener valor. Los equipos pueden proponer ponderaciones y supuestos razonables, pero deben explicarlos. No se dispone de información suficiente para calcular un VAN o una TIR confiables sin establecer previamente supuestos de flujos de caja y tasa de descuento.</w:t>
      </w:r>
    </w:p>
    <w:p>
      <w:pPr>
        <w:pStyle w:val="Heading1"/>
      </w:pPr>
      <w:r>
        <w:t>6. Encargo del comité de inversiones</w:t>
      </w:r>
    </w:p>
    <w:p>
      <w:r>
        <w:t>Ustedes integran el equipo que asesora al comité de inversiones de ModaPlus. Deben presentar una recomendación consistente y defendible que responda a las siguientes cuestiones:</w:t>
      </w:r>
    </w:p>
    <w:p>
      <w:r>
        <w:rPr>
          <w:b/>
        </w:rPr>
        <w:t>1. Evaluación y priorización del portafolio</w:t>
      </w:r>
    </w:p>
    <w:p>
      <w:r>
        <w:t>Definan los criterios de evaluación, expliquen cómo los aplicarían y seleccionen las iniciativas que financiarían dentro del límite de USD 2 millones. Justifiquen también las que se posponen o descartan.</w:t>
      </w:r>
    </w:p>
    <w:p>
      <w:r>
        <w:rPr>
          <w:b/>
        </w:rPr>
        <w:t>2. Hoja de ruta de iniciativas</w:t>
      </w:r>
    </w:p>
    <w:p>
      <w:r>
        <w:t>Propongan una hoja de ruta de 24 meses, con una secuencia aproximada por semestres, dependencias y principales hitos. Expliquen cómo equilibran resultados tempranos y capacidades habilitadoras.</w:t>
      </w:r>
    </w:p>
    <w:p>
      <w:r>
        <w:rPr>
          <w:b/>
        </w:rPr>
        <w:t>3. Business case simplificado</w:t>
      </w:r>
    </w:p>
    <w:p>
      <w:r>
        <w:t>Seleccionen una iniciativa prioritaria y formulen su justificación de negocio: problema u oportunidad, alternativas (incluida la opción de no hacer nada), beneficios esperados, costos, riesgos, supuestos e indicadores para comprobar el valor generado.</w:t>
      </w:r>
    </w:p>
    <w:p>
      <w:r>
        <w:rPr>
          <w:b/>
        </w:rPr>
        <w:t>4. Ficha de proyecto de TI</w:t>
      </w:r>
    </w:p>
    <w:p>
      <w:r>
        <w:t>Elaboren una ficha preliminar de la iniciativa seleccionada que incluya nombre, patrocinador, objetivo, alcance y exclusiones, entregables, hitos, recursos, presupuesto, riesgos y criterios de éxito.</w:t>
      </w:r>
    </w:p>
    <w:p>
      <w:pPr>
        <w:pStyle w:val="Heading1"/>
      </w:pPr>
      <w:r>
        <w:t>7. Productos esperados</w:t>
      </w:r>
    </w:p>
    <w:p>
      <w:pPr>
        <w:pStyle w:val="ListBullet"/>
      </w:pPr>
      <w:r>
        <w:t>Una matriz breve de priorización con criterios y justificación.</w:t>
      </w:r>
    </w:p>
    <w:p>
      <w:pPr>
        <w:pStyle w:val="ListBullet"/>
      </w:pPr>
      <w:r>
        <w:t>Una hoja de ruta de dos años que respete presupuesto y dependencias.</w:t>
      </w:r>
    </w:p>
    <w:p>
      <w:pPr>
        <w:pStyle w:val="ListBullet"/>
      </w:pPr>
      <w:r>
        <w:t>Un business case resumido de la iniciativa seleccionada.</w:t>
      </w:r>
    </w:p>
    <w:p>
      <w:pPr>
        <w:pStyle w:val="ListBullet"/>
      </w:pPr>
      <w:r>
        <w:t>Una ficha de proyecto de TI coherente con la decisión y el business case.</w:t>
      </w:r>
    </w:p>
    <w:p>
      <w:pPr>
        <w:pStyle w:val="Heading1"/>
      </w:pPr>
      <w:r>
        <w:t>8. Preguntas para la discusión plenaria</w:t>
      </w:r>
    </w:p>
    <w:p>
      <w:pPr>
        <w:pStyle w:val="ListNumber"/>
      </w:pPr>
      <w:r>
        <w:t>¿La iniciativa con mayor beneficio aparente es necesariamente la primera que debería ejecutarse?</w:t>
      </w:r>
    </w:p>
    <w:p>
      <w:pPr>
        <w:pStyle w:val="ListNumber"/>
      </w:pPr>
      <w:r>
        <w:t>¿Qué cambia en la decisión si se priorizan resultados rápidos frente a capacidades de largo plazo?</w:t>
      </w:r>
    </w:p>
    <w:p>
      <w:pPr>
        <w:pStyle w:val="ListNumber"/>
      </w:pPr>
      <w:r>
        <w:t>¿Qué información faltante podría modificar de manera significativa la recomendación del equipo?</w:t>
      </w:r>
    </w:p>
    <w:p>
      <w:pPr>
        <w:pStyle w:val="ListNumber"/>
      </w:pPr>
      <w:r>
        <w:t>¿Cómo se comprueba que las iniciativas seleccionadas generan valor para el negocio?</w:t>
      </w:r>
    </w:p>
    <w:p>
      <w:r>
        <w:t>Nota: pueden utilizar estimaciones adicionales para completar el análisis, siempre que las identifiquen expresamente como supuestos y mantengan la consistencia entre portafolio, hoja de ruta, business case y ficha de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Caso académico ficticio • Capítulo 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PUCP  |  1INF48  |  Estrategia y Gestión de Sistemas de Información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8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28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828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