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PONTIFICIA UNIVERSIDAD CATÓLICA DEL PERÚ</w:t>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FACULTAD DE CIENCIAS E INGENIERÍA</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09059" cy="2088281"/>
            <wp:effectExtent b="0" l="0" r="0" t="0"/>
            <wp:docPr descr="A blue circle with white text and a ship in the water&#10;&#10;Description automatically generated" id="3" name="image1.png"/>
            <a:graphic>
              <a:graphicData uri="http://schemas.openxmlformats.org/drawingml/2006/picture">
                <pic:pic>
                  <pic:nvPicPr>
                    <pic:cNvPr descr="A blue circle with white text and a ship in the water&#10;&#10;Description automatically generated" id="0" name="image1.png"/>
                    <pic:cNvPicPr preferRelativeResize="0"/>
                  </pic:nvPicPr>
                  <pic:blipFill>
                    <a:blip r:embed="rId10"/>
                    <a:srcRect b="0" l="0" r="0" t="0"/>
                    <a:stretch>
                      <a:fillRect/>
                    </a:stretch>
                  </pic:blipFill>
                  <pic:spPr>
                    <a:xfrm>
                      <a:off x="0" y="0"/>
                      <a:ext cx="2109059" cy="20882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Y GESTIÓN DE SISTEMAS DE INFORMACIÓN</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rPr>
      </w:pPr>
      <w:commentRangeStart w:id="0"/>
      <w:commentRangeStart w:id="191"/>
      <w:commentRangeStart w:id="229"/>
      <w:r w:rsidDel="00000000" w:rsidR="00000000" w:rsidRPr="00000000">
        <w:rPr>
          <w:rFonts w:ascii="Times New Roman" w:cs="Times New Roman" w:eastAsia="Times New Roman" w:hAnsi="Times New Roman"/>
          <w:b w:val="1"/>
          <w:bCs w:val="1"/>
          <w:rtl w:val="0"/>
        </w:rPr>
        <w:t xml:space="preserve">Informe parcial: Entregas 1, 2 y 3</w:t>
      </w:r>
      <w:commentRangeEnd w:id="229"/>
      <w:r>
        <w:rPr>
          <w:rStyle w:val="CommentReference"/>
        </w:rPr>
        <w:commentReference w:id="229"/>
      </w:r>
      <w:commentRangeEnd w:id="191"/>
      <w:r>
        <w:rPr>
          <w:rStyle w:val="CommentReference"/>
        </w:rPr>
        <w:commentReference w:id="191"/>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008">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SALAS COHAILA, Gabriel Lucio - 20200606</w:t>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CHAMORRO CAYETANO, Jorge Josue - 20206234</w:t>
      </w:r>
    </w:p>
    <w:p w:rsidR="00000000" w:rsidDel="00000000" w:rsidP="00000000" w:rsidRDefault="00000000" w:rsidRPr="00000000" w14:paraId="0000000A">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SANCHEZ PASTOR, Rodrigo Alonso - 20201230</w:t>
      </w:r>
    </w:p>
    <w:p w:rsidR="00000000" w:rsidDel="00000000" w:rsidP="00000000" w:rsidRDefault="00000000" w:rsidRPr="00000000" w14:paraId="0000000B">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SANTILLÁN HUAMÁN, Aarón Ulises - 20200445</w:t>
      </w:r>
    </w:p>
    <w:p w:rsidR="00000000" w:rsidDel="00000000" w:rsidP="00000000" w:rsidRDefault="00000000" w:rsidRPr="00000000" w14:paraId="0000000C">
      <w:pPr>
        <w:numPr>
          <w:ilvl w:val="0"/>
          <w:numId w:val="2"/>
        </w:numPr>
        <w:spacing w:line="4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ORIHUELA MONTERO, Johnny Fabricio - 20211000</w:t>
      </w:r>
    </w:p>
    <w:p w:rsidR="00000000" w:rsidDel="00000000" w:rsidP="00000000" w:rsidRDefault="00000000" w:rsidRPr="00000000" w14:paraId="0000000D">
      <w:pPr>
        <w:spacing w:line="480" w:lineRule="auto"/>
        <w:ind w:left="720" w:hanging="36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rPr>
      </w:pPr>
      <w:r w:rsidDel="00000000" w:rsidR="00000000" w:rsidRPr="00000000">
        <w:rPr>
          <w:rtl w:val="0"/>
        </w:rPr>
      </w:r>
      <w:commentRangeStart w:id="192"/>
      <w:r>
        <w:rPr>
          <w:rFonts w:ascii="Times New Roman" w:cs="Times New Roman" w:eastAsia="Times New Roman" w:hAnsi="Times New Roman"/>
        </w:rPr>
        <w:t>MORALES BARRERA, LUIS ALBERTO</w:t>
      </w:r>
      <w:commentRangeEnd w:id="192"/>
      <w:r>
        <w:rPr>
          <w:rStyle w:val="CommentReference"/>
        </w:rPr>
        <w:commentReference w:id="192"/>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rPr>
      </w:pPr>
      <w:commentRangeStart w:id="193"/>
      <w:r w:rsidDel="00000000" w:rsidR="00000000" w:rsidRPr="00000000">
        <w:rPr>
          <w:rFonts w:ascii="Times New Roman" w:cs="Times New Roman" w:eastAsia="Times New Roman" w:hAnsi="Times New Roman"/>
          <w:b w:val="1"/>
          <w:bCs w:val="1"/>
          <w:rtl w:val="0"/>
        </w:rPr>
        <w:t xml:space="preserve">Lima, setiembre, 2026</w:t>
      </w:r>
      <w:commentRangeEnd w:id="193"/>
      <w:r>
        <w:rPr>
          <w:rStyle w:val="CommentReference"/>
        </w:rPr>
        <w:commentReference w:id="193"/>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ageBreakBefore/>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w:t>
      </w:r>
    </w:p>
    <w:sdt>
      <w:sdtPr>
        <w:id w:val="1690700529"/>
        <w:docPartObj>
          <w:docPartGallery w:val="Table of Contents"/>
          <w:docPartUnique w:val="1"/>
        </w:docPartObj>
      </w:sdtPr>
      <w:sdtContent>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pkmoo4juw1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 Descripción de la empresa</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roonidc01yo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Identificación</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z60f5u89qbh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Tamaño y participación de mercado</w:t>
              <w:tab/>
              <w:t xml:space="preserve">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w1piczq241g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Servicios y segmentos</w:t>
              <w:tab/>
              <w:t xml:space="preserve">4</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z2jusr2ilh7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Canales</w:t>
              <w:tab/>
              <w:t xml:space="preserve">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8jpcjb8fteq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Tipos de clientes</w:t>
              <w:tab/>
              <w:t xml:space="preserve">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ev1213koqrs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Situación actual</w:t>
              <w:tab/>
              <w:t xml:space="preserve">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7l5gw78uxg9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Sistemas existentes</w:t>
              <w:tab/>
              <w:t xml:space="preserve">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lw60c8p8fr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Business Model Canvas</w:t>
              <w:tab/>
              <w:t xml:space="preserve">10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qwlbgle03y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Objetivos estratégicos del negocio y procesos críticos</w:t>
              <w:tab/>
              <w:t xml:space="preserve">11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49xqzspbsst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Objetivos estratégicos</w:t>
              <w:tab/>
              <w:t xml:space="preserve">11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sgnrhasqt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Inventarios de procesos</w:t>
              <w:tab/>
              <w:t xml:space="preserve">13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frsmtn7zpxy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2.3. Procesos críticos</w:t>
              <w:tab/>
              <w:t xml:space="preserve">15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at2p2npcubj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2.4. Análisis de competitividad</w:t>
              <w:tab/>
              <w:t xml:space="preserve">16</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M20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 Identificación y priorización de los dolores de negocio</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3.1. Enfoque metodológico</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3.2. Delimitación de los procesos extremo a extremo analizados</w:t>
              <w:tab/>
              <w:t xml:space="preserve">19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3.3. Customer journey map del proceso E2E-1: originación de crédito Pyme</w:t>
              <w:tab/>
              <w:t xml:space="preserve">20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3.4. Service blueprint del proceso E2E-2: atención de operaciones no reconocidas</w:t>
              <w:tab/>
              <w:t xml:space="preserve">22</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3.5. Customer journey map del proceso E2E-3: contratación de productos por canal digital</w:t>
              <w:tab/>
              <w:t xml:space="preserve">23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3.6. Inventario de dolores identificados</w:t>
              <w:tab/>
              <w:t xml:space="preserve">25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0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3.7. Criterios y escala de evaluación</w:t>
              <w:tab/>
              <w:t xml:space="preserve">26</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3.8. Matriz de priorización</w:t>
              <w:tab/>
              <w:t xml:space="preserve">27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3.9. Resultado de la priorización</w:t>
              <w:tab/>
              <w:t xml:space="preserve">28</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M21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 Alineamiento estratégico del dolor priorizado</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Selección de los tres dolores críticos</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Matriz de alineamiento entre dolores críticos y objetivos estratégicos</w:t>
              <w:tab/>
              <w:t xml:space="preserve">29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Indicadores base de los dolores críticos</w:t>
              <w:tab/>
              <w:t xml:space="preserve">31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M21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Condiciones de medición y vacíos de información</w:t>
              <w:tab/>
              <w:t xml:space="preserve">37</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E3_1">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 Hipótesis de las iniciativas a ser desarrolladas</w:t>
              <w:tab/>
              <w:t xml:space="preserve">39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Enfoque metodológico para la formulación de hipótesis</w:t>
              <w:tab/>
              <w:t xml:space="preserve">39</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 Hipótesis de iniciativa para DC1: agente de precalificación crediticia Pyme</w:t>
              <w:tab/>
              <w:t xml:space="preserve">40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 Hipótesis de iniciativa para DC2: agente de investigación asistida de reclamos</w:t>
              <w:tab/>
              <w:t xml:space="preserve">43</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 Hipótesis de iniciativa para DC3: agente de verificación progresiva en la contratación digital</w:t>
              <w:tab/>
              <w:t xml:space="preserve">45</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5.5. Síntesis de las hipótesis de iniciativa</w:t>
              <w:tab/>
              <w:t xml:space="preserve">48</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E3_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 Descripción detallada de los puntos de dolor As Is</w:t>
              <w:tab/>
              <w:t xml:space="preserve">50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6.1. Descripción As Is del dolor crítico DC1: originación de crédito Pyme</w:t>
              <w:tab/>
              <w:t xml:space="preserve">50</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6.2. Descripción As Is del dolor crítico DC2: operaciones no reconocidas</w:t>
              <w:tab/>
              <w:t xml:space="preserve">51</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ind w:left="360" w:firstLine="0"/>
            <w:rPr>
              <w:rFonts w:ascii="Times New Roman" w:cs="Times New Roman" w:eastAsia="Times New Roman" w:hAnsi="Times New Roman"/>
              <w:color w:val="000000"/>
              <w:u w:val="none"/>
            </w:rPr>
          </w:pPr>
          <w:hyperlink w:anchor="_TocE3_1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6.3. Descripción As Is del dolor crítico DC3: contratación por canal digital</w:t>
              <w:tab/>
              <w:t xml:space="preserve">52</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uipuv34bifbe">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7. Referencias bibliográficas</w:t>
              <w:tab/>
              <w:t xml:space="preserve">54</w:t>
            </w:r>
          </w:hyperlink>
          <w:r w:rsidDel="00000000" w:rsidR="00000000" w:rsidRPr="00000000">
            <w:rPr>
              <w:rtl w:val="0"/>
            </w:rPr>
          </w:r>
        </w:p>
        <w:p w:rsidR="00000000" w:rsidDel="00000000" w:rsidP="00000000" w:rsidRDefault="00000000" w:rsidRPr="00000000">
          <w:pPr>
            <w:widowControl w:val="0"/>
            <w:tabs>
              <w:tab w:val="right" w:leader="dot" w:pos="9060"/>
            </w:tabs>
            <w:spacing w:before="60" w:line="240" w:lineRule="auto"/>
            <w:rPr>
              <w:rFonts w:ascii="Times New Roman" w:cs="Times New Roman" w:eastAsia="Times New Roman" w:hAnsi="Times New Roman"/>
              <w:b w:val="1"/>
              <w:bCs w:val="1"/>
              <w:color w:val="000000"/>
              <w:u w:val="none"/>
            </w:rPr>
          </w:pPr>
          <w:hyperlink w:anchor="_TocAnexo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Anexo A. Entrevista con el Service Owner de ATM y Autoservicios de BBVA Perú</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pageBreakBefore/>
        <w:numPr>
          <w:ilvl w:val="0"/>
          <w:numId w:val="1"/>
        </w:numPr>
        <w:ind w:left="566.9291338582675" w:hanging="360"/>
        <w:rPr>
          <w:rFonts w:ascii="Times New Roman" w:cs="Times New Roman" w:eastAsia="Times New Roman" w:hAnsi="Times New Roman"/>
          <w:b w:val="1"/>
          <w:bCs w:val="1"/>
          <w:sz w:val="22"/>
          <w:szCs w:val="22"/>
        </w:rPr>
      </w:pPr>
      <w:bookmarkStart w:colFirst="0" w:colLast="0" w:name="_2pkmoo4juw18" w:id="0"/>
      <w:bookmarkEnd w:id="0"/>
      <w:r w:rsidDel="00000000" w:rsidR="00000000" w:rsidRPr="00000000">
        <w:rPr>
          <w:rFonts w:ascii="Times New Roman" w:cs="Times New Roman" w:eastAsia="Times New Roman" w:hAnsi="Times New Roman"/>
          <w:b w:val="1"/>
          <w:bCs w:val="1"/>
          <w:sz w:val="22"/>
          <w:szCs w:val="22"/>
          <w:rtl w:val="0"/>
        </w:rPr>
        <w:t xml:space="preserve">Descripción de la empresa</w:t>
      </w:r>
    </w:p>
    <w:p w:rsidR="00000000" w:rsidDel="00000000" w:rsidP="00000000" w:rsidRDefault="00000000" w:rsidRPr="00000000" w14:paraId="0000002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roonidc01yof" w:id="1"/>
      <w:bookmarkEnd w:id="1"/>
      <w:r w:rsidDel="00000000" w:rsidR="00000000" w:rsidRPr="00000000">
        <w:rPr>
          <w:rFonts w:ascii="Times New Roman" w:cs="Times New Roman" w:eastAsia="Times New Roman" w:hAnsi="Times New Roman"/>
          <w:b w:val="1"/>
          <w:bCs w:val="1"/>
          <w:sz w:val="22"/>
          <w:szCs w:val="22"/>
          <w:rtl w:val="0"/>
        </w:rPr>
        <w:t xml:space="preserve">Identificación</w:t>
      </w:r>
    </w:p>
    <w:p w:rsidR="00000000" w:rsidDel="00000000" w:rsidP="00000000" w:rsidRDefault="00000000" w:rsidRPr="00000000" w14:paraId="0000002A">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es una sociedad anónima abierta constituida en 1951 y autorizada para operar como entidad bancaria bajo supervisión de la Superintendencia de Banca, Seguros y AFP. Su actividad corresponde a la banca múltiple: capta recursos, concede financiamiento, procesa pagos, administra inversiones y presta servicios financieros a personas, empresas e instituciones. La entidad opera con el RUC 20100130204 y tiene su sede principal en la avenida República de Panamá 3055, San Isidro, Lima (Banco BBVA Perú, 2026b; BBVA Perú, s. f.).</w:t>
      </w:r>
    </w:p>
    <w:p w:rsidR="00000000" w:rsidDel="00000000" w:rsidP="00000000" w:rsidRDefault="00000000" w:rsidRPr="00000000" w14:paraId="0000002B">
      <w:pPr>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propiedad se concentra en dos accionistas con participaciones equivalentes: BBVA Perú Holding S. A. C., vinculada al Grupo BBVA, y Holding Continental S. A., vinculada al Grupo Breca, cada una con 47.13 %; el 5.74 % restante se encuentra distribuido entre otros accionistas. Esta composición combina capacidades de un grupo financiero internacional con conocimiento y presencia empresarial local (Banco BBVA Perú, 2026b).</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w:t>
      </w:r>
    </w:p>
    <w:p w:rsidR="00000000" w:rsidDel="00000000" w:rsidP="00000000" w:rsidRDefault="00000000" w:rsidRPr="00000000" w14:paraId="0000002E">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Ficha general de Banco BBVA Perú</w:t>
      </w:r>
    </w:p>
    <w:tbl>
      <w:tblPr>
        <w:tblStyle w:val="Table1"/>
        <w:tblW w:w="83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030"/>
        <w:tblGridChange w:id="0">
          <w:tblGrid>
            <w:gridCol w:w="2355"/>
            <w:gridCol w:w="6030"/>
          </w:tblGrid>
        </w:tblGridChange>
      </w:tblGrid>
      <w:tr>
        <w:trPr>
          <w:cantSplit w:val="0"/>
          <w:trHeight w:val="423.251408051408"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Campo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3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Razón social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line="252.00000000000003" w:lineRule="auto"/>
              <w:ind w:right="-316.417322834645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Sector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 banca múltiple</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Naturaleza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Sociedad anónima abierta, supervisada por la SBS</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RUC</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20100130204</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Año de constitución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Sede principal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3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 República de Panamá 3055, San Isidro, Lima</w:t>
            </w:r>
          </w:p>
        </w:tc>
      </w:tr>
      <w:tr>
        <w:trPr>
          <w:cantSplit w:val="0"/>
          <w:trHeight w:val="382.34266556527297"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Ámbito del informe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bancaria en el mercado peruano</w:t>
            </w:r>
          </w:p>
        </w:tc>
      </w:tr>
    </w:tbl>
    <w:p w:rsidR="00000000" w:rsidDel="00000000" w:rsidP="00000000" w:rsidRDefault="00000000" w:rsidRPr="00000000" w14:paraId="0000003F">
      <w:pPr>
        <w:spacing w:after="160" w:before="20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(2026b) y BBVA Perú (s. f.).</w:t>
      </w:r>
      <w:r w:rsidDel="00000000" w:rsidR="00000000" w:rsidRPr="00000000">
        <w:rPr>
          <w:rtl w:val="0"/>
        </w:rPr>
      </w:r>
    </w:p>
    <w:p w:rsidR="00000000" w:rsidDel="00000000" w:rsidP="00000000" w:rsidRDefault="00000000" w:rsidRPr="00000000" w14:paraId="00000040">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60f5u89qbhv" w:id="2"/>
      <w:bookmarkEnd w:id="2"/>
      <w:r w:rsidDel="00000000" w:rsidR="00000000" w:rsidRPr="00000000">
        <w:rPr>
          <w:rFonts w:ascii="Times New Roman" w:cs="Times New Roman" w:eastAsia="Times New Roman" w:hAnsi="Times New Roman"/>
          <w:b w:val="1"/>
          <w:bCs w:val="1"/>
          <w:sz w:val="22"/>
          <w:szCs w:val="22"/>
          <w:rtl w:val="0"/>
        </w:rPr>
        <w:t xml:space="preserve">Tamaño y participación de mercado</w:t>
      </w:r>
    </w:p>
    <w:p w:rsidR="00000000" w:rsidDel="00000000" w:rsidP="00000000" w:rsidRDefault="00000000" w:rsidRPr="00000000" w14:paraId="00000041">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escala financiera, número de clientes, red de atención y dotación de personal, BBVA Perú puede clasificarse como una organización grande y sistémicamente relevante dentro de la banca peruana. Al 30 de junio de 2026 registró S/ 117,146 millones en activos y S/ 82,194 millones en colocaciones netas; en el primer semestre obtuvo una utilidad neta de S/ 1,465 millones, 32.3 % superior a la del mismo periodo de 2025 (Banco BBVA Perú, 2026a, pp. 20-21).</w:t>
      </w:r>
    </w:p>
    <w:p w:rsidR="00000000" w:rsidDel="00000000" w:rsidP="00000000" w:rsidRDefault="00000000" w:rsidRPr="00000000" w14:paraId="00000042">
      <w:pPr>
        <w:ind w:left="720" w:hanging="11.338582677165334"/>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1</w:t>
      </w:r>
    </w:p>
    <w:p w:rsidR="00000000" w:rsidDel="00000000" w:rsidP="00000000" w:rsidRDefault="00000000" w:rsidRPr="00000000" w14:paraId="00000043">
      <w:pPr>
        <w:spacing w:after="100" w:lineRule="auto"/>
        <w:ind w:left="720" w:hanging="11.338582677165334"/>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Escala financiera de BBVA Perú al 30 de junio de 2026</w:t>
      </w:r>
    </w:p>
    <w:p w:rsidR="00000000" w:rsidDel="00000000" w:rsidP="00000000" w:rsidRDefault="00000000" w:rsidRPr="00000000" w14:paraId="00000044">
      <w:pPr>
        <w:spacing w:after="40" w:lineRule="auto"/>
        <w:ind w:left="705"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3479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4802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Los importes se expresan en miles de millones de soles. Elaboración propia con datos de Banco BBVA Perú (2026a, p. 20).</w:t>
      </w:r>
    </w:p>
    <w:p w:rsidR="00000000" w:rsidDel="00000000" w:rsidP="00000000" w:rsidRDefault="00000000" w:rsidRPr="00000000" w14:paraId="00000046">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2</w:t>
      </w:r>
    </w:p>
    <w:p w:rsidR="00000000" w:rsidDel="00000000" w:rsidP="00000000" w:rsidRDefault="00000000" w:rsidRPr="00000000" w14:paraId="00000047">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Indicadores de dimensión y desempeño</w:t>
      </w:r>
    </w:p>
    <w:tbl>
      <w:tblPr>
        <w:tblStyle w:val="Table2"/>
        <w:tblW w:w="84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830"/>
        <w:gridCol w:w="3930"/>
        <w:tblGridChange w:id="0">
          <w:tblGrid>
            <w:gridCol w:w="2640"/>
            <w:gridCol w:w="1830"/>
            <w:gridCol w:w="393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Indicador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Valor</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4A">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Periodo / lectura</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Activo total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117,146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+7.6 %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Colocaciones netas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4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82,194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+10.4 %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Obligaciones con el público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87,202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+14.5 %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Patrimonio neto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15,217 millones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+12.1 % interanual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Utilidad neta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1,465 millones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Acumulada a junio de 2026; +32.3 % interanual</w:t>
            </w:r>
          </w:p>
        </w:tc>
      </w:tr>
      <w:tr>
        <w:trPr>
          <w:cantSplit w:val="0"/>
          <w:trHeight w:val="360"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9,465,848</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5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 de 2025; personas y personas jurídicas</w:t>
            </w:r>
          </w:p>
        </w:tc>
      </w:tr>
      <w:tr>
        <w:trPr>
          <w:cantSplit w:val="0"/>
          <w:trHeight w:val="9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Posiciones estructurales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7,092</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5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 de 2026; 52.5 % mujeres y 47.5 % hombres</w:t>
            </w:r>
          </w:p>
        </w:tc>
      </w:tr>
    </w:tbl>
    <w:p w:rsidR="00000000" w:rsidDel="00000000" w:rsidP="00000000" w:rsidRDefault="00000000" w:rsidRPr="00000000" w14:paraId="00000060">
      <w:pPr>
        <w:spacing w:after="160" w:before="40" w:lineRule="auto"/>
        <w:ind w:left="1275.590551181102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(2026a, pp. 6 y 20-21) y Banco BBVA Perú (2026b).</w:t>
      </w:r>
      <w:r w:rsidDel="00000000" w:rsidR="00000000" w:rsidRPr="00000000">
        <w:rPr>
          <w:rtl w:val="0"/>
        </w:rPr>
      </w:r>
    </w:p>
    <w:p w:rsidR="00000000" w:rsidDel="00000000" w:rsidP="00000000" w:rsidRDefault="00000000" w:rsidRPr="00000000">
      <w:pPr>
        <w:spacing w:after="160" w:lineRule="auto"/>
        <w:ind w:left="720" w:firstLine="0"/>
        <w:jc w:val="both"/>
        <w:rPr>
          <w:rFonts w:ascii="Times New Roman" w:cs="Times New Roman" w:eastAsia="Times New Roman" w:hAnsi="Times New Roman"/>
        </w:rPr>
      </w:pPr>
      <w:commentRangeStart w:id="38"/>
      <w:r w:rsidDel="00000000" w:rsidR="00000000" w:rsidRPr="00000000">
        <w:rPr>
          <w:rFonts w:ascii="Times New Roman" w:cs="Times New Roman" w:eastAsia="Times New Roman" w:hAnsi="Times New Roman"/>
          <w:rtl w:val="0"/>
        </w:rPr>
        <w:t>En cuanto a la participación de mercado, al cierre de 2025 BBVA Perú alcanzó una cuota de 22.09% en colocaciones vigentes y de 20.90% en depósitos totales. Lideró la banca de personas con 22.7% de las colocaciones y los préstamos de consumo con 19.7%, y registró cuotas de 21.5% en el segmento pymes, 29.9% en gran empresa y 19.6% en corporativo (Banco BBVA Perú, 2026b).</w:t>
      </w:r>
      <w:commentRangeEnd w:id="38"/>
      <w:r>
        <w:rPr>
          <w:rStyle w:val="CommentReference"/>
        </w:rPr>
        <w:commentReference w:id="38"/>
      </w:r>
    </w:p>
    <w:p w:rsidR="00000000" w:rsidDel="00000000" w:rsidP="00000000" w:rsidRDefault="00000000" w:rsidRPr="00000000" w14:paraId="00000061">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w1piczq241gu" w:id="3"/>
      <w:bookmarkEnd w:id="3"/>
      <w:r w:rsidDel="00000000" w:rsidR="00000000" w:rsidRPr="00000000">
        <w:rPr>
          <w:rFonts w:ascii="Times New Roman" w:cs="Times New Roman" w:eastAsia="Times New Roman" w:hAnsi="Times New Roman"/>
          <w:b w:val="1"/>
          <w:bCs w:val="1"/>
          <w:sz w:val="22"/>
          <w:szCs w:val="22"/>
          <w:rtl w:val="0"/>
        </w:rPr>
        <w:t xml:space="preserve">Servicios y segmentos</w:t>
      </w:r>
    </w:p>
    <w:p w:rsidR="00000000" w:rsidDel="00000000" w:rsidP="00000000" w:rsidRDefault="00000000" w:rsidRPr="00000000" w14:paraId="00000062">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opera como banco universal. Su portafolio cubre necesidades de administración cotidiana del dinero, ahorro, inversión, protección, financiamiento y gestión transaccional. En el segmento de personas ofrece cuentas, depósitos, tarjetas, préstamos de consumo, créditos hipotecarios y vehiculares, fondos mutuos, seguros y operaciones de cambio. Para empresas añade capital de trabajo, financiamiento estructurado, cash management, comercio exterior, pagos, planillas y servicios de mercado. En corporaciones e instituciones incorpora Global Transaction Banking, Global Markets y banca de inversión (Banco BBVA Perú, 2026b).</w:t>
      </w:r>
    </w:p>
    <w:p w:rsidR="00000000" w:rsidDel="00000000" w:rsidP="00000000" w:rsidRDefault="00000000" w:rsidRPr="00000000" w14:paraId="00000063">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3</w:t>
      </w:r>
    </w:p>
    <w:p w:rsidR="00000000" w:rsidDel="00000000" w:rsidP="00000000" w:rsidRDefault="00000000" w:rsidRPr="00000000" w14:paraId="00000064">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Servicios agrupados por segmento y necesidad del cliente</w:t>
      </w:r>
    </w:p>
    <w:tbl>
      <w:tblPr>
        <w:tblStyle w:val="Table3"/>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40"/>
        <w:gridCol w:w="3975"/>
        <w:tblGridChange w:id="0">
          <w:tblGrid>
            <w:gridCol w:w="1710"/>
            <w:gridCol w:w="2640"/>
            <w:gridCol w:w="397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6">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Necesidad principal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6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Servicios representativos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 mercado masivo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custodiar, pagar y financiar necesidades personales.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tarjetas, transferencias, Plin, préstamos de consumo, hipotecas, créditos vehiculares y seguros.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Preservar y hacer crecer el patrimonio con asesoramiento.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6D">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Depósitos, fondos mutuos, inversiones, banca privada, seguros y soluciones cambiarias.</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Pymes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Sostener liquidez, cobrar, pagar y financiar el crecimiento.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empresa, capital de trabajo, recaudación, pagos, planillas, comercio exterior y Net Cash.</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tesorería y financiar operaciones de mayor escala.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7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management, financiamiento, comercio exterior, mercados, coberturas y soluciones sostenibles.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 CIB</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Estructurar decisiones financieras complejas y transfronterizas.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Transaction Banking, Global Markets e Investment Banking &amp; Finance.</w:t>
            </w:r>
          </w:p>
        </w:tc>
      </w:tr>
    </w:tbl>
    <w:p w:rsidR="00000000" w:rsidDel="00000000" w:rsidP="00000000" w:rsidRDefault="00000000" w:rsidRPr="00000000" w14:paraId="00000077">
      <w:pPr>
        <w:spacing w:after="160" w:before="40" w:lineRule="auto"/>
        <w:ind w:left="9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segmentación y oferta declaradas por Banco BBVA Perú (2026b).</w:t>
      </w:r>
      <w:r w:rsidDel="00000000" w:rsidR="00000000" w:rsidRPr="00000000">
        <w:rPr>
          <w:rtl w:val="0"/>
        </w:rPr>
      </w:r>
    </w:p>
    <w:p w:rsidR="00000000" w:rsidDel="00000000" w:rsidP="00000000" w:rsidRDefault="00000000" w:rsidRPr="00000000" w14:paraId="00000078">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z2jusr2ilh79" w:id="4"/>
      <w:bookmarkEnd w:id="4"/>
      <w:r w:rsidDel="00000000" w:rsidR="00000000" w:rsidRPr="00000000">
        <w:rPr>
          <w:rFonts w:ascii="Times New Roman" w:cs="Times New Roman" w:eastAsia="Times New Roman" w:hAnsi="Times New Roman"/>
          <w:b w:val="1"/>
          <w:bCs w:val="1"/>
          <w:sz w:val="22"/>
          <w:szCs w:val="22"/>
          <w:rtl w:val="0"/>
        </w:rPr>
        <w:t xml:space="preserve">Canales</w:t>
      </w:r>
    </w:p>
    <w:p w:rsidR="00000000" w:rsidDel="00000000" w:rsidP="00000000" w:rsidRDefault="00000000" w:rsidRPr="00000000" w14:paraId="00000079">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atención es omnicanal. La aplicación móvil es el principal canal transaccional, mientras la web, la red física, los cajeros, los agentes corresponsales y los canales asistidos cubren necesidades de autoservicio, asesoría o contingencia. Al cierre del segundo trimestre de 2026, la app concentró 85 % de las operaciones monetarias, superó los tres millones de usuarios activos y acumuló más de 350 millones de transacciones; las ventas digitales representaron 79.57 % de las ventas totales del banco (Banco BBVA Perú, 2026a, p. 3).</w:t>
      </w:r>
    </w:p>
    <w:p w:rsidR="00000000" w:rsidDel="00000000" w:rsidP="00000000" w:rsidRDefault="00000000" w:rsidRPr="00000000" w14:paraId="0000007A">
      <w:pPr>
        <w:spacing w:line="21.818181818181817"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007B">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Figura 2</w:t>
      </w:r>
    </w:p>
    <w:p w:rsidR="00000000" w:rsidDel="00000000" w:rsidP="00000000" w:rsidRDefault="00000000" w:rsidRPr="00000000" w14:paraId="0000007C">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Intensidad digital y penetración de ventas por producto</w:t>
      </w:r>
    </w:p>
    <w:p w:rsidR="00000000" w:rsidDel="00000000" w:rsidP="00000000" w:rsidRDefault="00000000" w:rsidRPr="00000000" w14:paraId="0000007D">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842038" cy="256399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42038" cy="256399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Las dos primeras barras corresponden a participación de operaciones y ventas; las cuatro restantes, a penetración digital por producto. Elaboración propia con datos de Banco BBVA Perú (2026a, p. 3).</w:t>
      </w:r>
    </w:p>
    <w:p w:rsidR="00000000" w:rsidDel="00000000" w:rsidP="00000000" w:rsidRDefault="00000000" w:rsidRPr="00000000" w14:paraId="0000007F">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4</w:t>
      </w:r>
    </w:p>
    <w:p w:rsidR="00000000" w:rsidDel="00000000" w:rsidP="00000000" w:rsidRDefault="00000000" w:rsidRPr="00000000" w14:paraId="0000008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Canales y función dentro de la experiencia</w:t>
      </w:r>
    </w:p>
    <w:tbl>
      <w:tblPr>
        <w:tblStyle w:val="Table4"/>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25"/>
        <w:gridCol w:w="3780"/>
        <w:tblGridChange w:id="0">
          <w:tblGrid>
            <w:gridCol w:w="1575"/>
            <w:gridCol w:w="2925"/>
            <w:gridCol w:w="3780"/>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Canal</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Función predominante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Evidencia / alcance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App BBVA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pagos, contratación y seguimiento.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 de operaciones monetarias; más de 3 millones de usuarios activos a junio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Banca por internet</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y consultas desde navegador.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 la app y soporta operaciones que requieren mayor detalle.</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Plin y QR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inmediatos e interoperables.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Plin fue la funcionalidad preferida de la app en el segundo trimestre de 2026.</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BBVA Net Cash</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financiera de empresas.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8F">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tesorería, recaudación y consulta para clientes empresariales.</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Oficinas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Asesoría y resolución de operaciones complejas.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 oficinas al cierre de 2025; sistema de citas digitales desplegado.</w:t>
            </w:r>
          </w:p>
        </w:tc>
      </w:tr>
      <w:tr>
        <w:trPr>
          <w:cantSplit w:val="0"/>
          <w:trHeight w:val="52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ATM y Agentes Express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física y cobertura de efectivo.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9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 cajeros y 7,489 agentes al cierre de 2025.</w:t>
            </w:r>
          </w:p>
        </w:tc>
      </w:tr>
      <w:tr>
        <w:trPr>
          <w:cantSplit w:val="0"/>
          <w:trHeight w:val="70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Blue / Blue Buddy</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conversacional y apoyo a la red.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Buddy incorporó trazabilidad de reclamos y ofertas personalizadas; 90 % de adopción interna reportada en junio de 2026.</w:t>
            </w:r>
          </w:p>
        </w:tc>
      </w:tr>
    </w:tbl>
    <w:p w:rsidR="00000000" w:rsidDel="00000000" w:rsidP="00000000" w:rsidRDefault="00000000" w:rsidRPr="00000000" w14:paraId="00000099">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(2026a, pp. 3-4) y Banco BBVA Perú (2026b).</w:t>
      </w:r>
      <w:r w:rsidDel="00000000" w:rsidR="00000000" w:rsidRPr="00000000">
        <w:rPr>
          <w:rtl w:val="0"/>
        </w:rPr>
      </w:r>
    </w:p>
    <w:p w:rsidR="00000000" w:rsidDel="00000000" w:rsidP="00000000" w:rsidRDefault="00000000" w:rsidRPr="00000000" w14:paraId="0000009A">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8jpcjb8fteqs" w:id="5"/>
      <w:bookmarkEnd w:id="5"/>
      <w:r w:rsidDel="00000000" w:rsidR="00000000" w:rsidRPr="00000000">
        <w:rPr>
          <w:rFonts w:ascii="Times New Roman" w:cs="Times New Roman" w:eastAsia="Times New Roman" w:hAnsi="Times New Roman"/>
          <w:b w:val="1"/>
          <w:bCs w:val="1"/>
          <w:sz w:val="22"/>
          <w:szCs w:val="22"/>
          <w:rtl w:val="0"/>
        </w:rPr>
        <w:t xml:space="preserve">Tipos de clientes</w:t>
      </w:r>
    </w:p>
    <w:p w:rsidR="00000000" w:rsidDel="00000000" w:rsidP="00000000" w:rsidRDefault="00000000" w:rsidRPr="00000000" w14:paraId="0000009B">
      <w:pPr>
        <w:spacing w:after="160" w:lineRule="auto"/>
        <w:ind w:left="708.6614173228347" w:right="-40.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clientes es heterogénea en valor, comportamiento, complejidad regulatoria y necesidad de asesoramiento. En personas coexisten clientes de mercado masivo y patrimoniales; en negocios se distingue entre pymes, empresas, grandes empresas, corporaciones e instituciones. Esta segmentación exige propuestas diferenciadas, pero también una visión integrada del cliente que evite fragmentar su información entre productos y canales.</w:t>
      </w:r>
    </w:p>
    <w:p w:rsidR="00000000" w:rsidDel="00000000" w:rsidP="00000000" w:rsidRDefault="00000000" w:rsidRPr="00000000" w14:paraId="0000009C">
      <w:pPr>
        <w:ind w:left="708.6614173228347"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5</w:t>
      </w:r>
    </w:p>
    <w:p w:rsidR="00000000" w:rsidDel="00000000" w:rsidP="00000000" w:rsidRDefault="00000000" w:rsidRPr="00000000" w14:paraId="0000009D">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Segmentos de clientes considerados en el análisis</w:t>
      </w:r>
    </w:p>
    <w:tbl>
      <w:tblPr>
        <w:tblStyle w:val="Table5"/>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Macrosegmento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Subsegmentos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Rasgos de servicio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Personas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Mercado masivo y personas de alto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volumen, autoservicio digital, personalización, asesoría patrimonial en los estratos de mayor valor.</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4">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Negocios y pymes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Emprendimientos, pymes y pymes de alto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rapidez, liquidez, recaudo, pagos y crédito con información empresarial diversa.</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Empresarial y gran empresa.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Atención especializada, cash management, comercio exterior y financiamiento estructurado.</w:t>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A">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Corporaciones e instituciones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Corporativo, institucional y clientes CIB.</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A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complejas, gestión de riesgos, mercados y cobertura internacional.</w:t>
            </w:r>
          </w:p>
        </w:tc>
      </w:tr>
    </w:tbl>
    <w:p w:rsidR="00000000" w:rsidDel="00000000" w:rsidP="00000000" w:rsidRDefault="00000000" w:rsidRPr="00000000" w14:paraId="000000AD">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(2026b).</w:t>
      </w:r>
    </w:p>
    <w:p w:rsidR="00000000" w:rsidDel="00000000" w:rsidP="00000000" w:rsidRDefault="00000000" w:rsidRPr="00000000" w14:paraId="000000AE">
      <w:pPr>
        <w:spacing w:after="16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memoria anual reporta 9,465,848 clientes al cierre de 2025, mientras que </w:t>
      </w:r>
      <w:commentRangeStart w:id="209"/>
      <w:r w:rsidDel="00000000" w:rsidR="00000000" w:rsidRPr="00000000">
        <w:rPr>
          <w:rFonts w:ascii="Times New Roman" w:cs="Times New Roman" w:eastAsia="Times New Roman" w:hAnsi="Times New Roman"/>
          <w:rtl w:val="0"/>
        </w:rPr>
        <w:t xml:space="preserve">el informe de gerencia informa</w:t>
      </w:r>
      <w:commentRangeEnd w:id="209"/>
      <w:r>
        <w:rPr>
          <w:rStyle w:val="CommentReference"/>
        </w:rPr>
        <w:commentReference w:id="209"/>
      </w:r>
      <w:r w:rsidDel="00000000" w:rsidR="00000000" w:rsidRPr="00000000">
        <w:rPr>
          <w:rFonts w:ascii="Times New Roman" w:cs="Times New Roman" w:eastAsia="Times New Roman" w:hAnsi="Times New Roman"/>
          <w:rtl w:val="0"/>
        </w:rPr>
        <w:t xml:space="preserve"> más de tres millones de usuarios activos en la app a junio de 2026. Estas magnitudes no deben dividirse de manera directa: corresponden a fechas, universos y definiciones distintas, y la categoría de cliente total incluye personas jurídicas. En consecuencia, cualquier conclusión sobre activación o abandono digital requerirá una línea base homogénea y evidencia adicional.</w:t>
      </w:r>
      <w:r w:rsidDel="00000000" w:rsidR="00000000" w:rsidRPr="00000000">
        <w:rPr>
          <w:rtl w:val="0"/>
        </w:rPr>
      </w:r>
    </w:p>
    <w:p w:rsidR="00000000" w:rsidDel="00000000" w:rsidP="00000000" w:rsidRDefault="00000000" w:rsidRPr="00000000" w14:paraId="000000A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ev1213koqrs1" w:id="6"/>
      <w:bookmarkEnd w:id="6"/>
      <w:r w:rsidDel="00000000" w:rsidR="00000000" w:rsidRPr="00000000">
        <w:rPr>
          <w:rFonts w:ascii="Times New Roman" w:cs="Times New Roman" w:eastAsia="Times New Roman" w:hAnsi="Times New Roman"/>
          <w:b w:val="1"/>
          <w:bCs w:val="1"/>
          <w:sz w:val="22"/>
          <w:szCs w:val="22"/>
          <w:rtl w:val="0"/>
        </w:rPr>
        <w:t xml:space="preserve">Situación actual</w:t>
      </w:r>
    </w:p>
    <w:p w:rsidR="00000000" w:rsidDel="00000000" w:rsidP="00000000" w:rsidRDefault="00000000" w:rsidRPr="00000000" w14:paraId="000000B0">
      <w:pPr>
        <w:spacing w:after="160" w:lineRule="auto"/>
        <w:ind w:left="720" w:firstLine="0"/>
        <w:jc w:val="both"/>
        <w:rPr>
          <w:rFonts w:ascii="Times New Roman" w:cs="Times New Roman" w:eastAsia="Times New Roman" w:hAnsi="Times New Roman"/>
        </w:rPr>
      </w:pPr>
      <w:commentRangeStart w:id="27"/>
      <w:r w:rsidDel="00000000" w:rsidR="00000000" w:rsidRPr="00000000">
        <w:rPr>
          <w:rFonts w:ascii="Times New Roman" w:cs="Times New Roman" w:eastAsia="Times New Roman" w:hAnsi="Times New Roman"/>
          <w:rtl w:val="0"/>
        </w:rPr>
        <w:t>La situación actual del negocio refleja una sólida posición de rentabilidad y eficiencia operativa, contrastada por un desafío específico en la satisfacción del segmento Pyme. Asimismo, el entorno competitivo exige adaptación ante la disrupción de las billeteras digitales y la reciente interoperabilidad del sistema de pagos.</w:t>
      </w:r>
      <w:commentRangeEnd w:id="27"/>
      <w:r>
        <w:rPr>
          <w:rStyle w:val="CommentReference"/>
        </w:rPr>
        <w:commentReference w:id="27"/>
      </w:r>
    </w:p>
    <w:p w:rsidR="00000000" w:rsidDel="00000000" w:rsidP="00000000" w:rsidRDefault="00000000" w:rsidRPr="00000000" w14:paraId="000000B1">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6</w:t>
      </w:r>
    </w:p>
    <w:p w:rsidR="00000000" w:rsidDel="00000000" w:rsidP="00000000" w:rsidRDefault="00000000" w:rsidRPr="00000000" w14:paraId="000000B2">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Dimensiones clave de la situación actual del negocio</w:t>
      </w:r>
    </w:p>
    <w:tbl>
      <w:tblPr>
        <w:tblStyle w:val="Table6"/>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3">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Dimensión</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4">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Métrica o enfoque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B5">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Estado actual y lectura estratégica</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Desempeño y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Utilidad, ROE y ratio de eficiencia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en máximos con utilidad de S/ 2,391 millones y ROE de 17.21% en 2025. El ratio de eficiencia cerró en 35.9%, posicionándose mejor que el promedio del sistema.</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crediticio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Calidad de cartera y morosidad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B">
            <w:pPr>
              <w:spacing w:after="160" w:lineRule="auto"/>
              <w:jc w:val="both"/>
              <w:rPr>
                <w:rFonts w:ascii="Times New Roman" w:cs="Times New Roman" w:eastAsia="Times New Roman" w:hAnsi="Times New Roman"/>
              </w:rPr>
            </w:pPr>
            <w:commentRangeStart w:id="26"/>
            <w:r w:rsidDel="00000000" w:rsidR="00000000" w:rsidRPr="00000000">
              <w:rPr>
                <w:rFonts w:ascii="Times New Roman" w:cs="Times New Roman" w:eastAsia="Times New Roman" w:hAnsi="Times New Roman"/>
                <w:rtl w:val="0"/>
              </w:rPr>
              <w:t>La cartera de alto riesgo mejoró a 5.1% con una cobertura del 95.0%. La morosidad cerró en 2.69% a junio de 2026, 69 puntos básicos por debajo de junio de 2025, con una cobertura de 164%, y se ubica por debajo del 2.83% del sistema bancario a mayo de 2026 (Banco BBVA Perú, 2026a, pp. 17 y 24); por ello ya no representa un frente abierto.</w:t>
            </w:r>
            <w:commentRangeEnd w:id="26"/>
            <w:r>
              <w:rPr>
                <w:rStyle w:val="CommentReference"/>
              </w:rPr>
              <w:commentReference w:id="26"/>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Composición y satisfacción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por segmento y NPS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B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Cartera concentrada en banca corporativa/comercial (58.3%) frente a personas (41.7%). Existe una brecha crítica en satisfacción: NPS retail de 52.57% frente a un NPS Pyme de 33.6%.</w:t>
            </w:r>
            <w:commentRangeStart w:id="1"/>
            <w:r w:rsidDel="00000000" w:rsidR="00000000" w:rsidRPr="00000000">
              <w:rPr>
                <w:rFonts w:ascii="Times New Roman" w:cs="Times New Roman" w:eastAsia="Times New Roman" w:hAnsi="Times New Roman"/>
                <w:rtl w:val="0"/>
              </w:rPr>
              <w:t xml:space="preserve"> La brecha asciende a 18.97 puntos (el NPS Pyme equivale al 64% del NPS retail) y sitúa al segmento Pyme 10.0 puntos por debajo de Banca de Empresas e Instituciones (NPS de 43.6%) (Banco BBVA Perú, 2026b, pp. 26 y 29).</w:t>
            </w:r>
            <w:commentRangeEnd w:id="1"/>
            <w:r>
              <w:rPr>
                <w:rStyle w:val="CommentReference"/>
              </w:rPr>
              <w:commentReference w:id="1"/>
            </w:r>
          </w:p>
        </w:tc>
      </w:tr>
      <w:tr>
        <w:trPr>
          <w:cantSplit w:val="0"/>
          <w:trHeight w:val="194.663085937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B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Sostenibilidad</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Financiamiento e inclusión</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Consolidada como línea de negocio con S/ 16.5 mil millones en colocaciones sostenibles, 100% de electricidad renovable y S/ 80 millones destinados a inclusión financiera</w:t>
            </w:r>
          </w:p>
        </w:tc>
      </w:tr>
    </w:tbl>
    <w:p w:rsidR="00000000" w:rsidDel="00000000" w:rsidP="00000000" w:rsidRDefault="00000000" w:rsidRPr="00000000" w14:paraId="000000C2">
      <w:pPr>
        <w:spacing w:after="1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la evaluación de los resultados financieros de Banco BBVA Perú. (2026b).</w:t>
      </w:r>
    </w:p>
    <w:p w:rsidR="00000000" w:rsidDel="00000000" w:rsidP="00000000" w:rsidRDefault="00000000" w:rsidRPr="00000000">
      <w:pPr>
        <w:spacing w:after="160" w:lineRule="auto"/>
        <w:ind w:left="720" w:firstLine="0"/>
        <w:jc w:val="both"/>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La brecha de satisfacción se operacionaliza con tres medidas: (i) la brecha absoluta entre los segmentos Retail y Pyme, de 18.97 puntos (52.57 − 33.6); (ii) la razón Pyme/Retail, de 0.64; y (iii) la distancia del segmento Pyme respecto de Banca de Empresas e Instituciones, de 10.0 puntos (43.6 − 33.6) (Banco BBVA Perú, 2026b, pp. 26 y 29). En las fuentes revisadas no se identifica un referente competitivo público para el NPS Pyme, por lo que la brecha interna es la medida verificable del dolor del segmento. Esta brecha se adopta como línea base de los objetivos OE1 y OE3 (Tabla 10), con la meta propuesta de reducirla a no más de 9.6 puntos (NPS Pyme ≥ 43.0%) en 18 meses, y constituye el punto de partida para sustentar los dolores de negocio y las iniciativas de TI de </w:t>
      </w:r>
      <w:commentRangeStart w:id="172"/>
      <w:r w:rsidDel="00000000" w:rsidR="00000000" w:rsidRPr="00000000">
        <w:rPr>
          <w:rFonts w:ascii="Times New Roman" w:cs="Times New Roman" w:eastAsia="Times New Roman" w:hAnsi="Times New Roman"/>
          <w:rtl w:val="0"/>
        </w:rPr>
        <w:t xml:space="preserve">los siguientes avances</w:t>
      </w:r>
      <w:commentRangeEnd w:id="172"/>
      <w:r>
        <w:rPr>
          <w:rStyle w:val="CommentReference"/>
        </w:rPr>
        <w:commentReference w:id="172"/>
      </w:r>
      <w:r w:rsidDel="00000000" w:rsidR="00000000" w:rsidRPr="00000000">
        <w:rPr>
          <w:rFonts w:ascii="Times New Roman" w:cs="Times New Roman" w:eastAsia="Times New Roman" w:hAnsi="Times New Roman"/>
          <w:rtl w:val="0"/>
        </w:rPr>
        <w:t xml:space="preserve">.</w:t>
      </w:r>
      <w:commentRangeEnd w:id="2"/>
      <w:r>
        <w:rPr>
          <w:rStyle w:val="CommentReference"/>
        </w:rPr>
        <w:commentReference w:id="2"/>
      </w:r>
    </w:p>
    <w:p w:rsidR="00000000" w:rsidDel="00000000" w:rsidP="00000000" w:rsidRDefault="00000000" w:rsidRPr="00000000" w14:paraId="000000C3">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contexto competitivo, el entorno en el que opera BBVA Perú muestra una marcada dualidad entre un sistema bancario concentrado y un escenario transaccional altamente disruptivo. Actualmente, la mayor exigencia competitiva no proviene de la banca múltiple tradicional, sino de la rápida evolución de las billeteras digitales y las recientes normativas de interoperabilidad en los medios de pago.</w:t>
      </w:r>
    </w:p>
    <w:p w:rsidR="00000000" w:rsidDel="00000000" w:rsidP="00000000" w:rsidRDefault="00000000" w:rsidRPr="00000000" w14:paraId="000000C4">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7</w:t>
      </w:r>
    </w:p>
    <w:p w:rsidR="00000000" w:rsidDel="00000000" w:rsidP="00000000" w:rsidRDefault="00000000" w:rsidRPr="00000000" w14:paraId="000000C5">
      <w:pPr>
        <w:spacing w:after="1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Dinámica del entorno competitivo y disrupción digital</w:t>
      </w:r>
    </w:p>
    <w:tbl>
      <w:tblPr>
        <w:tblStyle w:val="Table7"/>
        <w:tblW w:w="83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4185"/>
        <w:tblGridChange w:id="0">
          <w:tblGrid>
            <w:gridCol w:w="1770"/>
            <w:gridCol w:w="2370"/>
            <w:gridCol w:w="4185"/>
          </w:tblGrid>
        </w:tblGridChange>
      </w:tblGrid>
      <w:tr>
        <w:trPr>
          <w:cantSplit w:val="0"/>
          <w:trHeight w:val="405"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6">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Factor competitivo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7">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Situación del mercado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C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Impacto estratégico</w:t>
            </w:r>
          </w:p>
        </w:tc>
      </w:tr>
      <w:tr>
        <w:trPr>
          <w:cantSplit w:val="0"/>
          <w:trHeight w:val="501.9946289062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Concentración bancaria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bancos concentran el 82.3% de los créditos directos del sistema financiero peruano.</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el dominio de las entidades líderes tradicionales en los segmentos de financiamiento clásico.</w:t>
            </w:r>
          </w:p>
        </w:tc>
      </w:tr>
      <w:tr>
        <w:trPr>
          <w:cantSplit w:val="0"/>
          <w:trHeight w:val="55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C">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Disrupción por billeteras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Yape lidera el mercado con 19.1 millones de usuarios totales y 15.9 millones activos al mes; BBVA compite a través de Plin sin un activo equivalente propio.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C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Desplaza gran parte de la transaccionalidad hacia canales externos a la app bancaria tradicional.</w:t>
            </w:r>
          </w:p>
        </w:tc>
      </w:tr>
      <w:tr>
        <w:trPr>
          <w:cantSplit w:val="0"/>
          <w:trHeight w:val="270"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CF">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Interoperabilidad (BCRP)</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normativa del BCRP permite transferencias inmediatas y fluidas entre distintas entidades y billeteras digitales.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significativamente las barreras de cambio para el usuario y erosiona el efecto de red de los bancos más grandes.</w:t>
            </w:r>
          </w:p>
        </w:tc>
      </w:tr>
    </w:tbl>
    <w:p w:rsidR="00000000" w:rsidDel="00000000" w:rsidP="00000000" w:rsidRDefault="00000000" w:rsidRPr="00000000" w14:paraId="000000D2">
      <w:pPr>
        <w:spacing w:after="1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datos del sistema financiero y el desarrollo del ecosistema nacional de pagos.</w:t>
      </w:r>
      <w:r w:rsidDel="00000000" w:rsidR="00000000" w:rsidRPr="00000000">
        <w:rPr>
          <w:rtl w:val="0"/>
        </w:rPr>
      </w:r>
    </w:p>
    <w:p w:rsidR="00000000" w:rsidDel="00000000" w:rsidP="00000000" w:rsidRDefault="00000000" w:rsidRPr="00000000" w14:paraId="000000D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7l5gw78uxg99" w:id="7"/>
      <w:bookmarkEnd w:id="7"/>
      <w:r w:rsidDel="00000000" w:rsidR="00000000" w:rsidRPr="00000000">
        <w:rPr>
          <w:rFonts w:ascii="Times New Roman" w:cs="Times New Roman" w:eastAsia="Times New Roman" w:hAnsi="Times New Roman"/>
          <w:b w:val="1"/>
          <w:bCs w:val="1"/>
          <w:sz w:val="22"/>
          <w:szCs w:val="22"/>
          <w:rtl w:val="0"/>
        </w:rPr>
        <w:t xml:space="preserve">Sistemas existentes</w:t>
      </w:r>
    </w:p>
    <w:p w:rsidR="00000000" w:rsidDel="00000000" w:rsidP="00000000" w:rsidRDefault="00000000" w:rsidRPr="00000000" w14:paraId="000000D4">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ecosistema tecnológico de Banco BBVA Perú refleja una estrategia orientada hacia la adopción de canales digitales, la explotación de datos y la implementación de Inteligencia Artificial (IA) a nivel operativo y corporativo. Si bien la entidad cuenta con soluciones globales heredadas de su matriz, mantiene componentes locales integrados para su transaccionalidad.</w:t>
      </w:r>
    </w:p>
    <w:p w:rsidR="00000000" w:rsidDel="00000000" w:rsidP="00000000" w:rsidRDefault="00000000" w:rsidRPr="00000000" w14:paraId="000000D5">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 el inventario de los principales sistemas y plataformas identificados en la operación del banco:</w:t>
      </w:r>
    </w:p>
    <w:p w:rsidR="00000000" w:rsidDel="00000000" w:rsidP="00000000" w:rsidRDefault="00000000" w:rsidRPr="00000000" w14:paraId="000000D6">
      <w:pP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8</w:t>
      </w:r>
    </w:p>
    <w:p w:rsidR="00000000" w:rsidDel="00000000" w:rsidP="00000000" w:rsidRDefault="00000000" w:rsidRPr="00000000" w14:paraId="000000D7">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Principales sistemas de información y plataformas tecnológicas</w:t>
      </w:r>
      <w:r w:rsidDel="00000000" w:rsidR="00000000" w:rsidRPr="00000000">
        <w:rPr>
          <w:rtl w:val="0"/>
        </w:rPr>
      </w:r>
    </w:p>
    <w:tbl>
      <w:tblPr>
        <w:tblStyle w:val="Table8"/>
        <w:tblW w:w="814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70"/>
        <w:gridCol w:w="4860"/>
        <w:tblGridChange w:id="0">
          <w:tblGrid>
            <w:gridCol w:w="1815"/>
            <w:gridCol w:w="1470"/>
            <w:gridCol w:w="4860"/>
          </w:tblGrid>
        </w:tblGridChange>
      </w:tblGrid>
      <w:tr>
        <w:trPr>
          <w:cantSplit w:val="0"/>
          <w:trHeight w:val="570" w:hRule="atLeast"/>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8">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Capa / Dominio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9">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Sistema o elemento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DA">
            <w:pPr>
              <w:spacing w:after="160" w:lineRule="auto"/>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 y alcance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e Inteligencia Artificial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(Analytics, Data, AI)</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global del Grupo BBVA, desplegada en Perú en 2025. Habilita modelos analíticos complejos y agiliza la toma de decisiones.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E">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interna</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D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Workspace con Gemini</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E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IA generativa para colaboradores en uso generalizado, orientada a la mejora de la eficiencia operativa.</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Canal móvil (Retail)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Perú y Asistente Blue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 principal de interacción del cliente masivo; procesa más del 81% de las operaciones monetarias e integra al asistente virtual Blue.</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Banca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Net Cash</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especializada de </w:t>
            </w:r>
            <w:r w:rsidDel="00000000" w:rsidR="00000000" w:rsidRPr="00000000">
              <w:rPr>
                <w:rFonts w:ascii="Times New Roman" w:cs="Times New Roman" w:eastAsia="Times New Roman" w:hAnsi="Times New Roman"/>
                <w:i w:val="1"/>
                <w:iCs w:val="1"/>
                <w:rtl w:val="0"/>
              </w:rPr>
              <w:t xml:space="preserve">cash management</w:t>
            </w:r>
            <w:r w:rsidDel="00000000" w:rsidR="00000000" w:rsidRPr="00000000">
              <w:rPr>
                <w:rFonts w:ascii="Times New Roman" w:cs="Times New Roman" w:eastAsia="Times New Roman" w:hAnsi="Times New Roman"/>
                <w:rtl w:val="0"/>
              </w:rPr>
              <w:t xml:space="preserve"> para la gestión transaccional y liquidez de clientes jurídicos.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Pagos y transferencias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Pagos al Toque y QR Plin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Ecosistema para transferencias instantáneas e interoperables, soportando altos volúmenes de transacciones digitales.</w:t>
            </w:r>
          </w:p>
        </w:tc>
      </w:tr>
      <w:tr>
        <w:trPr>
          <w:cantSplit w:val="0"/>
          <w:trHeight w:val="1035" w:hRule="atLeast"/>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Onboarding e Inversiones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Apertura digital y plataformas de inversión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alta de cliente en 4 minutos. Además, integra la comercialización de fondos mutuos y asesoría de inversión asistida por IA en la app.</w:t>
            </w:r>
          </w:p>
        </w:tc>
      </w:tr>
    </w:tbl>
    <w:p w:rsidR="00000000" w:rsidDel="00000000" w:rsidP="00000000" w:rsidRDefault="00000000" w:rsidRPr="00000000" w14:paraId="000000ED">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 con base en los sistemas y capacidades digitales declarados por la entidad financiera.</w:t>
      </w:r>
    </w:p>
    <w:p w:rsidR="00000000" w:rsidDel="00000000" w:rsidP="00000000" w:rsidRDefault="00000000" w:rsidRPr="00000000" w14:paraId="000000EE">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Supuesto metodológico sobre la arquitectura transaccional: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No se identifica información pública oficial sobre el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bancario, el motor de decisión crediticia, el CRM ni la plataforma central de prevención de fraude del banco. Para efectos del presente trabajo, se asume una arquitectura de </w:t>
      </w:r>
      <w:r w:rsidDel="00000000" w:rsidR="00000000" w:rsidRPr="00000000">
        <w:rPr>
          <w:rFonts w:ascii="Times New Roman" w:cs="Times New Roman" w:eastAsia="Times New Roman" w:hAnsi="Times New Roman"/>
          <w:i w:val="1"/>
          <w:iCs w:val="1"/>
          <w:rtl w:val="0"/>
        </w:rPr>
        <w:t xml:space="preserve">core</w:t>
      </w:r>
      <w:r w:rsidDel="00000000" w:rsidR="00000000" w:rsidRPr="00000000">
        <w:rPr>
          <w:rFonts w:ascii="Times New Roman" w:cs="Times New Roman" w:eastAsia="Times New Roman" w:hAnsi="Times New Roman"/>
          <w:rtl w:val="0"/>
        </w:rPr>
        <w:t xml:space="preserve"> transaccional moderno con una capa de servicios (API) e integración directa a la plataforma global de datos ADA.</w:t>
      </w:r>
      <w:r w:rsidDel="00000000" w:rsidR="00000000" w:rsidRPr="00000000">
        <w:rPr>
          <w:rtl w:val="0"/>
        </w:rPr>
      </w:r>
    </w:p>
    <w:p w:rsidR="00000000" w:rsidDel="00000000" w:rsidP="00000000" w:rsidRDefault="00000000" w:rsidRPr="00000000" w14:paraId="000000EF">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lw60c8p8frcr" w:id="8"/>
      <w:bookmarkEnd w:id="8"/>
      <w:r w:rsidDel="00000000" w:rsidR="00000000" w:rsidRPr="00000000">
        <w:rPr>
          <w:rFonts w:ascii="Times New Roman" w:cs="Times New Roman" w:eastAsia="Times New Roman" w:hAnsi="Times New Roman"/>
          <w:b w:val="1"/>
          <w:bCs w:val="1"/>
          <w:sz w:val="22"/>
          <w:szCs w:val="22"/>
          <w:rtl w:val="0"/>
        </w:rPr>
        <w:t xml:space="preserve">Business Model Canvas</w:t>
      </w:r>
    </w:p>
    <w:p w:rsidR="00000000" w:rsidDel="00000000" w:rsidP="00000000" w:rsidRDefault="00000000" w:rsidRPr="00000000" w14:paraId="000000F0">
      <w:pPr>
        <w:spacing w:after="1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Business Model Canvas permite sintetizar cómo la organización crea, entrega y captura valor mediante nueve bloques interrelacionados (</w:t>
      </w:r>
      <w:commentRangeStart w:id="280"/>
      <w:r w:rsidDel="00000000" w:rsidR="00000000" w:rsidRPr="00000000">
        <w:rPr>
          <w:rFonts w:ascii="Times New Roman" w:cs="Times New Roman" w:eastAsia="Times New Roman" w:hAnsi="Times New Roman"/>
          <w:rtl w:val="0"/>
        </w:rPr>
        <w:t xml:space="preserve">Osterwalder y Pigneur</w:t>
      </w:r>
      <w:commentRangeEnd w:id="280"/>
      <w:r>
        <w:rPr>
          <w:rStyle w:val="CommentReference"/>
        </w:rPr>
        <w:commentReference w:id="280"/>
      </w:r>
      <w:r w:rsidDel="00000000" w:rsidR="00000000" w:rsidRPr="00000000">
        <w:rPr>
          <w:rFonts w:ascii="Times New Roman" w:cs="Times New Roman" w:eastAsia="Times New Roman" w:hAnsi="Times New Roman"/>
          <w:rtl w:val="0"/>
        </w:rPr>
        <w:t xml:space="preserve">, 2010). En este caso, el elemento articulador es una propuesta de banca universal que combina escala, confianza regulatoria, cobertura omnicanal, capacidades globales y personalización basada en datos.</w:t>
      </w:r>
    </w:p>
    <w:p w:rsidR="00000000" w:rsidDel="00000000" w:rsidP="00000000" w:rsidRDefault="00000000" w:rsidRPr="00000000" w14:paraId="000000F1">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9</w:t>
      </w:r>
    </w:p>
    <w:p w:rsidR="00000000" w:rsidDel="00000000" w:rsidP="00000000" w:rsidRDefault="00000000" w:rsidRPr="00000000" w14:paraId="000000F2">
      <w:pPr>
        <w:spacing w:after="10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Business Model Canvas de Banco BBVA Perú</w:t>
      </w:r>
    </w:p>
    <w:tbl>
      <w:tblPr>
        <w:tblStyle w:val="Table9"/>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250"/>
        <w:tblGridChange w:id="0">
          <w:tblGrid>
            <w:gridCol w:w="3060"/>
            <w:gridCol w:w="525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Bloque</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Contenido aplicado a BBVA Perú</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Segmentos de clientes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 de mercado masivo y alto valor; pymes; empresas; grandes empresas; corporaciones; instituciones y clientes CIB.</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7">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Propuesta de valor</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financieros seguros y accesibles, resolución digital de necesidades cotidianas, asesoramiento especializado, cobertura física y capacidades de un grupo global.</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web, Plin/QR, Net Cash, oficinas, cajeros, Agentes Express, contact center y asistentes conversacionales.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B">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Relación con clientes</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C">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Autoservicio digital, personalización, gestores especializados, atención asistida, citas y gestión de satisfacción y reclamos.</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Fuentes de ingresos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0FE">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Margen financiero; comisiones por pagos, tarjetas y servicios; gestión de activos; seguros; mercados; banca de inversión y soluciones transaccionales.</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0FF">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Recursos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0">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 capital, marca, base de clientes, talento, red física, core transaccional, canales, datos, modelos de riesgo y plataforma ADA.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Actividades clave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Captación; originación y administración de crédito; pagos; inversiones; gestión de riesgos; atención; cumplimiento; datos, tecnología y ciberseguridad.</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Socios clave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04">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BBVA, Grupo Breca, redes y esquemas de pago, corresponsales, proveedores tecnológicos, centrales de riesgo y organismos del ecosistema financiero.</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Estructura de costos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red física, tecnología y nube, seguridad, riesgo de crédito, fondeo, cumplimiento, proveedores y operación continua.</w:t>
            </w:r>
          </w:p>
        </w:tc>
      </w:tr>
    </w:tbl>
    <w:p w:rsidR="00000000" w:rsidDel="00000000" w:rsidP="00000000" w:rsidRDefault="00000000" w:rsidRPr="00000000" w14:paraId="00000107">
      <w:pPr>
        <w:spacing w:after="160" w:before="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según el modelo de Osterwalder y Pigneur (2010), con evidencia de Banco BBVA Perú (2026a, 2026b).</w:t>
      </w:r>
      <w:r w:rsidDel="00000000" w:rsidR="00000000" w:rsidRPr="00000000">
        <w:rPr>
          <w:rtl w:val="0"/>
        </w:rPr>
      </w:r>
    </w:p>
    <w:p w:rsidR="00000000" w:rsidDel="00000000" w:rsidP="00000000" w:rsidRDefault="00000000" w:rsidRPr="00000000" w14:paraId="00000108">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tqwlbgle03yu" w:id="9"/>
      <w:bookmarkEnd w:id="9"/>
      <w:r w:rsidDel="00000000" w:rsidR="00000000" w:rsidRPr="00000000">
        <w:rPr>
          <w:rFonts w:ascii="Times New Roman" w:cs="Times New Roman" w:eastAsia="Times New Roman" w:hAnsi="Times New Roman"/>
          <w:b w:val="1"/>
          <w:bCs w:val="1"/>
          <w:sz w:val="22"/>
          <w:szCs w:val="22"/>
          <w:rtl w:val="0"/>
        </w:rPr>
        <w:t xml:space="preserve">Objetivos estratégicos del negocio y procesos críticos</w:t>
      </w:r>
    </w:p>
    <w:p w:rsidR="00000000" w:rsidDel="00000000" w:rsidP="00000000" w:rsidRDefault="00000000" w:rsidRPr="00000000" w14:paraId="00000109">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colFirst="0" w:colLast="0" w:name="_49xqzspbsste" w:id="10"/>
      <w:bookmarkEnd w:id="10"/>
      <w:r w:rsidDel="00000000" w:rsidR="00000000" w:rsidRPr="00000000">
        <w:rPr>
          <w:rFonts w:ascii="Times New Roman" w:cs="Times New Roman" w:eastAsia="Times New Roman" w:hAnsi="Times New Roman"/>
          <w:b w:val="1"/>
          <w:bCs w:val="1"/>
          <w:sz w:val="22"/>
          <w:szCs w:val="22"/>
          <w:rtl w:val="0"/>
        </w:rPr>
        <w:t xml:space="preserve">Objetivos estratégicos</w:t>
      </w:r>
    </w:p>
    <w:p w:rsidR="00000000" w:rsidDel="00000000" w:rsidP="00000000" w:rsidRDefault="00000000" w:rsidRPr="00000000" w14:paraId="0000010A">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ciclo 2025-2029, BBVA organiza su estrategia alrededor de seis prioridades. El informe las adopta como marco corporativo y las traduce a la realidad peruana mediante descripciones operativas, indicadores candidatos y capacidades necesarias. Esta traducción es relevante porque un objetivo adquiere utilidad para la gestión de sistemas cuando puede relacionarse con procesos, información, responsables y resultados verificables </w:t>
      </w:r>
      <w:commentRangeStart w:id="203"/>
      <w:r w:rsidDel="00000000" w:rsidR="00000000" w:rsidRPr="00000000">
        <w:rPr>
          <w:rFonts w:ascii="Times New Roman" w:cs="Times New Roman" w:eastAsia="Times New Roman" w:hAnsi="Times New Roman"/>
          <w:rtl w:val="0"/>
        </w:rPr>
        <w:t xml:space="preserve">(BBVA, 2025a)</w:t>
      </w:r>
      <w:commentRangeEnd w:id="203"/>
      <w:r>
        <w:rPr>
          <w:rStyle w:val="CommentReference"/>
        </w:rPr>
        <w:commentReference w:id="203"/>
      </w:r>
      <w:r w:rsidDel="00000000" w:rsidR="00000000" w:rsidRPr="00000000">
        <w:rPr>
          <w:rFonts w:ascii="Times New Roman" w:cs="Times New Roman" w:eastAsia="Times New Roman" w:hAnsi="Times New Roman"/>
          <w:rtl w:val="0"/>
        </w:rPr>
        <w:t xml:space="preserve">.</w:t>
      </w:r>
      <w:commentRangeStart w:id="3"/>
      <w:r w:rsidDel="00000000" w:rsidR="00000000" w:rsidRPr="00000000">
        <w:rPr>
          <w:rFonts w:ascii="Times New Roman" w:cs="Times New Roman" w:eastAsia="Times New Roman" w:hAnsi="Times New Roman"/>
          <w:rtl w:val="0"/>
        </w:rPr>
        <w:t xml:space="preserve"> Para que cada objetivo sea medible con precisión, la Tabla 10 incorpora la línea base numérica de BBVA Perú y una meta cuantitativa a 18 meses por objetivo, de modo que su avance pueda verificarse con datos públicos del banco.</w:t>
      </w:r>
      <w:commentRangeEnd w:id="3"/>
      <w:r>
        <w:rPr>
          <w:rStyle w:val="CommentReference"/>
        </w:rPr>
        <w:commentReference w:id="3"/>
      </w:r>
    </w:p>
    <w:p w:rsidR="00000000" w:rsidDel="00000000" w:rsidP="00000000" w:rsidRDefault="00000000" w:rsidRPr="00000000" w14:paraId="0000010B">
      <w:pPr>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10</w:t>
      </w:r>
    </w:p>
    <w:p w:rsidR="00000000" w:rsidDel="00000000" w:rsidP="00000000" w:rsidRDefault="00000000" w:rsidRPr="00000000" w14:paraId="0000010C">
      <w:pPr>
        <w:spacing w:after="100" w:lineRule="auto"/>
        <w:ind w:firstLine="720"/>
        <w:rPr>
          <w:rFonts w:ascii="Times New Roman" w:cs="Times New Roman" w:eastAsia="Times New Roman" w:hAnsi="Times New Roman"/>
          <w:i w:val="1"/>
          <w:iCs w:val="1"/>
        </w:rPr>
      </w:pPr>
      <w:commentRangeStart w:id="4"/>
      <w:r w:rsidDel="00000000" w:rsidR="00000000" w:rsidRPr="00000000">
        <w:rPr>
          <w:rFonts w:ascii="Times New Roman" w:cs="Times New Roman" w:eastAsia="Times New Roman" w:hAnsi="Times New Roman"/>
          <w:i w:val="1"/>
          <w:iCs w:val="1"/>
          <w:rtl w:val="0"/>
        </w:rPr>
        <w:t>Objetivos estratégicos, indicadores, línea base, metas y capacidades requeridas</w:t>
      </w:r>
      <w:commentRangeEnd w:id="4"/>
      <w:r>
        <w:rPr>
          <w:rStyle w:val="CommentReference"/>
        </w:rPr>
        <w:commentReference w:id="4"/>
      </w:r>
    </w:p>
    <w:tbl>
      <w:tblPr>
        <w:tblStyle w:val="Table10"/>
        <w:tblW w:w="8295"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1650"/>
        <w:gridCol w:w="1900"/>
        <w:gridCol w:w="1900"/>
        <w:gridCol w:w="1595"/>
        <w:tblGridChange w:id="0">
          <w:tblGrid>
            <w:gridCol w:w="1920"/>
            <w:gridCol w:w="2880"/>
            <w:gridCol w:w="3495"/>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Objetivo estratégico</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 operativa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Indicadores candidatos y capacidades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pPr>
              <w:rPr>
                <w:rFonts w:ascii="Times New Roman" w:cs="Times New Roman" w:eastAsia="Times New Roman" w:hAnsi="Times New Roman"/>
                <w:b w:val="1"/>
                <w:bCs w:val="1"/>
                <w:color w:val="ffffff"/>
                <w:sz w:val="18"/>
                <w:szCs w:val="18"/>
              </w:rPr>
            </w:pPr>
            <w:commentRangeStart w:id="5"/>
            <w:r w:rsidDel="00000000" w:rsidR="00000000" w:rsidRPr="00000000">
              <w:rPr>
                <w:rFonts w:ascii="Times New Roman" w:cs="Times New Roman" w:eastAsia="Times New Roman" w:hAnsi="Times New Roman"/>
                <w:b w:val="1"/>
                <w:bCs w:val="1"/>
                <w:color w:val="ffffff"/>
                <w:sz w:val="18"/>
                <w:szCs w:val="18"/>
                <w:rtl w:val="0"/>
              </w:rPr>
              <w:t xml:space="preserve">Línea base (BBVA Perú)</w:t>
            </w:r>
            <w:commentRangeEnd w:id="5"/>
            <w:r>
              <w:rPr>
                <w:rStyle w:val="CommentReference"/>
              </w:rPr>
              <w:commentReference w:id="5"/>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pPr>
              <w:rPr>
                <w:rFonts w:ascii="Times New Roman" w:cs="Times New Roman" w:eastAsia="Times New Roman" w:hAnsi="Times New Roman"/>
                <w:b w:val="1"/>
                <w:bCs w:val="1"/>
                <w:color w:val="ffffff"/>
                <w:sz w:val="18"/>
                <w:szCs w:val="18"/>
              </w:rPr>
            </w:pPr>
            <w:commentRangeStart w:id="6"/>
            <w:r w:rsidDel="00000000" w:rsidR="00000000" w:rsidRPr="00000000">
              <w:rPr>
                <w:rFonts w:ascii="Times New Roman" w:cs="Times New Roman" w:eastAsia="Times New Roman" w:hAnsi="Times New Roman"/>
                <w:b w:val="1"/>
                <w:bCs w:val="1"/>
                <w:color w:val="ffffff"/>
                <w:sz w:val="18"/>
                <w:szCs w:val="18"/>
                <w:rtl w:val="0"/>
              </w:rPr>
              <w:t xml:space="preserve">Meta cuantitativa a 18 meses (propuesta)</w:t>
            </w:r>
            <w:commentRangeEnd w:id="6"/>
            <w:r>
              <w:rPr>
                <w:rStyle w:val="CommentReference"/>
              </w:rPr>
              <w:commentReference w:id="6"/>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0">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OE1. “Incorporar radicalmente la perspectiva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Rediseñar journeys y decisiones desde las necesidades del cliente; asegurar una experiencia coherente, disponible y contextual en todos los canales.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NPS, resolución en primer contacto, tiempo de ciclo, conversión y abandono. Capacidades: visión 360°, analítica de journeys, personalización, orquestación omnicanal y voz del cliente.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7"/>
            <w:r w:rsidDel="00000000" w:rsidR="00000000" w:rsidRPr="00000000">
              <w:rPr>
                <w:rFonts w:ascii="Times New Roman" w:cs="Times New Roman" w:eastAsia="Times New Roman" w:hAnsi="Times New Roman"/>
                <w:sz w:val="18"/>
                <w:szCs w:val="18"/>
                <w:rtl w:val="0"/>
              </w:rPr>
              <w:t xml:space="preserve">NPS Retail 52.57% y NPS Pyme 33.6% en 2025; brecha de 18.97 puntos (Banco BBVA Perú, 2026b, p. 26). Resolución en primer contacto, tiempo de ciclo, conversión y abandono: NO HAY FUENTES EN INTERNET DISPONIBLES.</w:t>
            </w:r>
            <w:commentRangeEnd w:id="7"/>
            <w:r>
              <w:rPr>
                <w:rStyle w:val="CommentReference"/>
              </w:rPr>
              <w:commentReference w:id="7"/>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8"/>
            <w:r w:rsidDel="00000000" w:rsidR="00000000" w:rsidRPr="00000000">
              <w:rPr>
                <w:rFonts w:ascii="Times New Roman" w:cs="Times New Roman" w:eastAsia="Times New Roman" w:hAnsi="Times New Roman"/>
                <w:sz w:val="18"/>
                <w:szCs w:val="18"/>
                <w:rtl w:val="0"/>
              </w:rPr>
              <w:t xml:space="preserve">NPS Pyme ≥ 43.0% a 18 meses (nivel actual de Banca de Empresas e Instituciones, 43.6%), con brecha frente a Retail ≤ 9.6 puntos, y NPS Retail ≥ 52.57%. Instrumentar los demás indicadores en los primeros 6 meses.</w:t>
            </w:r>
            <w:commentRangeEnd w:id="8"/>
            <w:r>
              <w:rPr>
                <w:rStyle w:val="CommentReference"/>
              </w:rPr>
              <w:commentReference w:id="8"/>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3">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OE2. “Impulsar la sostenibilidad como motor de crecimiento”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4">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Integrar criterios ambientales y sociales en la propuesta, la originación, el riesgo, el asesoramiento y el seguimiento, no solo en el reporte.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5">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negocio sostenible movilizado, cartera elegible, tiempo de evaluación y calidad del dato ESG. Capacidades: taxonomía, trazabilidad, datos ESG, reglas de elegibilidad y reporting.</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9"/>
            <w:r w:rsidDel="00000000" w:rsidR="00000000" w:rsidRPr="00000000">
              <w:rPr>
                <w:rFonts w:ascii="Times New Roman" w:cs="Times New Roman" w:eastAsia="Times New Roman" w:hAnsi="Times New Roman"/>
                <w:sz w:val="18"/>
                <w:szCs w:val="18"/>
                <w:rtl w:val="0"/>
              </w:rPr>
              <w:t xml:space="preserve">Colocaciones sostenibles cercanas a S/ 16.5 mil millones y 115% de cumplimiento de la meta de facturación sostenible en 2025 (Banco BBVA Perú, 2026b); facturación sostenible movilizada de S/ 8,989 millones al 1S 2026 (Banco BBVA Perú, 2026a). Tiempo de evaluación y calidad del dato ESG: NO HAY FUENTES EN INTERNET DISPONIBLES.</w:t>
            </w:r>
            <w:commentRangeEnd w:id="9"/>
            <w:r>
              <w:rPr>
                <w:rStyle w:val="CommentReference"/>
              </w:rPr>
              <w:commentReference w:id="9"/>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0"/>
            <w:r w:rsidDel="00000000" w:rsidR="00000000" w:rsidRPr="00000000">
              <w:rPr>
                <w:rFonts w:ascii="Times New Roman" w:cs="Times New Roman" w:eastAsia="Times New Roman" w:hAnsi="Times New Roman"/>
                <w:sz w:val="18"/>
                <w:szCs w:val="18"/>
                <w:rtl w:val="0"/>
              </w:rPr>
              <w:t xml:space="preserve">Colocaciones sostenibles ≥ S/ 20 mil millones (≈ +21%) y cumplimiento ≥ 100% de la meta anual de facturación sostenible a 18 meses. Instrumentar tiempo de evaluación y calidad del dato ESG en los primeros 6 meses.</w:t>
            </w:r>
            <w:commentRangeEnd w:id="10"/>
            <w:r>
              <w:rPr>
                <w:rStyle w:val="CommentReference"/>
              </w:rPr>
              <w:commentReference w:id="10"/>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6">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OE3. “Crecer en todos los segmentos de empresas”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Expandir la relación con pymes, empresas, instituciones y corporaciones mediante asesoramiento, rapidez de respuesta y soluciones transaccionales integrales.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cuota, clientes activos, vinculación, ingresos transaccionales, conversión y tiempo de aprobación. Capacidades: onboarding empresarial, cash management, scoring, integración y visión sectorial.</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1"/>
            <w:commentRangeStart w:id="29"/>
            <w:r w:rsidDel="00000000" w:rsidR="00000000" w:rsidRPr="00000000">
              <w:rPr>
                <w:rFonts w:ascii="Times New Roman" w:cs="Times New Roman" w:eastAsia="Times New Roman" w:hAnsi="Times New Roman"/>
                <w:sz w:val="18"/>
                <w:szCs w:val="18"/>
                <w:rtl w:val="0"/>
              </w:rPr>
              <w:t>Cuota de colocaciones vigentes 22.09% y de depósitos 20.90% en 2025; cuota en pymes 21.5%, gran empresa 29.9% y corporativo 19.6% (Banco BBVA Perú, 2026b). Clientes activos, vinculación y tiempo de aprobación: NO HAY FUENTES EN INTERNET DISPONIBLES.</w:t>
            </w:r>
            <w:commentRangeEnd w:id="29"/>
            <w:r>
              <w:rPr>
                <w:rStyle w:val="CommentReference"/>
              </w:rPr>
              <w:commentReference w:id="29"/>
            </w:r>
            <w:commentRangeEnd w:id="11"/>
            <w:r>
              <w:rPr>
                <w:rStyle w:val="CommentReference"/>
              </w:rPr>
              <w:commentReference w:id="11"/>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2"/>
            <w:r w:rsidDel="00000000" w:rsidR="00000000" w:rsidRPr="00000000">
              <w:rPr>
                <w:rFonts w:ascii="Times New Roman" w:cs="Times New Roman" w:eastAsia="Times New Roman" w:hAnsi="Times New Roman"/>
                <w:sz w:val="18"/>
                <w:szCs w:val="18"/>
                <w:rtl w:val="0"/>
              </w:rPr>
              <w:t xml:space="preserve">Cuota de colocaciones vigentes ≥ 22.5% (+0.4 puntos) y cuota en pymes ≥ 22.5% (+1.0 punto) a 18 meses. Instrumentar tiempo de aprobación en los primeros 6 meses.</w:t>
            </w:r>
            <w:commentRangeEnd w:id="12"/>
            <w:r>
              <w:rPr>
                <w:rStyle w:val="CommentReference"/>
              </w:rPr>
              <w:commentReference w:id="12"/>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9">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OE4. “Promover una mentalidad de creación de valor y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A">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Orientar crecimiento, precios y asignación de recursos a rentabilidad ajustada por riesgo y uso eficiente del capital.</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1B">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ROE, RORWA, eficiencia, costo de riesgo y rentabilidad por cliente/producto. Capacidades: rentabilidad granular, pricing, modelos de riesgo, automatización y gestión de portafolio.</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3"/>
            <w:commentRangeStart w:id="28"/>
            <w:r w:rsidDel="00000000" w:rsidR="00000000" w:rsidRPr="00000000">
              <w:rPr>
                <w:rFonts w:ascii="Times New Roman" w:cs="Times New Roman" w:eastAsia="Times New Roman" w:hAnsi="Times New Roman"/>
                <w:sz w:val="18"/>
                <w:szCs w:val="18"/>
                <w:rtl w:val="0"/>
              </w:rPr>
              <w:t>ROE 17.21% (2025) y 18.7% (2T 2026), frente a 20.1% del sistema; ratio de eficiencia 35.9% (2025) y 40.0% (2T 2026); mora 2.69% al 2T 2026 frente a 2.83% del sistema a mayo de 2026 (Banco BBVA Perú, 2026a, pp. 17 y 24; 2026b). RORWA y costo de riesgo: NO HAY FUENTES EN INTERNET DISPONIBLES.</w:t>
            </w:r>
            <w:commentRangeEnd w:id="28"/>
            <w:r>
              <w:rPr>
                <w:rStyle w:val="CommentReference"/>
              </w:rPr>
              <w:commentReference w:id="28"/>
            </w:r>
            <w:commentRangeEnd w:id="13"/>
            <w:r>
              <w:rPr>
                <w:rStyle w:val="CommentReference"/>
              </w:rPr>
              <w:commentReference w:id="13"/>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4"/>
            <w:r w:rsidDel="00000000" w:rsidR="00000000" w:rsidRPr="00000000">
              <w:rPr>
                <w:rFonts w:ascii="Times New Roman" w:cs="Times New Roman" w:eastAsia="Times New Roman" w:hAnsi="Times New Roman"/>
                <w:sz w:val="18"/>
                <w:szCs w:val="18"/>
                <w:rtl w:val="0"/>
              </w:rPr>
              <w:t xml:space="preserve">ROE ≥ 19.5% (reduce en más de la mitad la brecha de 1.4 puntos con el sistema), ratio de eficiencia ≤ 40.0% y mora ≤ 2.69% a 18 meses. Instrumentar RORWA y costo de riesgo en los primeros 6 meses.</w:t>
            </w:r>
            <w:commentRangeEnd w:id="14"/>
            <w:r>
              <w:rPr>
                <w:rStyle w:val="CommentReference"/>
              </w:rPr>
              <w:commentReference w:id="14"/>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OE5. “Maximizar IA, innovación, datos y tecnologías Next Gen”</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D">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Escalar datos e IA desde pilotos hacia decisiones, interacciones y automatizaciones gobernadas a lo largo de la cadena de valor.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casos en producción, adopción, tiempo de despliegue, calidad de datos, impacto económico y desempeño de modelos. Capacidades: ADA, MLOps, APIs, datos gobernados, seguridad y observabilidad.</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5"/>
            <w:r w:rsidDel="00000000" w:rsidR="00000000" w:rsidRPr="00000000">
              <w:rPr>
                <w:rFonts w:ascii="Times New Roman" w:cs="Times New Roman" w:eastAsia="Times New Roman" w:hAnsi="Times New Roman"/>
                <w:sz w:val="18"/>
                <w:szCs w:val="18"/>
                <w:rtl w:val="0"/>
              </w:rPr>
              <w:t xml:space="preserve">Ventas digitales 79.57% y más de 3 millones de usuarios activos en la app (2T 2026) (Banco BBVA Perú, 2026a); más del 81% de las operaciones realizadas por la app y despliegue de ADA en 2025 (Banco BBVA Perú, 2026b). Casos en producción y tiempo de despliegue: NO HAY FUENTES EN INTERNET DISPONIBLES.</w:t>
            </w:r>
            <w:commentRangeEnd w:id="15"/>
            <w:r>
              <w:rPr>
                <w:rStyle w:val="CommentReference"/>
              </w:rPr>
              <w:commentReference w:id="15"/>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6"/>
            <w:r w:rsidDel="00000000" w:rsidR="00000000" w:rsidRPr="00000000">
              <w:rPr>
                <w:rFonts w:ascii="Times New Roman" w:cs="Times New Roman" w:eastAsia="Times New Roman" w:hAnsi="Times New Roman"/>
                <w:sz w:val="18"/>
                <w:szCs w:val="18"/>
                <w:rtl w:val="0"/>
              </w:rPr>
              <w:t xml:space="preserve">Ventas digitales ≥ 85% (+5.4 puntos) y al menos tres casos de IA priorizados en producción con impacto económico medido a 18 meses. Definir la línea base de casos y de tiempo de despliegue en los primeros 6 meses.</w:t>
            </w:r>
            <w:commentRangeEnd w:id="16"/>
            <w:r>
              <w:rPr>
                <w:rStyle w:val="CommentReference"/>
              </w:rPr>
              <w:commentReference w:id="16"/>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52.00000000000003" w:lineRule="auto"/>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OE6. “Fortalecer nuestra empatía, triunfar como un equipo ganador”</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Mejorar los procesos internos de la empresa, para maximizar el bienestar de los empleados y aumentar las capacidades digitales internas.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Indicadores: Nivel de productividad, tiempo de mejora de implementación de automatizaciones, calidad de datos y desempeño de la estrategia de mejora.</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7"/>
            <w:r w:rsidDel="00000000" w:rsidR="00000000" w:rsidRPr="00000000">
              <w:rPr>
                <w:rFonts w:ascii="Times New Roman" w:cs="Times New Roman" w:eastAsia="Times New Roman" w:hAnsi="Times New Roman"/>
                <w:sz w:val="18"/>
                <w:szCs w:val="18"/>
                <w:rtl w:val="0"/>
              </w:rPr>
              <w:t xml:space="preserve">Índice de compromiso de colaboradores 93/100 en 2025 (Banco BBVA Perú, 2026b, p. 12) y adopción interna de Blue Buddy del 90% en junio de 2026 (Banco BBVA Perú, 2026a). Productividad, tiempo de implementación de automatizaciones y calidad de datos: NO HAY FUENTES EN INTERNET DISPONIBLES.</w:t>
            </w:r>
            <w:commentRangeEnd w:id="17"/>
            <w:r>
              <w:rPr>
                <w:rStyle w:val="CommentReference"/>
              </w:rPr>
              <w:commentReference w:id="17"/>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pPr>
              <w:spacing w:line="252.00000000000003" w:lineRule="auto"/>
              <w:rPr>
                <w:rFonts w:ascii="Times New Roman" w:cs="Times New Roman" w:eastAsia="Times New Roman" w:hAnsi="Times New Roman"/>
                <w:sz w:val="18"/>
                <w:szCs w:val="18"/>
              </w:rPr>
            </w:pPr>
            <w:commentRangeStart w:id="18"/>
            <w:r w:rsidDel="00000000" w:rsidR="00000000" w:rsidRPr="00000000">
              <w:rPr>
                <w:rFonts w:ascii="Times New Roman" w:cs="Times New Roman" w:eastAsia="Times New Roman" w:hAnsi="Times New Roman"/>
                <w:sz w:val="18"/>
                <w:szCs w:val="18"/>
                <w:rtl w:val="0"/>
              </w:rPr>
              <w:t xml:space="preserve">Índice de compromiso ≥ 93/100 y adopción interna de Blue Buddy ≥ 95% a 18 meses. Definir la línea base de productividad y de automatizaciones en los primeros 6 meses.</w:t>
            </w:r>
            <w:commentRangeEnd w:id="18"/>
            <w:r>
              <w:rPr>
                <w:rStyle w:val="CommentReference"/>
              </w:rPr>
              <w:commentReference w:id="18"/>
            </w:r>
          </w:p>
        </w:tc>
      </w:tr>
    </w:tbl>
    <w:p w:rsidR="00000000" w:rsidDel="00000000" w:rsidP="00000000" w:rsidRDefault="00000000" w:rsidRPr="00000000" w14:paraId="00000122">
      <w:pPr>
        <w:spacing w:after="160" w:before="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commentRangeStart w:id="19"/>
      <w:r w:rsidDel="00000000" w:rsidR="00000000" w:rsidRPr="00000000">
        <w:rPr>
          <w:rFonts w:ascii="Times New Roman" w:cs="Times New Roman" w:eastAsia="Times New Roman" w:hAnsi="Times New Roman"/>
          <w:rtl w:val="0"/>
        </w:rPr>
        <w:t xml:space="preserve">Elaboración propia con base en Banco BBVA Perú (2026a, 2026b) y </w:t>
      </w:r>
      <w:commentRangeStart w:id="205"/>
      <w:r w:rsidDel="00000000" w:rsidR="00000000" w:rsidRPr="00000000">
        <w:rPr>
          <w:rFonts w:ascii="Times New Roman" w:cs="Times New Roman" w:eastAsia="Times New Roman" w:hAnsi="Times New Roman"/>
          <w:rtl w:val="0"/>
        </w:rPr>
        <w:t xml:space="preserve">BBVA (2025a)</w:t>
      </w:r>
      <w:commentRangeEnd w:id="205"/>
      <w:r>
        <w:rPr>
          <w:rStyle w:val="CommentReference"/>
        </w:rPr>
        <w:commentReference w:id="205"/>
      </w:r>
      <w:r w:rsidDel="00000000" w:rsidR="00000000" w:rsidRPr="00000000">
        <w:rPr>
          <w:rFonts w:ascii="Times New Roman" w:cs="Times New Roman" w:eastAsia="Times New Roman" w:hAnsi="Times New Roman"/>
          <w:rtl w:val="0"/>
        </w:rPr>
        <w:t xml:space="preserve">. Las líneas base corresponden a datos públicos del periodo indicado; las metas a 18 meses son propuestas del equipo, pendientes de validación con la entidad. La frase “NO HAY FUENTES EN INTERNET DISPONIBLES” señala indicadores sin dato público, que deberán instrumentarse como parte de la meta.</w:t>
      </w:r>
      <w:commentRangeEnd w:id="19"/>
      <w:r>
        <w:rPr>
          <w:rStyle w:val="CommentReference"/>
        </w:rPr>
        <w:commentReference w:id="19"/>
      </w:r>
    </w:p>
    <w:p w:rsidR="00000000" w:rsidDel="00000000" w:rsidP="00000000" w:rsidRDefault="00000000" w:rsidRPr="00000000" w14:paraId="00000123">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tosgnrhasqtx" w:id="11"/>
      <w:bookmarkEnd w:id="11"/>
      <w:r w:rsidDel="00000000" w:rsidR="00000000" w:rsidRPr="00000000">
        <w:rPr>
          <w:rFonts w:ascii="Times New Roman" w:cs="Times New Roman" w:eastAsia="Times New Roman" w:hAnsi="Times New Roman"/>
          <w:b w:val="1"/>
          <w:bCs w:val="1"/>
          <w:sz w:val="22"/>
          <w:szCs w:val="22"/>
          <w:rtl w:val="0"/>
        </w:rPr>
        <w:t xml:space="preserve">Inventarios de procesos</w:t>
      </w:r>
    </w:p>
    <w:p w:rsidR="00000000" w:rsidDel="00000000" w:rsidP="00000000" w:rsidRDefault="00000000" w:rsidRPr="00000000" w14:paraId="00000124">
      <w:pPr>
        <w:spacing w:before="20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tecnológica del Banco combina plataformas transaccionales de alta disponibilidad, canales digitales que concentran la mayor parte de la actividad del cliente y una capa de datos y analítica en despliegue. A ello se suman procesos de control cuya forma responde a la regulación prudencial más que a decisiones internas, lo que permite especificarlos con mayor precisión que al resto.</w:t>
      </w:r>
      <w:commentRangeStart w:id="70"/>
      <w:r w:rsidDel="00000000" w:rsidR="00000000" w:rsidRPr="00000000">
        <w:rPr>
          <w:rFonts w:ascii="Times New Roman" w:cs="Times New Roman" w:eastAsia="Times New Roman" w:hAnsi="Times New Roman"/>
          <w:rtl w:val="0"/>
        </w:rPr>
        <w:t xml:space="preserve"> El inventario se complementa con los macroprocesos del negocio bancario (originación de crédito, captación, medios de pago, servicio al cliente y cobranzas), que son los que atraviesan los recorridos del cliente.</w:t>
      </w:r>
      <w:commentRangeEnd w:id="70"/>
      <w:r>
        <w:rPr>
          <w:rStyle w:val="CommentReference"/>
        </w:rPr>
        <w:commentReference w:id="70"/>
      </w:r>
    </w:p>
    <w:p w:rsidR="00000000" w:rsidDel="00000000" w:rsidP="00000000" w:rsidRDefault="00000000" w:rsidRPr="00000000" w14:paraId="00000125">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11</w:t>
      </w:r>
    </w:p>
    <w:p w:rsidR="00000000" w:rsidDel="00000000" w:rsidP="00000000" w:rsidRDefault="00000000" w:rsidRPr="00000000" w14:paraId="00000126">
      <w:pPr>
        <w:spacing w:after="1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Inventario de procesos</w:t>
      </w:r>
      <w:r w:rsidDel="00000000" w:rsidR="00000000" w:rsidRPr="00000000">
        <w:rPr>
          <w:rtl w:val="0"/>
        </w:rPr>
      </w:r>
    </w:p>
    <w:tbl>
      <w:tblPr>
        <w:tblStyle w:val="Table11"/>
        <w:tblW w:w="8376.37795275590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3.8488766885794"/>
        <w:gridCol w:w="3016.2645380336635"/>
        <w:gridCol w:w="3016.2645380336635"/>
        <w:tblGridChange w:id="0">
          <w:tblGrid>
            <w:gridCol w:w="2343.8488766885794"/>
            <w:gridCol w:w="3016.2645380336635"/>
            <w:gridCol w:w="3016.2645380336635"/>
          </w:tblGrid>
        </w:tblGridChange>
      </w:tblGrid>
      <w:tr>
        <w:trPr>
          <w:cantSplit w:val="0"/>
          <w:tblHeader w:val="0"/>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Macroproceso</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Procesos</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b w:val="1"/>
                <w:bCs w:val="1"/>
                <w:color w:val="fafbfc"/>
              </w:rPr>
            </w:pPr>
            <w:r w:rsidDel="00000000" w:rsidR="00000000" w:rsidRPr="00000000">
              <w:rPr>
                <w:rFonts w:ascii="Times New Roman" w:cs="Times New Roman" w:eastAsia="Times New Roman" w:hAnsi="Times New Roman"/>
                <w:b w:val="1"/>
                <w:bCs w:val="1"/>
                <w:color w:val="fafbfc"/>
                <w:rtl w:val="0"/>
              </w:rPr>
              <w:t xml:space="preserve">Clasificación según cadena de valor</w:t>
            </w:r>
          </w:p>
        </w:tc>
      </w:tr>
      <w:tr>
        <w:trPr>
          <w:cantSplit w:val="0"/>
          <w:trHeight w:val="15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Desarrollo de soluciones digitales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desarrollo de soluciones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plataformas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Calidad y pruebas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del core transaccional</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canales digitales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y atención de incidentes</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Primaria</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Gobierno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la plataforma de datos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operación de modelos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seguridad de la información</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Identidades y accesos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y respuesta a incidentes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vulnerabilidades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Continuidad del negocio y resiliencia operacional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impacto en el negocio</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Estrategias de continuidad</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simulacros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proveedores tecnológicos</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w:t>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39"/>
            <w:r w:rsidDel="00000000" w:rsidR="00000000" w:rsidRPr="00000000">
              <w:rPr>
                <w:rFonts w:ascii="Times New Roman" w:cs="Times New Roman" w:eastAsia="Times New Roman" w:hAnsi="Times New Roman"/>
                <w:b w:val="1"/>
                <w:bCs w:val="1"/>
                <w:color w:val="072146"/>
                <w:rtl w:val="0"/>
              </w:rPr>
              <w:t xml:space="preserve">Originación de crédito</w:t>
            </w:r>
            <w:commentRangeEnd w:id="39"/>
            <w:r>
              <w:rPr>
                <w:rStyle w:val="CommentReference"/>
              </w:rPr>
              <w:commentReference w:id="3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0"/>
            <w:r w:rsidDel="00000000" w:rsidR="00000000" w:rsidRPr="00000000">
              <w:rPr>
                <w:rFonts w:ascii="Times New Roman" w:cs="Times New Roman" w:eastAsia="Times New Roman" w:hAnsi="Times New Roman"/>
                <w:rtl w:val="0"/>
              </w:rPr>
              <w:t xml:space="preserve">Captación y precalificación de solicitudes</w:t>
            </w:r>
            <w:commentRangeEnd w:id="40"/>
            <w:r>
              <w:rPr>
                <w:rStyle w:val="CommentReference"/>
              </w:rPr>
              <w:commentReference w:id="40"/>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1"/>
            <w:r w:rsidDel="00000000" w:rsidR="00000000" w:rsidRPr="00000000">
              <w:rPr>
                <w:rFonts w:ascii="Times New Roman" w:cs="Times New Roman" w:eastAsia="Times New Roman" w:hAnsi="Times New Roman"/>
                <w:rtl w:val="0"/>
              </w:rPr>
              <w:t xml:space="preserve">Primaria</w:t>
            </w:r>
            <w:commentRangeEnd w:id="41"/>
            <w:r>
              <w:rPr>
                <w:rStyle w:val="CommentReference"/>
              </w:rPr>
              <w:commentReference w:id="41"/>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2"/>
            <w:r w:rsidDel="00000000" w:rsidR="00000000" w:rsidRPr="00000000">
              <w:rPr>
                <w:rFonts w:ascii="Times New Roman" w:cs="Times New Roman" w:eastAsia="Times New Roman" w:hAnsi="Times New Roman"/>
                <w:rtl w:val="0"/>
              </w:rPr>
              <w:t xml:space="preserve">Evaluación y decisión crediticia</w:t>
            </w:r>
            <w:commentRangeEnd w:id="42"/>
            <w:r>
              <w:rPr>
                <w:rStyle w:val="CommentReference"/>
              </w:rPr>
              <w:commentReference w:id="42"/>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3"/>
            <w:r w:rsidDel="00000000" w:rsidR="00000000" w:rsidRPr="00000000">
              <w:rPr>
                <w:rFonts w:ascii="Times New Roman" w:cs="Times New Roman" w:eastAsia="Times New Roman" w:hAnsi="Times New Roman"/>
                <w:rtl w:val="0"/>
              </w:rPr>
              <w:t xml:space="preserve">Primaria</w:t>
            </w:r>
            <w:commentRangeEnd w:id="43"/>
            <w:r>
              <w:rPr>
                <w:rStyle w:val="CommentReference"/>
              </w:rPr>
              <w:commentReference w:id="43"/>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4"/>
            <w:r w:rsidDel="00000000" w:rsidR="00000000" w:rsidRPr="00000000">
              <w:rPr>
                <w:rFonts w:ascii="Times New Roman" w:cs="Times New Roman" w:eastAsia="Times New Roman" w:hAnsi="Times New Roman"/>
                <w:rtl w:val="0"/>
              </w:rPr>
              <w:t xml:space="preserve">Formalización y desembolso</w:t>
            </w:r>
            <w:commentRangeEnd w:id="44"/>
            <w:r>
              <w:rPr>
                <w:rStyle w:val="CommentReference"/>
              </w:rPr>
              <w:commentReference w:id="44"/>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5"/>
            <w:r w:rsidDel="00000000" w:rsidR="00000000" w:rsidRPr="00000000">
              <w:rPr>
                <w:rFonts w:ascii="Times New Roman" w:cs="Times New Roman" w:eastAsia="Times New Roman" w:hAnsi="Times New Roman"/>
                <w:rtl w:val="0"/>
              </w:rPr>
              <w:t xml:space="preserve">Primaria</w:t>
            </w:r>
            <w:commentRangeEnd w:id="45"/>
            <w:r>
              <w:rPr>
                <w:rStyle w:val="CommentReference"/>
              </w:rPr>
              <w:commentReference w:id="45"/>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46"/>
            <w:r w:rsidDel="00000000" w:rsidR="00000000" w:rsidRPr="00000000">
              <w:rPr>
                <w:rFonts w:ascii="Times New Roman" w:cs="Times New Roman" w:eastAsia="Times New Roman" w:hAnsi="Times New Roman"/>
                <w:b w:val="1"/>
                <w:bCs w:val="1"/>
                <w:color w:val="072146"/>
                <w:rtl w:val="0"/>
              </w:rPr>
              <w:t xml:space="preserve">Captación de depósitos y vinculación</w:t>
            </w:r>
            <w:commentRangeEnd w:id="46"/>
            <w:r>
              <w:rPr>
                <w:rStyle w:val="CommentReference"/>
              </w:rPr>
              <w:commentReference w:id="4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7"/>
            <w:r w:rsidDel="00000000" w:rsidR="00000000" w:rsidRPr="00000000">
              <w:rPr>
                <w:rFonts w:ascii="Times New Roman" w:cs="Times New Roman" w:eastAsia="Times New Roman" w:hAnsi="Times New Roman"/>
                <w:rtl w:val="0"/>
              </w:rPr>
              <w:t xml:space="preserve">Apertura de cuentas y onboarding</w:t>
            </w:r>
            <w:commentRangeEnd w:id="47"/>
            <w:r>
              <w:rPr>
                <w:rStyle w:val="CommentReference"/>
              </w:rPr>
              <w:commentReference w:id="47"/>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8"/>
            <w:r w:rsidDel="00000000" w:rsidR="00000000" w:rsidRPr="00000000">
              <w:rPr>
                <w:rFonts w:ascii="Times New Roman" w:cs="Times New Roman" w:eastAsia="Times New Roman" w:hAnsi="Times New Roman"/>
                <w:rtl w:val="0"/>
              </w:rPr>
              <w:t xml:space="preserve">Primaria</w:t>
            </w:r>
            <w:commentRangeEnd w:id="48"/>
            <w:r>
              <w:rPr>
                <w:rStyle w:val="CommentReference"/>
              </w:rPr>
              <w:commentReference w:id="48"/>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49"/>
            <w:r w:rsidDel="00000000" w:rsidR="00000000" w:rsidRPr="00000000">
              <w:rPr>
                <w:rFonts w:ascii="Times New Roman" w:cs="Times New Roman" w:eastAsia="Times New Roman" w:hAnsi="Times New Roman"/>
                <w:rtl w:val="0"/>
              </w:rPr>
              <w:t xml:space="preserve">Gestión de depósitos y ahorro</w:t>
            </w:r>
            <w:commentRangeEnd w:id="49"/>
            <w:r>
              <w:rPr>
                <w:rStyle w:val="CommentReference"/>
              </w:rPr>
              <w:commentReference w:id="4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0"/>
            <w:r w:rsidDel="00000000" w:rsidR="00000000" w:rsidRPr="00000000">
              <w:rPr>
                <w:rFonts w:ascii="Times New Roman" w:cs="Times New Roman" w:eastAsia="Times New Roman" w:hAnsi="Times New Roman"/>
                <w:rtl w:val="0"/>
              </w:rPr>
              <w:t xml:space="preserve">Primaria</w:t>
            </w:r>
            <w:commentRangeEnd w:id="50"/>
            <w:r>
              <w:rPr>
                <w:rStyle w:val="CommentReference"/>
              </w:rPr>
              <w:commentReference w:id="50"/>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51"/>
            <w:r w:rsidDel="00000000" w:rsidR="00000000" w:rsidRPr="00000000">
              <w:rPr>
                <w:rFonts w:ascii="Times New Roman" w:cs="Times New Roman" w:eastAsia="Times New Roman" w:hAnsi="Times New Roman"/>
                <w:b w:val="1"/>
                <w:bCs w:val="1"/>
                <w:color w:val="072146"/>
                <w:rtl w:val="0"/>
              </w:rPr>
              <w:t xml:space="preserve">Medios de pago</w:t>
            </w:r>
            <w:commentRangeEnd w:id="51"/>
            <w:r>
              <w:rPr>
                <w:rStyle w:val="CommentReference"/>
              </w:rPr>
              <w:commentReference w:id="51"/>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2"/>
            <w:r w:rsidDel="00000000" w:rsidR="00000000" w:rsidRPr="00000000">
              <w:rPr>
                <w:rFonts w:ascii="Times New Roman" w:cs="Times New Roman" w:eastAsia="Times New Roman" w:hAnsi="Times New Roman"/>
                <w:rtl w:val="0"/>
              </w:rPr>
              <w:t xml:space="preserve">Emisión y gestión de tarjetas</w:t>
            </w:r>
            <w:commentRangeEnd w:id="52"/>
            <w:r>
              <w:rPr>
                <w:rStyle w:val="CommentReference"/>
              </w:rPr>
              <w:commentReference w:id="52"/>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3"/>
            <w:r w:rsidDel="00000000" w:rsidR="00000000" w:rsidRPr="00000000">
              <w:rPr>
                <w:rFonts w:ascii="Times New Roman" w:cs="Times New Roman" w:eastAsia="Times New Roman" w:hAnsi="Times New Roman"/>
                <w:rtl w:val="0"/>
              </w:rPr>
              <w:t xml:space="preserve">Primaria</w:t>
            </w:r>
            <w:commentRangeEnd w:id="53"/>
            <w:r>
              <w:rPr>
                <w:rStyle w:val="CommentReference"/>
              </w:rPr>
              <w:commentReference w:id="53"/>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4"/>
            <w:r w:rsidDel="00000000" w:rsidR="00000000" w:rsidRPr="00000000">
              <w:rPr>
                <w:rFonts w:ascii="Times New Roman" w:cs="Times New Roman" w:eastAsia="Times New Roman" w:hAnsi="Times New Roman"/>
                <w:rtl w:val="0"/>
              </w:rPr>
              <w:t xml:space="preserve">Pagos y transferencias (Plin y QR)</w:t>
            </w:r>
            <w:commentRangeEnd w:id="54"/>
            <w:r>
              <w:rPr>
                <w:rStyle w:val="CommentReference"/>
              </w:rPr>
              <w:commentReference w:id="54"/>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5"/>
            <w:r w:rsidDel="00000000" w:rsidR="00000000" w:rsidRPr="00000000">
              <w:rPr>
                <w:rFonts w:ascii="Times New Roman" w:cs="Times New Roman" w:eastAsia="Times New Roman" w:hAnsi="Times New Roman"/>
                <w:rtl w:val="0"/>
              </w:rPr>
              <w:t xml:space="preserve">Primaria</w:t>
            </w:r>
            <w:commentRangeEnd w:id="55"/>
            <w:r>
              <w:rPr>
                <w:rStyle w:val="CommentReference"/>
              </w:rPr>
              <w:commentReference w:id="55"/>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6"/>
            <w:r w:rsidDel="00000000" w:rsidR="00000000" w:rsidRPr="00000000">
              <w:rPr>
                <w:rFonts w:ascii="Times New Roman" w:cs="Times New Roman" w:eastAsia="Times New Roman" w:hAnsi="Times New Roman"/>
                <w:rtl w:val="0"/>
              </w:rPr>
              <w:t xml:space="preserve">Procesamiento y conciliación de transacciones</w:t>
            </w:r>
            <w:commentRangeEnd w:id="56"/>
            <w:r>
              <w:rPr>
                <w:rStyle w:val="CommentReference"/>
              </w:rPr>
              <w:commentReference w:id="5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7"/>
            <w:r w:rsidDel="00000000" w:rsidR="00000000" w:rsidRPr="00000000">
              <w:rPr>
                <w:rFonts w:ascii="Times New Roman" w:cs="Times New Roman" w:eastAsia="Times New Roman" w:hAnsi="Times New Roman"/>
                <w:rtl w:val="0"/>
              </w:rPr>
              <w:t xml:space="preserve">Primaria</w:t>
            </w:r>
            <w:commentRangeEnd w:id="57"/>
            <w:r>
              <w:rPr>
                <w:rStyle w:val="CommentReference"/>
              </w:rPr>
              <w:commentReference w:id="57"/>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58"/>
            <w:r w:rsidDel="00000000" w:rsidR="00000000" w:rsidRPr="00000000">
              <w:rPr>
                <w:rFonts w:ascii="Times New Roman" w:cs="Times New Roman" w:eastAsia="Times New Roman" w:hAnsi="Times New Roman"/>
                <w:b w:val="1"/>
                <w:bCs w:val="1"/>
                <w:color w:val="072146"/>
                <w:rtl w:val="0"/>
              </w:rPr>
              <w:t xml:space="preserve">Servicio al cliente</w:t>
            </w:r>
            <w:commentRangeEnd w:id="58"/>
            <w:r>
              <w:rPr>
                <w:rStyle w:val="CommentReference"/>
              </w:rPr>
              <w:commentReference w:id="58"/>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59"/>
            <w:r w:rsidDel="00000000" w:rsidR="00000000" w:rsidRPr="00000000">
              <w:rPr>
                <w:rFonts w:ascii="Times New Roman" w:cs="Times New Roman" w:eastAsia="Times New Roman" w:hAnsi="Times New Roman"/>
                <w:rtl w:val="0"/>
              </w:rPr>
              <w:t xml:space="preserve">Atención de consultas y requerimientos</w:t>
            </w:r>
            <w:commentRangeEnd w:id="59"/>
            <w:r>
              <w:rPr>
                <w:rStyle w:val="CommentReference"/>
              </w:rPr>
              <w:commentReference w:id="59"/>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0"/>
            <w:r w:rsidDel="00000000" w:rsidR="00000000" w:rsidRPr="00000000">
              <w:rPr>
                <w:rFonts w:ascii="Times New Roman" w:cs="Times New Roman" w:eastAsia="Times New Roman" w:hAnsi="Times New Roman"/>
                <w:rtl w:val="0"/>
              </w:rPr>
              <w:t xml:space="preserve">Primaria</w:t>
            </w:r>
            <w:commentRangeEnd w:id="60"/>
            <w:r>
              <w:rPr>
                <w:rStyle w:val="CommentReference"/>
              </w:rPr>
              <w:commentReference w:id="60"/>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1"/>
            <w:r w:rsidDel="00000000" w:rsidR="00000000" w:rsidRPr="00000000">
              <w:rPr>
                <w:rFonts w:ascii="Times New Roman" w:cs="Times New Roman" w:eastAsia="Times New Roman" w:hAnsi="Times New Roman"/>
                <w:rtl w:val="0"/>
              </w:rPr>
              <w:t xml:space="preserve">Gestión de reclamos</w:t>
            </w:r>
            <w:commentRangeEnd w:id="61"/>
            <w:r>
              <w:rPr>
                <w:rStyle w:val="CommentReference"/>
              </w:rPr>
              <w:commentReference w:id="61"/>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2"/>
            <w:r w:rsidDel="00000000" w:rsidR="00000000" w:rsidRPr="00000000">
              <w:rPr>
                <w:rFonts w:ascii="Times New Roman" w:cs="Times New Roman" w:eastAsia="Times New Roman" w:hAnsi="Times New Roman"/>
                <w:rtl w:val="0"/>
              </w:rPr>
              <w:t xml:space="preserve">Primaria</w:t>
            </w:r>
            <w:commentRangeEnd w:id="62"/>
            <w:r>
              <w:rPr>
                <w:rStyle w:val="CommentReference"/>
              </w:rPr>
              <w:commentReference w:id="62"/>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3"/>
            <w:r w:rsidDel="00000000" w:rsidR="00000000" w:rsidRPr="00000000">
              <w:rPr>
                <w:rFonts w:ascii="Times New Roman" w:cs="Times New Roman" w:eastAsia="Times New Roman" w:hAnsi="Times New Roman"/>
                <w:rtl w:val="0"/>
              </w:rPr>
              <w:t xml:space="preserve">Gestión de la satisfacción del cliente</w:t>
            </w:r>
            <w:commentRangeEnd w:id="63"/>
            <w:r>
              <w:rPr>
                <w:rStyle w:val="CommentReference"/>
              </w:rPr>
              <w:commentReference w:id="63"/>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4"/>
            <w:r w:rsidDel="00000000" w:rsidR="00000000" w:rsidRPr="00000000">
              <w:rPr>
                <w:rFonts w:ascii="Times New Roman" w:cs="Times New Roman" w:eastAsia="Times New Roman" w:hAnsi="Times New Roman"/>
                <w:rtl w:val="0"/>
              </w:rPr>
              <w:t xml:space="preserve">Primaria</w:t>
            </w:r>
            <w:commentRangeEnd w:id="64"/>
            <w:r>
              <w:rPr>
                <w:rStyle w:val="CommentReference"/>
              </w:rPr>
              <w:commentReference w:id="64"/>
            </w:r>
          </w:p>
        </w:tc>
      </w:tr>
      <w:tr>
        <w:trPr>
          <w:cantSplit w:val="0"/>
          <w:trHeight w:val="420" w:hRule="atLeast"/>
          <w:tblHeader w:val="0"/>
        </w:trPr>
        <w:tc>
          <w:tcPr>
            <w:vMerge w:val="restart"/>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rPr>
            </w:pPr>
            <w:commentRangeStart w:id="65"/>
            <w:r w:rsidDel="00000000" w:rsidR="00000000" w:rsidRPr="00000000">
              <w:rPr>
                <w:rFonts w:ascii="Times New Roman" w:cs="Times New Roman" w:eastAsia="Times New Roman" w:hAnsi="Times New Roman"/>
                <w:b w:val="1"/>
                <w:bCs w:val="1"/>
                <w:color w:val="072146"/>
                <w:rtl w:val="0"/>
              </w:rPr>
              <w:t xml:space="preserve">Cobranzas</w:t>
            </w:r>
            <w:commentRangeEnd w:id="65"/>
            <w:r>
              <w:rPr>
                <w:rStyle w:val="CommentReference"/>
              </w:rPr>
              <w:commentReference w:id="65"/>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6"/>
            <w:r w:rsidDel="00000000" w:rsidR="00000000" w:rsidRPr="00000000">
              <w:rPr>
                <w:rFonts w:ascii="Times New Roman" w:cs="Times New Roman" w:eastAsia="Times New Roman" w:hAnsi="Times New Roman"/>
                <w:rtl w:val="0"/>
              </w:rPr>
              <w:t xml:space="preserve">Cobranza preventiva y administrativa</w:t>
            </w:r>
            <w:commentRangeEnd w:id="66"/>
            <w:r>
              <w:rPr>
                <w:rStyle w:val="CommentReference"/>
              </w:rPr>
              <w:commentReference w:id="66"/>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7"/>
            <w:r w:rsidDel="00000000" w:rsidR="00000000" w:rsidRPr="00000000">
              <w:rPr>
                <w:rFonts w:ascii="Times New Roman" w:cs="Times New Roman" w:eastAsia="Times New Roman" w:hAnsi="Times New Roman"/>
                <w:rtl w:val="0"/>
              </w:rPr>
              <w:t xml:space="preserve">Primaria</w:t>
            </w:r>
            <w:commentRangeEnd w:id="67"/>
            <w:r>
              <w:rPr>
                <w:rStyle w:val="CommentReference"/>
              </w:rPr>
              <w:commentReference w:id="67"/>
            </w:r>
          </w:p>
        </w:tc>
      </w:tr>
      <w:tr>
        <w:trPr>
          <w:cantSplit w:val="0"/>
          <w:trHeight w:val="420" w:hRule="atLeast"/>
          <w:tblHeader w:val="0"/>
        </w:trPr>
        <w:tc>
          <w:tcPr>
            <w:vMerge w:val="continue"/>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8"/>
            <w:r w:rsidDel="00000000" w:rsidR="00000000" w:rsidRPr="00000000">
              <w:rPr>
                <w:rFonts w:ascii="Times New Roman" w:cs="Times New Roman" w:eastAsia="Times New Roman" w:hAnsi="Times New Roman"/>
                <w:rtl w:val="0"/>
              </w:rPr>
              <w:t xml:space="preserve">Recuperación y reestructuración</w:t>
            </w:r>
            <w:commentRangeEnd w:id="68"/>
            <w:r>
              <w:rPr>
                <w:rStyle w:val="CommentReference"/>
              </w:rPr>
              <w:commentReference w:id="68"/>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3937007873958" w:firstLine="0"/>
              <w:jc w:val="left"/>
              <w:rPr>
                <w:rFonts w:ascii="Times New Roman" w:cs="Times New Roman" w:eastAsia="Times New Roman" w:hAnsi="Times New Roman"/>
              </w:rPr>
            </w:pPr>
            <w:commentRangeStart w:id="69"/>
            <w:r w:rsidDel="00000000" w:rsidR="00000000" w:rsidRPr="00000000">
              <w:rPr>
                <w:rFonts w:ascii="Times New Roman" w:cs="Times New Roman" w:eastAsia="Times New Roman" w:hAnsi="Times New Roman"/>
                <w:rtl w:val="0"/>
              </w:rPr>
              <w:t xml:space="preserve">Primaria</w:t>
            </w:r>
            <w:commentRangeEnd w:id="69"/>
            <w:r>
              <w:rPr>
                <w:rStyle w:val="CommentReference"/>
              </w:rPr>
              <w:commentReference w:id="69"/>
            </w:r>
          </w:p>
        </w:tc>
      </w:tr>
    </w:tbl>
    <w:p w:rsidR="00000000" w:rsidDel="00000000" w:rsidP="00000000" w:rsidRDefault="00000000" w:rsidRPr="00000000" w14:paraId="0000015D">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commentRangeStart w:id="71"/>
      <w:r w:rsidDel="00000000" w:rsidR="00000000" w:rsidRPr="00000000">
        <w:rPr>
          <w:rFonts w:ascii="Times New Roman" w:cs="Times New Roman" w:eastAsia="Times New Roman" w:hAnsi="Times New Roman"/>
          <w:rtl w:val="0"/>
        </w:rPr>
        <w:t xml:space="preserve"> Elaboración propia. Los macroprocesos de negocio y sus procesos se derivan de los servicios y las actividades clave descritos en las Tablas 3 y 9.</w:t>
      </w:r>
      <w:commentRangeEnd w:id="71"/>
      <w:r>
        <w:rPr>
          <w:rStyle w:val="CommentReference"/>
        </w:rPr>
        <w:commentReference w:id="71"/>
      </w:r>
      <w:r w:rsidDel="00000000" w:rsidR="00000000" w:rsidRPr="00000000">
        <w:rPr>
          <w:rtl w:val="0"/>
        </w:rPr>
      </w:r>
    </w:p>
    <w:p w:rsidR="00000000" w:rsidDel="00000000" w:rsidP="00000000" w:rsidRDefault="00000000" w:rsidRPr="00000000" w14:paraId="0000015E">
      <w:pPr>
        <w:pStyle w:val="Heading2"/>
        <w:numPr>
          <w:ilvl w:val="1"/>
          <w:numId w:val="1"/>
        </w:numPr>
        <w:ind w:left="1440" w:hanging="360"/>
        <w:rPr>
          <w:rFonts w:ascii="Times New Roman" w:cs="Times New Roman" w:eastAsia="Times New Roman" w:hAnsi="Times New Roman"/>
          <w:b w:val="1"/>
          <w:bCs w:val="1"/>
          <w:sz w:val="22"/>
          <w:szCs w:val="22"/>
        </w:rPr>
      </w:pPr>
      <w:bookmarkStart w:colFirst="0" w:colLast="0" w:name="_frsmtn7zpxyg" w:id="12"/>
      <w:bookmarkEnd w:id="12"/>
      <w:r w:rsidDel="00000000" w:rsidR="00000000" w:rsidRPr="00000000">
        <w:rPr>
          <w:rFonts w:ascii="Times New Roman" w:cs="Times New Roman" w:eastAsia="Times New Roman" w:hAnsi="Times New Roman"/>
          <w:b w:val="1"/>
          <w:bCs w:val="1"/>
          <w:sz w:val="22"/>
          <w:szCs w:val="22"/>
          <w:rtl w:val="0"/>
        </w:rPr>
        <w:t xml:space="preserve">Procesos críticos</w:t>
      </w:r>
    </w:p>
    <w:p w:rsidR="00000000" w:rsidDel="00000000" w:rsidP="00000000" w:rsidRDefault="00000000" w:rsidRPr="00000000" w14:paraId="0000015F">
      <w:pPr>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se considera crítico cuando su falla impide alcanzar un objetivo estratégico declarado, genera pérdida económica material o expone al Banco a incumplimiento regulatorio. La evaluación pondera cinco criterios: contribución a las prioridades del ciclo 2025-2029, impacto económico, exposición regulatoria, volumen de ejecución y dependencia de los demás procesos. El criterio regulatorio recoge la orientación reciente del supervisor, que trasladó la exigencia de resiliencia operacional hacia los servicios prestados por canales digitales </w:t>
      </w:r>
      <w:commentRangeStart w:id="174"/>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Start w:id="292"/>
      <w:r w:rsidDel="00000000" w:rsidR="00000000" w:rsidRPr="00000000">
        <w:rPr>
          <w:rFonts w:ascii="Times New Roman" w:cs="Times New Roman" w:eastAsia="Times New Roman" w:hAnsi="Times New Roman"/>
          <w:rtl w:val="0"/>
        </w:rPr>
        <w:t xml:space="preserve">[SBS], 2025a)</w:t>
      </w:r>
      <w:commentRangeEnd w:id="292"/>
      <w:r>
        <w:rPr>
          <w:rStyle w:val="CommentReference"/>
        </w:rPr>
        <w:commentReference w:id="292"/>
      </w:r>
      <w:commentRangeEnd w:id="174"/>
      <w:r>
        <w:rPr>
          <w:rStyle w:val="CommentReference"/>
        </w:rPr>
        <w:commentReference w:id="174"/>
      </w:r>
      <w:r w:rsidDel="00000000" w:rsidR="00000000" w:rsidRPr="00000000">
        <w:rPr>
          <w:rFonts w:ascii="Times New Roman" w:cs="Times New Roman" w:eastAsia="Times New Roman" w:hAnsi="Times New Roman"/>
          <w:rtl w:val="0"/>
        </w:rPr>
        <w:t xml:space="preserve">.</w:t>
      </w:r>
      <w:commentRangeStart w:id="20"/>
      <w:r w:rsidDel="00000000" w:rsidR="00000000" w:rsidRPr="00000000">
        <w:rPr>
          <w:rFonts w:ascii="Times New Roman" w:cs="Times New Roman" w:eastAsia="Times New Roman" w:hAnsi="Times New Roman"/>
          <w:rtl w:val="0"/>
        </w:rPr>
        <w:t xml:space="preserve"> Además, la criticidad se verifica contra la totalidad de los objetivos de la Tabla 10: cada macroproceso crítico se asocia de forma explícita con los objetivos que habilita, de modo que OE1 a OE6 queden cubiertos.</w:t>
      </w:r>
      <w:commentRangeEnd w:id="20"/>
      <w:r>
        <w:rPr>
          <w:rStyle w:val="CommentReference"/>
        </w:rPr>
        <w:commentReference w:id="20"/>
      </w:r>
    </w:p>
    <w:p w:rsidR="00000000" w:rsidDel="00000000" w:rsidP="00000000" w:rsidRDefault="00000000" w:rsidRPr="00000000" w14:paraId="00000160">
      <w:pPr>
        <w:spacing w:before="200" w:lineRule="auto"/>
        <w:ind w:left="720" w:firstLine="0"/>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Tabla 12</w:t>
      </w:r>
    </w:p>
    <w:p w:rsidR="00000000" w:rsidDel="00000000" w:rsidP="00000000" w:rsidRDefault="00000000" w:rsidRPr="00000000" w14:paraId="00000161">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Macroprocesos y procesos críticos</w:t>
      </w:r>
    </w:p>
    <w:tbl>
      <w:tblPr>
        <w:tblStyle w:val="Table12"/>
        <w:tblW w:w="8385"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600"/>
        <w:gridCol w:w="2785"/>
        <w:tblGridChange w:id="0">
          <w:tblGrid>
            <w:gridCol w:w="3285"/>
            <w:gridCol w:w="5100"/>
          </w:tblGrid>
        </w:tblGridChange>
      </w:tblGrid>
      <w:tr>
        <w:trPr>
          <w:cantSplit w:val="0"/>
          <w:tblHeader w:val="1"/>
        </w:trPr>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Macroproceso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r w:rsidDel="00000000" w:rsidR="00000000" w:rsidRPr="00000000">
              <w:rPr>
                <w:rFonts w:ascii="Times New Roman" w:cs="Times New Roman" w:eastAsia="Times New Roman" w:hAnsi="Times New Roman"/>
                <w:color w:val="fafbfc"/>
                <w:sz w:val="18"/>
                <w:szCs w:val="18"/>
                <w:rtl w:val="0"/>
              </w:rPr>
              <w:t xml:space="preserve">Fundamento de la criticidad </w:t>
            </w:r>
          </w:p>
        </w:tc>
        <w:tc>
          <w:tcPr>
            <w:tcBorders>
              <w:top w:color="d7dee4" w:space="0" w:sz="8" w:val="single"/>
              <w:left w:color="d7dee4" w:space="0" w:sz="8" w:val="single"/>
              <w:bottom w:color="d7dee4" w:space="0" w:sz="8" w:val="single"/>
              <w:right w:color="d7dee4" w:space="0" w:sz="8" w:val="single"/>
            </w:tcBorders>
            <w:shd w:fill="004481"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afbfc"/>
                <w:sz w:val="18"/>
                <w:szCs w:val="18"/>
              </w:rPr>
            </w:pPr>
            <w:commentRangeStart w:id="21"/>
            <w:r w:rsidDel="00000000" w:rsidR="00000000" w:rsidRPr="00000000">
              <w:rPr>
                <w:rFonts w:ascii="Times New Roman" w:cs="Times New Roman" w:eastAsia="Times New Roman" w:hAnsi="Times New Roman"/>
                <w:color w:val="fafbfc"/>
                <w:sz w:val="18"/>
                <w:szCs w:val="18"/>
                <w:rtl w:val="0"/>
              </w:rPr>
              <w:t xml:space="preserve">Objetivos estratégicos que habilita</w:t>
            </w:r>
            <w:commentRangeEnd w:id="21"/>
            <w:r>
              <w:rPr>
                <w:rStyle w:val="CommentReference"/>
              </w:rPr>
              <w:commentReference w:id="21"/>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Operación de canales y servicios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Procesa 581.7 millones de transacciones digitales anuales y más del 81% de las operaciones del Banco. La norma de continuidad exige priorizar los servicios prestados por canales digitales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2"/>
            <w:r w:rsidDel="00000000" w:rsidR="00000000" w:rsidRPr="00000000">
              <w:rPr>
                <w:rFonts w:ascii="Times New Roman" w:cs="Times New Roman" w:eastAsia="Times New Roman" w:hAnsi="Times New Roman"/>
                <w:sz w:val="18"/>
                <w:szCs w:val="18"/>
                <w:rtl w:val="0"/>
              </w:rPr>
              <w:t xml:space="preserve">OE1: sostiene la experiencia omnicanal y el NPS (retail 52.57%; pyme 33.6%). OE3: soporta el onboarding y las soluciones transaccionales de empresas (cash management). OE4: concentra el volumen operativo que determina el ratio de eficiencia (40.0% al 2T 2026).</w:t>
            </w:r>
            <w:commentRangeEnd w:id="22"/>
            <w:r>
              <w:rPr>
                <w:rStyle w:val="CommentReference"/>
              </w:rPr>
              <w:commentReference w:id="22"/>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Gestión de datos, analítica e inteligencia artificial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Materializa el objetivo OE5, que declara la disponibilidad de datos y las tecnologías de nueva generación como prioridad estratégica. Sustenta la plataforma corporativa de datos desplegada en 2025 </w:t>
            </w:r>
          </w:p>
        </w:tc>
        <w:tc>
          <w:tcPr>
            <w:tcBorders>
              <w:top w:color="d7dee4" w:space="0" w:sz="8" w:val="single"/>
              <w:left w:color="d7dee4" w:space="0" w:sz="8" w:val="single"/>
              <w:bottom w:color="d7dee4" w:space="0" w:sz="8" w:val="single"/>
              <w:right w:color="d7dee4" w:space="0" w:sz="8" w:val="single"/>
            </w:tcBorders>
            <w:shd w:fill="fafbfc"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3"/>
            <w:r w:rsidDel="00000000" w:rsidR="00000000" w:rsidRPr="00000000">
              <w:rPr>
                <w:rFonts w:ascii="Times New Roman" w:cs="Times New Roman" w:eastAsia="Times New Roman" w:hAnsi="Times New Roman"/>
                <w:sz w:val="18"/>
                <w:szCs w:val="18"/>
                <w:rtl w:val="0"/>
              </w:rPr>
              <w:t xml:space="preserve">OE5: objetivo directo. OE2: aloja la taxonomía, la trazabilidad y los datos ESG con que se mide y reporta la facturación sostenible (S/ 8,989 millones al 1S 2026). OE4: aporta rentabilidad por cliente, pricing y modelos de riesgo que sustentan el ROE (18.7%) y la mora (2.69%). OE6: calidad de datos y automatizaciones internas.</w:t>
            </w:r>
            <w:commentRangeEnd w:id="23"/>
            <w:r>
              <w:rPr>
                <w:rStyle w:val="CommentReference"/>
              </w:rPr>
              <w:commentReference w:id="23"/>
            </w:r>
          </w:p>
        </w:tc>
      </w:tr>
      <w:tr>
        <w:trPr>
          <w:cantSplit w:val="0"/>
          <w:tblHeader w:val="0"/>
        </w:trPr>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72146"/>
                <w:sz w:val="18"/>
                <w:szCs w:val="18"/>
              </w:rPr>
            </w:pPr>
            <w:r w:rsidDel="00000000" w:rsidR="00000000" w:rsidRPr="00000000">
              <w:rPr>
                <w:rFonts w:ascii="Times New Roman" w:cs="Times New Roman" w:eastAsia="Times New Roman" w:hAnsi="Times New Roman"/>
                <w:b w:val="1"/>
                <w:bCs w:val="1"/>
                <w:color w:val="072146"/>
                <w:sz w:val="18"/>
                <w:szCs w:val="18"/>
                <w:rtl w:val="0"/>
              </w:rPr>
              <w:t xml:space="preserve">Seguridad de la información y ciberseguridad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Único macroproceso sujeto a régimen normativo con sanciones propias, construido sobre estándares NIST e ISO/IEC. Protege la operación digital y los datos de 9,465,848 clientes </w:t>
            </w:r>
          </w:p>
        </w:tc>
        <w:tc>
          <w:tcPr>
            <w:tcBorders>
              <w:top w:color="d7dee4" w:space="0" w:sz="8" w:val="single"/>
              <w:left w:color="d7dee4" w:space="0" w:sz="8" w:val="single"/>
              <w:bottom w:color="d7dee4" w:space="0" w:sz="8" w:val="single"/>
              <w:right w:color="d7dee4" w:space="0" w:sz="8" w:val="single"/>
            </w:tcBorders>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commentRangeStart w:id="24"/>
            <w:r w:rsidDel="00000000" w:rsidR="00000000" w:rsidRPr="00000000">
              <w:rPr>
                <w:rFonts w:ascii="Times New Roman" w:cs="Times New Roman" w:eastAsia="Times New Roman" w:hAnsi="Times New Roman"/>
                <w:sz w:val="18"/>
                <w:szCs w:val="18"/>
                <w:rtl w:val="0"/>
              </w:rPr>
              <w:t xml:space="preserve">Habilitador transversal: protege los datos y la continuidad que requieren todos los objetivos. OE1: confianza del cliente. OE2: integridad del dato ESG reportado. OE5: datos gobernados, seguridad y observabilidad (Tabla 10).</w:t>
            </w:r>
            <w:commentRangeEnd w:id="24"/>
            <w:r>
              <w:rPr>
                <w:rStyle w:val="CommentReference"/>
              </w:rPr>
              <w:commentReference w:id="24"/>
            </w:r>
          </w:p>
        </w:tc>
      </w:tr>
    </w:tbl>
    <w:p w:rsidR="00000000" w:rsidDel="00000000" w:rsidP="00000000" w:rsidRDefault="00000000" w:rsidRPr="00000000" w14:paraId="0000016A">
      <w:pPr>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w:t>
      </w:r>
      <w:commentRangeStart w:id="25"/>
      <w:r w:rsidDel="00000000" w:rsidR="00000000" w:rsidRPr="00000000">
        <w:rPr>
          <w:rFonts w:ascii="Times New Roman" w:cs="Times New Roman" w:eastAsia="Times New Roman" w:hAnsi="Times New Roman"/>
          <w:rtl w:val="0"/>
        </w:rPr>
        <w:t xml:space="preserve"> Elaboración propia con base en la Tabla 10. Cobertura: OE1, OE3 y OE4 por la operación de canales; OE2, OE4, OE5 y OE6 por la gestión de datos, analítica e IA; y seguridad como habilitador transversal. Cada objetivo cuenta con al menos un macroproceso crítico.</w:t>
      </w:r>
      <w:commentRangeEnd w:id="25"/>
      <w:r>
        <w:rPr>
          <w:rStyle w:val="CommentReference"/>
        </w:rPr>
        <w:commentReference w:id="25"/>
      </w:r>
    </w:p>
    <w:p w:rsidR="00000000" w:rsidDel="00000000" w:rsidP="00000000" w:rsidRDefault="00000000" w:rsidRPr="00000000" w14:paraId="0000016B">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0" w:name="_at2p2npcubj4"/>
      <w:bookmarkEnd w:id="300"/>
      <w:commentRangeStart w:id="194"/>
      <w:r w:rsidDel="00000000" w:rsidR="00000000" w:rsidRPr="00000000">
        <w:rPr>
          <w:rFonts w:ascii="Times New Roman" w:cs="Times New Roman" w:eastAsia="Times New Roman" w:hAnsi="Times New Roman"/>
          <w:b w:val="1"/>
          <w:bCs w:val="1"/>
          <w:sz w:val="22"/>
          <w:szCs w:val="22"/>
          <w:rtl w:val="0"/>
        </w:rPr>
        <w:t xml:space="preserve">Análisis de competitividad</w:t>
      </w:r>
      <w:commentRangeEnd w:id="194"/>
      <w:r>
        <w:rPr>
          <w:rStyle w:val="CommentReference"/>
        </w:rPr>
        <w:commentReference w:id="194"/>
      </w:r>
    </w:p>
    <w:p w:rsidR="00000000" w:rsidDel="00000000" w:rsidP="00000000" w:rsidRDefault="00000000" w:rsidRPr="00000000" w14:paraId="0000016C">
      <w:pPr>
        <w:ind w:left="566.9291338582675" w:firstLine="0"/>
        <w:rPr>
          <w:rFonts w:ascii="Times New Roman" w:cs="Times New Roman" w:eastAsia="Times New Roman" w:hAnsi="Times New Roman"/>
        </w:rPr>
      </w:pPr>
      <w:commentRangeStart w:id="173"/>
      <w:r w:rsidDel="00000000" w:rsidR="00000000" w:rsidRPr="00000000">
        <w:rPr>
          <w:rFonts w:ascii="Times New Roman" w:cs="Times New Roman" w:eastAsia="Times New Roman" w:hAnsi="Times New Roman"/>
          <w:rtl w:val="0"/>
        </w:rPr>
        <w:t xml:space="preserve">De acuerdo con lo analizado en la sección 1 y en las secciones 2.1 a 2.3, se procede a realizar un análisis de competitividad</w:t>
      </w:r>
      <w:commentRangeEnd w:id="173"/>
      <w:r>
        <w:rPr>
          <w:rStyle w:val="CommentReference"/>
        </w:rPr>
        <w:commentReference w:id="173"/>
      </w:r>
      <w:r w:rsidDel="00000000" w:rsidR="00000000" w:rsidRPr="00000000">
        <w:rPr>
          <w:rFonts w:ascii="Times New Roman" w:cs="Times New Roman" w:eastAsia="Times New Roman" w:hAnsi="Times New Roman"/>
          <w:rtl w:val="0"/>
        </w:rPr>
        <w:t xml:space="preserve">, en base al modelo de las 5 fuerzas de Porter.</w:t>
      </w:r>
    </w:p>
    <w:p w:rsidR="00000000" w:rsidDel="00000000" w:rsidP="00000000" w:rsidRDefault="00000000" w:rsidRPr="00000000" w14:paraId="0000016D">
      <w:pPr>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13</w:t>
      </w:r>
    </w:p>
    <w:p w:rsidR="00000000" w:rsidDel="00000000" w:rsidP="00000000" w:rsidRDefault="00000000" w:rsidRPr="00000000" w14:paraId="0000016F">
      <w:pPr>
        <w:spacing w:after="10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Analisis de Fuerzas de Porter</w:t>
      </w:r>
    </w:p>
    <w:tbl>
      <w:tblPr>
        <w:tblStyle w:val="Table13"/>
        <w:tblW w:w="82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265"/>
        <w:gridCol w:w="1110"/>
        <w:tblGridChange w:id="0">
          <w:tblGrid>
            <w:gridCol w:w="1920"/>
            <w:gridCol w:w="5265"/>
            <w:gridCol w:w="1110"/>
          </w:tblGrid>
        </w:tblGridChange>
      </w:tblGrid>
      <w:tr>
        <w:trPr>
          <w:cantSplit w:val="0"/>
          <w:tblHeader w:val="0"/>
        </w:trPr>
        <w:tc>
          <w:tcPr>
            <w:tcBorders>
              <w:top w:color="d7dee4" w:space="0" w:sz="5" w:val="single"/>
              <w:left w:color="d7dee4" w:space="0" w:sz="5" w:val="single"/>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Fuerza</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Análisis</w:t>
            </w:r>
          </w:p>
        </w:tc>
        <w:tc>
          <w:tcPr>
            <w:tcBorders>
              <w:top w:color="d7dee4" w:space="0" w:sz="5" w:val="single"/>
              <w:left w:color="000000" w:space="0" w:sz="0" w:val="nil"/>
              <w:bottom w:color="d7dee4" w:space="0" w:sz="5" w:val="single"/>
              <w:right w:color="d7dee4" w:space="0" w:sz="5" w:val="single"/>
            </w:tcBorders>
            <w:shd w:fill="004481"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Grado de relevancia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Rivalidad entre competidores existentes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commentRangeStart w:id="30"/>
            <w:r w:rsidDel="00000000" w:rsidR="00000000" w:rsidRPr="00000000">
              <w:rPr>
                <w:rFonts w:ascii="Times New Roman" w:cs="Times New Roman" w:eastAsia="Times New Roman" w:hAnsi="Times New Roman"/>
                <w:rtl w:val="0"/>
              </w:rPr>
              <w:t>l Banco BBVA Perú compite de manera agresiva frente a otras entidades de primer nivel por el liderazgo de los segmentos clave, registrando al cierre del segundo trimestre de 2026 colocaciones netas por S/ 82,194 millones (+10.4% interanual) y obligaciones con el público por S/ 87,202 millones (+14.5% interanual), impulsadas por los portafolios minorista, corporativo y pyme (Banco BBVA Perú, 2026a). Al cierre del ejercicio 2025, el banco consolidó una cuota de mercado del 22.09% en colocaciones vigentes —liderando la banca de personas con un 22.7% de participación y los préstamos de consumo con un 19.7%— y un 20.90% en depósitos totales (Banco BBVA Perú, 2026b)</w:t>
            </w:r>
            <w:commentRangeEnd w:id="30"/>
            <w:r>
              <w:rPr>
                <w:rStyle w:val="CommentReference"/>
              </w:rPr>
              <w:commentReference w:id="30"/>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6">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nuevos competidores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7">
            <w:pPr>
              <w:spacing w:line="252.00000000000003" w:lineRule="auto"/>
              <w:jc w:val="both"/>
              <w:rPr>
                <w:rFonts w:ascii="Times New Roman" w:cs="Times New Roman" w:eastAsia="Times New Roman" w:hAnsi="Times New Roman"/>
              </w:rPr>
            </w:pPr>
            <w:commentRangeStart w:id="31"/>
            <w:r w:rsidDel="00000000" w:rsidR="00000000" w:rsidRPr="00000000">
              <w:rPr>
                <w:rFonts w:ascii="Times New Roman" w:cs="Times New Roman" w:eastAsia="Times New Roman" w:hAnsi="Times New Roman"/>
                <w:rtl w:val="0"/>
              </w:rPr>
              <w:t xml:space="preserve">El marco regulatorio exige a las empresas del Régimen General cumplir con estrictos requerimientos mínimos de solvencia patrimonial, que incluyen límites globales de capital del 10% y el mantenimiento de niveles de Capital Ordinario de Nivel 1 (CET1) por encima de ciertos umbrales (como el requerimiento específico mayor al 10% para el BBVA Perú) (Banco BBVA Perú, 2026a). Adicionalmente, la rigurosa y especializada normativa emitida por la Superintendencia de Banca, Seguros y AFP (SBS), reflejada en el Reglamento para la Gestión de la Seguridad de la Información y la Ciberseguridad </w:t>
            </w:r>
            <w:commentRangeStart w:id="175"/>
            <w:r w:rsidDel="00000000" w:rsidR="00000000" w:rsidRPr="00000000">
              <w:rPr>
                <w:rFonts w:ascii="Times New Roman" w:cs="Times New Roman" w:eastAsia="Times New Roman" w:hAnsi="Times New Roman"/>
                <w:rtl w:val="0"/>
              </w:rPr>
              <w:t xml:space="preserve">(SBS, 2021)</w:t>
            </w:r>
            <w:commentRangeEnd w:id="175"/>
            <w:r>
              <w:rPr>
                <w:rStyle w:val="CommentReference"/>
              </w:rPr>
              <w:commentReference w:id="175"/>
            </w:r>
            <w:r w:rsidDel="00000000" w:rsidR="00000000" w:rsidRPr="00000000">
              <w:rPr>
                <w:rFonts w:ascii="Times New Roman" w:cs="Times New Roman" w:eastAsia="Times New Roman" w:hAnsi="Times New Roman"/>
                <w:rtl w:val="0"/>
              </w:rPr>
              <w:t xml:space="preserve"> y el Reglamento para la Gestión de la Continuidad del Negocio </w:t>
            </w:r>
            <w:commentRangeStart w:id="177"/>
            <w:r w:rsidDel="00000000" w:rsidR="00000000" w:rsidRPr="00000000">
              <w:rPr>
                <w:rFonts w:ascii="Times New Roman" w:cs="Times New Roman" w:eastAsia="Times New Roman" w:hAnsi="Times New Roman"/>
                <w:rtl w:val="0"/>
              </w:rPr>
              <w:t xml:space="preserve">(SBS, 2020)</w:t>
            </w:r>
            <w:commentRangeEnd w:id="177"/>
            <w:r>
              <w:rPr>
                <w:rStyle w:val="CommentReference"/>
              </w:rPr>
              <w:commentReference w:id="177"/>
            </w:r>
            <w:r w:rsidDel="00000000" w:rsidR="00000000" w:rsidRPr="00000000">
              <w:rPr>
                <w:rFonts w:ascii="Times New Roman" w:cs="Times New Roman" w:eastAsia="Times New Roman" w:hAnsi="Times New Roman"/>
                <w:rtl w:val="0"/>
              </w:rPr>
              <w:t xml:space="preserve">, impone altos estándares y costosos sistemas de control tecnológico y ciberseguridad, lo que restringe significativamente la posibilidad de ingreso de nuevos intermediarios tradicionales </w:t>
            </w:r>
            <w:commentRangeStart w:id="178"/>
            <w:r w:rsidDel="00000000" w:rsidR="00000000" w:rsidRPr="00000000">
              <w:rPr>
                <w:rFonts w:ascii="Times New Roman" w:cs="Times New Roman" w:eastAsia="Times New Roman" w:hAnsi="Times New Roman"/>
                <w:rtl w:val="0"/>
              </w:rPr>
              <w:t xml:space="preserve">(SBS, 2020, 2021)</w:t>
            </w:r>
            <w:commentRangeEnd w:id="178"/>
            <w:r>
              <w:rPr>
                <w:rStyle w:val="CommentReference"/>
              </w:rPr>
              <w:commentReference w:id="178"/>
            </w:r>
            <w:r w:rsidDel="00000000" w:rsidR="00000000" w:rsidRPr="00000000">
              <w:rPr>
                <w:rFonts w:ascii="Times New Roman" w:cs="Times New Roman" w:eastAsia="Times New Roman" w:hAnsi="Times New Roman"/>
                <w:rtl w:val="0"/>
              </w:rPr>
              <w:t xml:space="preserve">.</w:t>
            </w:r>
            <w:commentRangeEnd w:id="31"/>
            <w:r>
              <w:rPr>
                <w:rStyle w:val="CommentReference"/>
              </w:rPr>
              <w:commentReference w:id="31"/>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8">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9">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Amenaza de productos o servicios sustitutos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A">
            <w:pPr>
              <w:spacing w:line="252.00000000000003" w:lineRule="auto"/>
              <w:jc w:val="both"/>
              <w:rPr>
                <w:rFonts w:ascii="Times New Roman" w:cs="Times New Roman" w:eastAsia="Times New Roman" w:hAnsi="Times New Roman"/>
              </w:rPr>
            </w:pPr>
            <w:commentRangeStart w:id="32"/>
            <w:r w:rsidDel="00000000" w:rsidR="00000000" w:rsidRPr="00000000">
              <w:rPr>
                <w:rFonts w:ascii="Times New Roman" w:cs="Times New Roman" w:eastAsia="Times New Roman" w:hAnsi="Times New Roman"/>
                <w:rtl w:val="0"/>
              </w:rPr>
              <w:t xml:space="preserve">La amenaza de productos sustitutos en el mercado financiero peruano proviene principalmente de la rápida expansión de plataformas de tecnología financiera (fintech), cooperativas de ahorro y crédito, y billeteras digitales móviles de transacciones cotidianas que simplifican el flujo del dinero (Banco BBVA Perú, 2026b). Para contrarrestar esta amenaza de desvío digital, el banco ha integrado a su propuesta comercial soluciones móviles de alta adopción inmediata como Plin y cobros inmediatos mediante códigos QR, promoviendo iniciativas de gamificación como "Raspa y gana" para incentivar la retención de flujos y fondos de destino (</w:t>
            </w:r>
            <w:commentRangeStart w:id="181"/>
            <w:r w:rsidDel="00000000" w:rsidR="00000000" w:rsidRPr="00000000">
              <w:rPr>
                <w:rFonts w:ascii="Times New Roman" w:cs="Times New Roman" w:eastAsia="Times New Roman" w:hAnsi="Times New Roman"/>
                <w:rtl w:val="0"/>
              </w:rPr>
              <w:t xml:space="preserve">BBVA Perú, s. f.</w:t>
            </w:r>
            <w:commentRangeEnd w:id="181"/>
            <w:r>
              <w:rPr>
                <w:rStyle w:val="CommentReference"/>
              </w:rPr>
              <w:commentReference w:id="181"/>
            </w:r>
            <w:r w:rsidDel="00000000" w:rsidR="00000000" w:rsidRPr="00000000">
              <w:rPr>
                <w:rFonts w:ascii="Times New Roman" w:cs="Times New Roman" w:eastAsia="Times New Roman" w:hAnsi="Times New Roman"/>
                <w:rtl w:val="0"/>
              </w:rPr>
              <w:t xml:space="preserve">; Banco BBVA Perú, 2026b). De igual manera, el fomento del autoservicio y la digitalización integral, como la apertura de cuentas de manera 100% digital "E2E" desde la App en un promedio de cuatro minutos, permiten mitigar el abandono de los clientes tradicionales frente a competidores ágiles independientes (</w:t>
            </w:r>
            <w:commentRangeStart w:id="182"/>
            <w:r w:rsidDel="00000000" w:rsidR="00000000" w:rsidRPr="00000000">
              <w:rPr>
                <w:rFonts w:ascii="Times New Roman" w:cs="Times New Roman" w:eastAsia="Times New Roman" w:hAnsi="Times New Roman"/>
                <w:rtl w:val="0"/>
              </w:rPr>
              <w:t xml:space="preserve">BBVA Perú, s. f.</w:t>
            </w:r>
            <w:commentRangeEnd w:id="182"/>
            <w:r>
              <w:rPr>
                <w:rStyle w:val="CommentReference"/>
              </w:rPr>
              <w:commentReference w:id="182"/>
            </w:r>
            <w:r w:rsidDel="00000000" w:rsidR="00000000" w:rsidRPr="00000000">
              <w:rPr>
                <w:rFonts w:ascii="Times New Roman" w:cs="Times New Roman" w:eastAsia="Times New Roman" w:hAnsi="Times New Roman"/>
                <w:rtl w:val="0"/>
              </w:rPr>
              <w:t xml:space="preserve">; Banco BBVA Perú, 2026b).</w:t>
            </w:r>
            <w:commentRangeEnd w:id="32"/>
            <w:r>
              <w:rPr>
                <w:rStyle w:val="CommentReference"/>
              </w:rPr>
              <w:commentReference w:id="32"/>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7B">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C">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clientes </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7D">
            <w:pPr>
              <w:spacing w:line="252.00000000000003" w:lineRule="auto"/>
              <w:jc w:val="both"/>
              <w:rPr>
                <w:rFonts w:ascii="Times New Roman" w:cs="Times New Roman" w:eastAsia="Times New Roman" w:hAnsi="Times New Roman"/>
              </w:rPr>
            </w:pPr>
            <w:commentRangeStart w:id="33"/>
            <w:r w:rsidDel="00000000" w:rsidR="00000000" w:rsidRPr="00000000">
              <w:rPr>
                <w:rFonts w:ascii="Times New Roman" w:cs="Times New Roman" w:eastAsia="Times New Roman" w:hAnsi="Times New Roman"/>
                <w:rtl w:val="0"/>
              </w:rPr>
              <w:t>A fin de contrarrestar este poder y evitar la fuga de usuarios, BBVA Perú se enfoca activamente en la estrategia "RCP" (Radical Client Perspective) para colocar la visión del cliente en el centro de todas las decisiones corporativas mediante principios de excelencia operativa, propuestas diferenciadas e hiperpersonalización basada en inteligencia artificial (IA) (Banco BBVA Perú, 2026b)</w:t>
            </w:r>
            <w:commentRangeEnd w:id="33"/>
            <w:r>
              <w:rPr>
                <w:rStyle w:val="CommentReference"/>
              </w:rPr>
              <w:commentReference w:id="33"/>
            </w:r>
          </w:p>
          <w:p w:rsidR="00000000" w:rsidDel="00000000" w:rsidP="00000000" w:rsidRDefault="00000000" w:rsidRPr="00000000" w14:paraId="0000017E">
            <w:pPr>
              <w:spacing w:line="252.00000000000003" w:lineRule="auto"/>
              <w:jc w:val="both"/>
              <w:rPr>
                <w:rFonts w:ascii="Times New Roman" w:cs="Times New Roman" w:eastAsia="Times New Roman" w:hAnsi="Times New Roman"/>
              </w:rPr>
            </w:pPr>
            <w:commentRangeStart w:id="34"/>
            <w:r w:rsidDel="00000000" w:rsidR="00000000" w:rsidRPr="00000000">
              <w:rPr>
                <w:rFonts w:ascii="Times New Roman" w:cs="Times New Roman" w:eastAsia="Times New Roman" w:hAnsi="Times New Roman"/>
                <w:rtl w:val="0"/>
              </w:rPr>
              <w:t>. Gracias a este enfoque de fidelización y a herramientas digitales de salud financiera, el banco logró registrar al cierre del 2025 una destacada tasa de retención de clientes del 83% en número y del 86% en monto, sustentada por un Net Promoter Score (NPS) retail sobresaliente del 52.57%, el cual superó en +241 puntos básicos al segundo banco de la competencia (Banco BBVA Perú, 2026b)</w:t>
            </w:r>
            <w:commentRangeEnd w:id="34"/>
            <w:r>
              <w:rPr>
                <w:rStyle w:val="CommentReference"/>
              </w:rPr>
              <w:commentReference w:id="34"/>
            </w:r>
          </w:p>
          <w:p w:rsidR="00000000" w:rsidDel="00000000" w:rsidP="00000000" w:rsidRDefault="00000000" w:rsidRPr="00000000" w14:paraId="0000017F">
            <w:pPr>
              <w:spacing w:line="252.00000000000003" w:lineRule="auto"/>
              <w:jc w:val="both"/>
              <w:rPr>
                <w:rFonts w:ascii="Times New Roman" w:cs="Times New Roman" w:eastAsia="Times New Roman" w:hAnsi="Times New Roman"/>
              </w:rPr>
            </w:pPr>
            <w:commentRangeStart w:id="35"/>
            <w:r w:rsidDel="00000000" w:rsidR="00000000" w:rsidRPr="00000000">
              <w:rPr>
                <w:rFonts w:ascii="Times New Roman" w:cs="Times New Roman" w:eastAsia="Times New Roman" w:hAnsi="Times New Roman"/>
                <w:rtl w:val="0"/>
              </w:rPr>
              <w:t>. Asimismo, el desarrollo de funcionalidades de autoservicio para reprogramaciones y refinanciaciones digitales rápidas coadyuva a disminuir la fricción y a elevar el costo de cambio del cliente bancario (Banco BBVA Perú, 2026b)</w:t>
            </w:r>
            <w:commentRangeEnd w:id="35"/>
            <w:r>
              <w:rPr>
                <w:rStyle w:val="CommentReference"/>
              </w:rPr>
              <w:commentReference w:id="35"/>
            </w:r>
          </w:p>
          <w:p w:rsidR="00000000" w:rsidDel="00000000" w:rsidP="00000000" w:rsidRDefault="00000000" w:rsidRPr="00000000" w14:paraId="00000180">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shd w:fill="fafbfc" w:val="clear"/>
            <w:tcMar>
              <w:top w:w="80.0" w:type="dxa"/>
              <w:left w:w="120.0" w:type="dxa"/>
              <w:bottom w:w="80.0" w:type="dxa"/>
              <w:right w:w="120.0" w:type="dxa"/>
            </w:tcMar>
            <w:vAlign w:val="top"/>
          </w:tcPr>
          <w:p w:rsidR="00000000" w:rsidDel="00000000" w:rsidP="00000000" w:rsidRDefault="00000000" w:rsidRPr="00000000" w14:paraId="00000181">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tcBorders>
              <w:top w:color="000000" w:space="0" w:sz="0" w:val="nil"/>
              <w:left w:color="d7dee4" w:space="0" w:sz="5" w:val="single"/>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line="252.00000000000003" w:lineRule="auto"/>
              <w:rPr>
                <w:rFonts w:ascii="Times New Roman" w:cs="Times New Roman" w:eastAsia="Times New Roman" w:hAnsi="Times New Roman"/>
                <w:b w:val="1"/>
                <w:bCs w:val="1"/>
                <w:color w:val="072146"/>
              </w:rPr>
            </w:pPr>
            <w:r w:rsidDel="00000000" w:rsidR="00000000" w:rsidRPr="00000000">
              <w:rPr>
                <w:rFonts w:ascii="Times New Roman" w:cs="Times New Roman" w:eastAsia="Times New Roman" w:hAnsi="Times New Roman"/>
                <w:b w:val="1"/>
                <w:bCs w:val="1"/>
                <w:color w:val="072146"/>
                <w:rtl w:val="0"/>
              </w:rPr>
              <w:t xml:space="preserve">Poder de negociación de los proveedores</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3">
            <w:pPr>
              <w:spacing w:line="252.00000000000003" w:lineRule="auto"/>
              <w:jc w:val="both"/>
              <w:rPr>
                <w:rFonts w:ascii="Times New Roman" w:cs="Times New Roman" w:eastAsia="Times New Roman" w:hAnsi="Times New Roman"/>
              </w:rPr>
            </w:pPr>
            <w:commentRangeStart w:id="36"/>
            <w:r w:rsidDel="00000000" w:rsidR="00000000" w:rsidRPr="00000000">
              <w:rPr>
                <w:rFonts w:ascii="Times New Roman" w:cs="Times New Roman" w:eastAsia="Times New Roman" w:hAnsi="Times New Roman"/>
                <w:rtl w:val="0"/>
              </w:rPr>
              <w:t xml:space="preserve">El poder de negociación de los proveedores en la banca peruana recae principalmente en empresas de telecomunicaciones y tecnologías de procesamiento de datos e infraestructura en la nube global </w:t>
            </w:r>
            <w:commentRangeStart w:id="184"/>
            <w:r w:rsidDel="00000000" w:rsidR="00000000" w:rsidRPr="00000000">
              <w:rPr>
                <w:rFonts w:ascii="Times New Roman" w:cs="Times New Roman" w:eastAsia="Times New Roman" w:hAnsi="Times New Roman"/>
                <w:rtl w:val="0"/>
              </w:rPr>
              <w:t xml:space="preserve">(como Amazon Web Services [AWS], sobre la que se construye la plataforma global de datos e inteligencia artificial ADA)</w:t>
            </w:r>
            <w:commentRangeEnd w:id="184"/>
            <w:r>
              <w:rPr>
                <w:rStyle w:val="CommentReference"/>
              </w:rPr>
              <w:commentReference w:id="184"/>
            </w:r>
            <w:r w:rsidDel="00000000" w:rsidR="00000000" w:rsidRPr="00000000">
              <w:rPr>
                <w:rFonts w:ascii="Times New Roman" w:cs="Times New Roman" w:eastAsia="Times New Roman" w:hAnsi="Times New Roman"/>
                <w:rtl w:val="0"/>
              </w:rPr>
              <w:t xml:space="preserve"> (Banco BBVA Perú, </w:t>
            </w:r>
            <w:commentRangeStart w:id="183"/>
            <w:r w:rsidDel="00000000" w:rsidR="00000000" w:rsidRPr="00000000">
              <w:rPr>
                <w:rFonts w:ascii="Times New Roman" w:cs="Times New Roman" w:eastAsia="Times New Roman" w:hAnsi="Times New Roman"/>
                <w:rtl w:val="0"/>
              </w:rPr>
              <w:t xml:space="preserve">2026a; BBVA, 2026a)</w:t>
            </w:r>
            <w:commentRangeEnd w:id="183"/>
            <w:r>
              <w:rPr>
                <w:rStyle w:val="CommentReference"/>
              </w:rPr>
              <w:commentReference w:id="183"/>
            </w:r>
            <w:commentRangeEnd w:id="36"/>
            <w:r>
              <w:rPr>
                <w:rStyle w:val="CommentReference"/>
              </w:rPr>
              <w:commentReference w:id="36"/>
            </w:r>
          </w:p>
          <w:p w:rsidR="00000000" w:rsidDel="00000000" w:rsidP="00000000" w:rsidRDefault="00000000" w:rsidRPr="00000000" w14:paraId="00000184">
            <w:pPr>
              <w:spacing w:line="252.00000000000003" w:lineRule="auto"/>
              <w:jc w:val="both"/>
              <w:rPr>
                <w:rFonts w:ascii="Times New Roman" w:cs="Times New Roman" w:eastAsia="Times New Roman" w:hAnsi="Times New Roman"/>
              </w:rPr>
            </w:pPr>
            <w:commentRangeStart w:id="37"/>
            <w:r w:rsidDel="00000000" w:rsidR="00000000" w:rsidRPr="00000000">
              <w:rPr>
                <w:rFonts w:ascii="Times New Roman" w:cs="Times New Roman" w:eastAsia="Times New Roman" w:hAnsi="Times New Roman"/>
                <w:rtl w:val="0"/>
              </w:rPr>
              <w:t>. No obstante, este poder se ve mitigado y controlado por la rigurosa gobernanza de compras responsables y Vendor Risk Management (VRM) del banco, la cual evalúa a los proveedores bajo un módulo estandarizado de ocho categorías de riesgo, que incluyen ciberseguridad, reputación, sostenibilidad y protección de datos (Banco BBVA Perú, 2026b)</w:t>
            </w:r>
            <w:commentRangeEnd w:id="37"/>
            <w:r>
              <w:rPr>
                <w:rStyle w:val="CommentReference"/>
              </w:rPr>
              <w:commentReference w:id="37"/>
            </w:r>
          </w:p>
          <w:p w:rsidR="00000000" w:rsidDel="00000000" w:rsidP="00000000" w:rsidRDefault="00000000" w:rsidRPr="00000000" w14:paraId="00000185">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igual forma, las directrices de la SBS </w:t>
            </w:r>
            <w:commentRangeStart w:id="176"/>
            <w:r w:rsidDel="00000000" w:rsidR="00000000" w:rsidRPr="00000000">
              <w:rPr>
                <w:rFonts w:ascii="Times New Roman" w:cs="Times New Roman" w:eastAsia="Times New Roman" w:hAnsi="Times New Roman"/>
                <w:rtl w:val="0"/>
              </w:rPr>
              <w:t xml:space="preserve">(SBS, 2021)</w:t>
            </w:r>
            <w:commentRangeEnd w:id="176"/>
            <w:r>
              <w:rPr>
                <w:rStyle w:val="CommentReference"/>
              </w:rPr>
              <w:commentReference w:id="176"/>
            </w:r>
            <w:r w:rsidDel="00000000" w:rsidR="00000000" w:rsidRPr="00000000">
              <w:rPr>
                <w:rFonts w:ascii="Times New Roman" w:cs="Times New Roman" w:eastAsia="Times New Roman" w:hAnsi="Times New Roman"/>
                <w:rtl w:val="0"/>
              </w:rPr>
              <w:t xml:space="preserve"> acotan fuertemente este poder al obligar formalmente al banco a evidenciar anualmente certificaciones de seguridad vigentes de sus proveedores (como ISO 27001, ISO 27017, ISO 27018, y reportes SOC 2) y a establecer contractualmente "estrategias de salida" claras para migrar la información sin comprometer la continuidad </w:t>
            </w:r>
            <w:commentRangeStart w:id="179"/>
            <w:r w:rsidDel="00000000" w:rsidR="00000000" w:rsidRPr="00000000">
              <w:rPr>
                <w:rFonts w:ascii="Times New Roman" w:cs="Times New Roman" w:eastAsia="Times New Roman" w:hAnsi="Times New Roman"/>
                <w:rtl w:val="0"/>
              </w:rPr>
              <w:t xml:space="preserve">(SBS, 2021)</w:t>
            </w:r>
            <w:commentRangeEnd w:id="179"/>
            <w:r>
              <w:rPr>
                <w:rStyle w:val="CommentReference"/>
              </w:rPr>
              <w:commentReference w:id="179"/>
            </w:r>
          </w:p>
          <w:p w:rsidR="00000000" w:rsidDel="00000000" w:rsidP="00000000" w:rsidRDefault="00000000" w:rsidRPr="00000000" w14:paraId="00000186">
            <w:pPr>
              <w:spacing w:line="25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7dee4" w:space="0" w:sz="5" w:val="single"/>
              <w:right w:color="d7dee4" w:space="0" w:sz="5" w:val="single"/>
            </w:tcBorders>
            <w:tcMar>
              <w:top w:w="80.0" w:type="dxa"/>
              <w:left w:w="120.0" w:type="dxa"/>
              <w:bottom w:w="80.0" w:type="dxa"/>
              <w:right w:w="120.0" w:type="dxa"/>
            </w:tcMar>
            <w:vAlign w:val="top"/>
          </w:tcPr>
          <w:p w:rsidR="00000000" w:rsidDel="00000000" w:rsidP="00000000" w:rsidRDefault="00000000" w:rsidRPr="00000000" w14:paraId="00000187">
            <w:pPr>
              <w:spacing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88">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Elaboración propia.</w:t>
      </w:r>
      <w:r w:rsidDel="00000000" w:rsidR="00000000" w:rsidRPr="00000000">
        <w:rPr>
          <w:rtl w:val="0"/>
        </w:rPr>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202" w:name="_TocM202"/>
      <w:bookmarkEnd w:id="202"/>
      <w:commentRangeStart w:id="195"/>
      <w:r w:rsidDel="00000000" w:rsidR="00000000" w:rsidRPr="00000000">
        <w:rPr>
          <w:rFonts w:ascii="Times New Roman" w:cs="Times New Roman" w:eastAsia="Times New Roman" w:hAnsi="Times New Roman"/>
          <w:b w:val="1"/>
          <w:bCs w:val="1"/>
          <w:sz w:val="22"/>
          <w:szCs w:val="22"/>
          <w:rtl w:val="0"/>
        </w:rPr>
        <w:t xml:space="preserve">Identificación y priorización de los dolores de negocio</w:t>
      </w:r>
      <w:commentRangeEnd w:id="195"/>
      <w:r>
        <w:rPr>
          <w:rStyle w:val="CommentReference"/>
        </w:rPr>
        <w:commentReference w:id="195"/>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3" w:name="_TocM203"/>
      <w:bookmarkEnd w:id="203"/>
      <w:r w:rsidDel="00000000" w:rsidR="00000000" w:rsidRPr="00000000">
        <w:rPr>
          <w:rFonts w:ascii="Times New Roman" w:cs="Times New Roman" w:eastAsia="Times New Roman" w:hAnsi="Times New Roman"/>
          <w:b w:val="1"/>
          <w:bCs w:val="1"/>
          <w:sz w:val="22"/>
          <w:szCs w:val="22"/>
          <w:rtl w:val="0"/>
        </w:rPr>
        <w:t xml:space="preserve">Enfoque metodológico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identificación de dolores parte de una premisa: un problema de negocio solo es accionable cuando se observa sobre un proceso extremo a extremo, se sustenta en evidencia verificable y admite medición antes y después de la intervención. Un listado de quejas genéricas no cumple ninguna de las tres condiciones y, en consecuencia, no puede sostener una iniciativa de sistemas de información.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Para satisfacer esas condiciones se emplean dos instrumentos complementarios. El </w:t>
      </w:r>
      <w:r w:rsidDel="00000000" w:rsidR="00000000" w:rsidRPr="00000000">
        <w:rPr>
          <w:rFonts w:ascii="Times New Roman" w:cs="Times New Roman" w:eastAsia="Times New Roman" w:hAnsi="Times New Roman"/>
          <w:i w:val="1"/>
          <w:iCs w:val="1"/>
          <w:rtl w:val="0"/>
        </w:rPr>
        <w:t xml:space="preserve">customer journey map</w:t>
      </w:r>
      <w:r w:rsidDel="00000000" w:rsidR="00000000" w:rsidRPr="00000000">
        <w:rPr>
          <w:rFonts w:ascii="Times New Roman" w:cs="Times New Roman" w:eastAsia="Times New Roman" w:hAnsi="Times New Roman"/>
          <w:i w:val="0"/>
          <w:iCs w:val="0"/>
          <w:rtl w:val="0"/>
        </w:rPr>
        <w:t xml:space="preserve"> organiza la experiencia del cliente en etapas sucesivas y permite localizar en qué momento del recorrido se produce la fricción, considerando que la experiencia se construye a lo largo de múltiples puntos de contacto y no en una interacción aislada (Lemon y Verhoef, 2016). El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por su parte, incorpora la dimensión que el journey map no muestra: separa las acciones visibles para el cliente de las actividades de soporte mediante las líneas de interacción, de visibilidad y de interacción interna, lo que permite atribuir cada dolor al proceso interno que lo origina (Bitner et al., 2008). El primero responde dónde duele; el segundo, por qué.</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de los dolores identificados aplica los seis criterios establecidos en el enunciado del trabajo: impacto estratégico, impacto económico, impacto en la experiencia, viabilidad tecnológica, urgencia y capacidad de medición. Cada criterio se califica en una escala de 1 a 5 y se pondera según su contribución a la decisión de inversión, conforme se detalla en la sección 3.7.</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evidencia. </w:t>
      </w:r>
      <w:r w:rsidDel="00000000" w:rsidR="00000000" w:rsidRPr="00000000">
        <w:rPr>
          <w:rFonts w:ascii="Times New Roman" w:cs="Times New Roman" w:eastAsia="Times New Roman" w:hAnsi="Times New Roman"/>
          <w:rtl w:val="0"/>
        </w:rPr>
        <w:t xml:space="preserve">El análisis emplea dos categorías de evidencia. La primera comprende fuentes públicas verificables, principalmente reportes financieros y operativos de BBVA Perú y normativa del supervisor. La segunda corresponde al testimonio directo de un funcionario de la entidad, recogido mediante entrevista y </w:t>
      </w:r>
      <w:commentRangeStart w:id="167"/>
      <w:r w:rsidDel="00000000" w:rsidR="00000000" w:rsidRPr="00000000">
        <w:rPr>
          <w:rFonts w:ascii="Times New Roman" w:cs="Times New Roman" w:eastAsia="Times New Roman" w:hAnsi="Times New Roman"/>
          <w:rtl w:val="0"/>
        </w:rPr>
        <w:t xml:space="preserve">consignado en el Anexo A</w:t>
      </w:r>
      <w:commentRangeEnd w:id="167"/>
      <w:r>
        <w:rPr>
          <w:rStyle w:val="CommentReference"/>
        </w:rPr>
        <w:commentReference w:id="167"/>
      </w:r>
      <w:r w:rsidDel="00000000" w:rsidR="00000000" w:rsidRPr="00000000">
        <w:rPr>
          <w:rFonts w:ascii="Times New Roman" w:cs="Times New Roman" w:eastAsia="Times New Roman" w:hAnsi="Times New Roman"/>
          <w:rtl w:val="0"/>
        </w:rPr>
        <w:t xml:space="preserve">. Cuando el testimonio se refiere a un hecho susceptible de constatación documental, se contrasta con la fuente pública correspondiente; cuando describe una situación operativa no publicada, se identifica como tal y no se le atribuye condición de cifra. Para preservar la trazabilidad, las matrices incorporan únicamente indicadores cuya línea base sea pública, específica y comparable con la variable definida. Cuando una cifra se obtiene mediante la agregación de reportes mensuales, se explicitan el periodo, el universo considerado y el procedimiento de cálculo. Asimismo, no se emplean indicadores sectoriales como sustitutos de métricas propias de la entidad cuando ambos miden fenómenos diferentes.</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4" w:name="_TocM204"/>
      <w:bookmarkEnd w:id="204"/>
      <w:r w:rsidDel="00000000" w:rsidR="00000000" w:rsidRPr="00000000">
        <w:rPr>
          <w:rFonts w:ascii="Times New Roman" w:cs="Times New Roman" w:eastAsia="Times New Roman" w:hAnsi="Times New Roman"/>
          <w:b w:val="1"/>
          <w:bCs w:val="1"/>
          <w:sz w:val="22"/>
          <w:szCs w:val="22"/>
          <w:rtl w:val="0"/>
        </w:rPr>
        <w:t xml:space="preserve">Delimitación de los procesos extremo a extremo analizados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inventario de procesos presentado en la </w:t>
      </w:r>
      <w:commentRangeStart w:id="156"/>
      <w:r w:rsidDel="00000000" w:rsidR="00000000" w:rsidRPr="00000000">
        <w:rPr>
          <w:rFonts w:ascii="Times New Roman" w:cs="Times New Roman" w:eastAsia="Times New Roman" w:hAnsi="Times New Roman"/>
          <w:i w:val="0"/>
          <w:iCs w:val="0"/>
          <w:rtl w:val="0"/>
        </w:rPr>
        <w:t xml:space="preserve">Tabla 11 (sección 2.2)</w:t>
      </w:r>
      <w:commentRangeEnd w:id="156"/>
      <w:r>
        <w:rPr>
          <w:rStyle w:val="CommentReference"/>
        </w:rPr>
        <w:commentReference w:id="156"/>
      </w:r>
      <w:r w:rsidDel="00000000" w:rsidR="00000000" w:rsidRPr="00000000">
        <w:rPr>
          <w:rFonts w:ascii="Times New Roman" w:cs="Times New Roman" w:eastAsia="Times New Roman" w:hAnsi="Times New Roman"/>
          <w:i w:val="0"/>
          <w:iCs w:val="0"/>
          <w:rtl w:val="0"/>
        </w:rPr>
        <w:t xml:space="preserve"> se estructuró desde la perspectiva de la operación tecnológica, agrupando macroprocesos de desarrollo de soluciones, operación de canales, gestión de datos, seguridad de la información y continuidad del negocio. Esa perspectiva resulta adecuada para describir la capacidad instalada de sistemas, pero no permite por sí sola localizar dolores de negocio, porque los recorridos que atraviesan al cliente no coinciden con las fronteras de los macroprocesos de tecnología.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Por esta razón, el presente análisis define tres procesos extremo a extremo de negocio y los vincula con los macroprocesos tecnológicos ya inventariados. La Tabla 14 establece esa correspondencia. Los tres procesos se seleccionaron por concentrar la mayor densidad de evidencia pública disponible y por su vinculación directa con las prioridades estratégicas declaradas para el ciclo 2025-2029.</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14</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Procesos extremo a extremo analizados y su correspondencia con el inventario de procesos</w:t>
      </w:r>
      <w:r w:rsidDel="00000000" w:rsidR="00000000" w:rsidRPr="00000000">
        <w:rPr>
          <w:rFonts w:ascii="Times New Roman" w:cs="Times New Roman" w:eastAsia="Times New Roman" w:hAnsi="Times New Roman"/>
          <w:rtl w:val="0"/>
        </w:rPr>
      </w:r>
    </w:p>
    <w:tbl>
      <w:tblPr>
        <w:tblStyle w:val="Table14"/>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100"/>
        <w:gridCol w:w="2400"/>
        <w:gridCol w:w="2626"/>
        <w:gridCol w:w="1900"/>
        <w:tblGridChange w:id="0">
          <w:tblGrid>
            <w:gridCol w:w="2100"/>
            <w:gridCol w:w="2400"/>
            <w:gridCol w:w="2626"/>
            <w:gridCol w:w="19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Alcance del recorrido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Macroprocesos de la Tabla 11 involucrados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Objetivos estratégicos vinculados</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E2E-1.</w:t>
            </w:r>
            <w:r w:rsidDel="00000000" w:rsidR="00000000" w:rsidRPr="00000000">
              <w:rPr>
                <w:rFonts w:ascii="Times New Roman" w:cs="Times New Roman" w:eastAsia="Times New Roman" w:hAnsi="Times New Roman"/>
                <w:i w:val="0"/>
                <w:iCs w:val="0"/>
                <w:rtl w:val="0"/>
              </w:rPr>
              <w:t xml:space="preserve"> Originación de crédito al segmento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Desde la necesidad de liquidez del empresario hasta el desembolso y la primera cuota.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Operación de canales y servicios digitales; Gestión de datos, analítica e IA; Desarrollo de soluciones digitales.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OE3, OE4, OE5</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E2E-2.</w:t>
            </w:r>
            <w:r w:rsidDel="00000000" w:rsidR="00000000" w:rsidRPr="00000000">
              <w:rPr>
                <w:rFonts w:ascii="Times New Roman" w:cs="Times New Roman" w:eastAsia="Times New Roman" w:hAnsi="Times New Roman"/>
                <w:i w:val="0"/>
                <w:iCs w:val="0"/>
                <w:rtl w:val="0"/>
              </w:rPr>
              <w:t xml:space="preserve"> Atención de operaciones no reconocidas y reclamos por fraude digital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Desde la transacción no autorizada hasta la resolución del reclamo y la eventual devolución.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Seguridad de la información y ciberseguridad; Operación de canales y servicios digitales; Gestión de datos, analítica e IA.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OE1, OE5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E2E-3.</w:t>
            </w:r>
            <w:r w:rsidDel="00000000" w:rsidR="00000000" w:rsidRPr="00000000">
              <w:rPr>
                <w:rFonts w:ascii="Times New Roman" w:cs="Times New Roman" w:eastAsia="Times New Roman" w:hAnsi="Times New Roman"/>
                <w:i w:val="0"/>
                <w:iCs w:val="0"/>
                <w:rtl w:val="0"/>
              </w:rPr>
              <w:t xml:space="preserve"> Contratación de productos por canal digital en banca de personas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interés del cliente hasta la contratación efectiva y el primer uso del producto. El número de pasos varía según el producto.</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Operación de canales y servicios digitales; Desarrollo de soluciones digitales; Gestión de datos, analítica e 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OE1, OE4, OE5</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correspondencia con la </w:t>
      </w:r>
      <w:commentRangeStart w:id="157"/>
      <w:r w:rsidDel="00000000" w:rsidR="00000000" w:rsidRPr="00000000">
        <w:rPr>
          <w:rFonts w:ascii="Times New Roman" w:cs="Times New Roman" w:eastAsia="Times New Roman" w:hAnsi="Times New Roman"/>
          <w:i w:val="0"/>
          <w:iCs w:val="0"/>
          <w:rtl w:val="0"/>
        </w:rPr>
        <w:t xml:space="preserve">Tabla 11 (sección 2.2)</w:t>
      </w:r>
      <w:commentRangeEnd w:id="157"/>
      <w:r>
        <w:rPr>
          <w:rStyle w:val="CommentReference"/>
        </w:rPr>
        <w:commentReference w:id="157"/>
      </w:r>
      <w:r w:rsidDel="00000000" w:rsidR="00000000" w:rsidRPr="00000000">
        <w:rPr>
          <w:rFonts w:ascii="Times New Roman" w:cs="Times New Roman" w:eastAsia="Times New Roman" w:hAnsi="Times New Roman"/>
          <w:i w:val="0"/>
          <w:iCs w:val="0"/>
          <w:rtl w:val="0"/>
        </w:rPr>
        <w:t xml:space="preserve"> se establece para evitar que el análisis de dolores quede desvinculado del inventario de procesos previamente declarado.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5" w:name="_TocM205"/>
      <w:bookmarkEnd w:id="205"/>
      <w:r w:rsidDel="00000000" w:rsidR="00000000" w:rsidRPr="00000000">
        <w:rPr>
          <w:rFonts w:ascii="Times New Roman" w:cs="Times New Roman" w:eastAsia="Times New Roman" w:hAnsi="Times New Roman"/>
          <w:b w:val="1"/>
          <w:bCs w:val="1"/>
          <w:sz w:val="22"/>
          <w:szCs w:val="22"/>
          <w:rtl w:val="0"/>
        </w:rPr>
        <w:t xml:space="preserve">Customer journey map del proceso E2E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1: originación de crédito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segmento Pyme atraviesa una situación paradójica que conviene enunciar antes del mapa. Durante el segundo trimestre de 2026 el banco alcanzó una facturación trimestral histórica en este segmento, con un crecimiento de 48 % respecto del mismo periodo de 2025, un incremento de más de 12 % en saldos de créditos y una transaccionalidad digital que alcanza al 75 % del portafolio (Reusche, 2026). Sin embargo, la satisfacción de ese mismo segmento es la más baja de la entidad: el NPS Pyme se sitúa en 33.6, frente a 52.57 del segmento retail (Banco BBVA Perú, 2026b).</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mapa de la Tabla 15 permite localizar la principal brecha verificable entre las modalidades de origen. Mientras el crédito digital se resuelve en tres minutos promedio, esta modalidad representa únicamente un tercio de las colocaciones del segmento. Por consiguiente, la oportunidad de mejora se concentra en ampliar la participación de una ruta cuya rapidez ya ha sido comprobada, de manera que una mayor proporción de clientes Pyme pueda completar digitalmente el proceso de financiamiento (Reusche, 2026). </w:t>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15</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del proceso de originación de crédito Pyme</w:t>
      </w:r>
      <w:r w:rsidDel="00000000" w:rsidR="00000000" w:rsidRPr="00000000">
        <w:rPr>
          <w:rFonts w:ascii="Times New Roman" w:cs="Times New Roman" w:eastAsia="Times New Roman" w:hAnsi="Times New Roman"/>
          <w:rtl w:val="0"/>
        </w:rPr>
      </w:r>
    </w:p>
    <w:tbl>
      <w:tblPr>
        <w:tblStyle w:val="Table15"/>
        <w:tblW w:w="903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305"/>
        <w:gridCol w:w="1905"/>
        <w:gridCol w:w="1980"/>
        <w:gridCol w:w="3840"/>
        <w:tblGridChange w:id="0">
          <w:tblGrid>
            <w:gridCol w:w="1305"/>
            <w:gridCol w:w="1905"/>
            <w:gridCol w:w="1980"/>
            <w:gridCol w:w="384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Etapa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Acciones del cliente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Puntos de contacto y sistemas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observado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 Necesidad y búsqueda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una necesidad de liquidez o capital de trabajo y compara alternativas.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Web pública, app BBVA Empresas 2.0, ejecutivo de negocio, oficina.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empresario no siempre conoce para qué producto califica antes de iniciar el trámite.</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 Solicitud</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Presenta la solicitud y entrega información del negocio.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Empresas 2.0 (onboarding 100 % digital), oficina, ejecutivo.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ruta asistida exige documentación financiera que la microempresa no produce de forma estructurada (Melo,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 Evaluación crediticia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Espera la respuesta del banco sin visibilidad del estado de su solicitud.</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Motor de decisión, centrales de riesgo, plataforma de datos ADA.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con información no verificable eleva costos operativos que se trasladan al cliente vía tasa o restricción de línea (Melo,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 Aprobación y formalización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la decisión y firma la documentación.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digital (tres minutos promedio en crédito digital) o formalización presencial.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de experiencia entre rutas: el crédito digital se resuelve en tres minutos promedio, pero representa solo un tercio de los créditos otorgados en el periodo (Reusche, 2026).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5. Desembolso y primer uso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Dispone de los fondos y comienza a operar el producto.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Cuenta corriente, app, soluciones de cobro Openpay y QR Empresas.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desembolso inmediato opera únicamente sobre productos con oferta o línea previamente aprobada, de modo que el cliente sin precalificación no accede a esa ruta (Banco BBVA Perú, s. f.-b, s. f.-c).</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6. Uso y seguimiento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Gestiona pagos, cobranzas y renovaciones.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Empresas 2.0, BBVA Net Cash, ejecutivo asignado.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26 % de los clientes de la cartera Pyme aún no opera por canales digitales al cierre de 2025, lo que delimita el espacio de adopción pendiente en el segmento (BBVA, 2026b).</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Melo (2026) y Banco BBVA Perú (s. f.-b, s. f.-c). Los puntos de contacto corresponden a los sistemas declarados en la </w:t>
      </w:r>
      <w:commentRangeStart w:id="158"/>
      <w:r w:rsidDel="00000000" w:rsidR="00000000" w:rsidRPr="00000000">
        <w:rPr>
          <w:rFonts w:ascii="Times New Roman" w:cs="Times New Roman" w:eastAsia="Times New Roman" w:hAnsi="Times New Roman"/>
          <w:rtl w:val="0"/>
        </w:rPr>
        <w:t xml:space="preserve">Tabla 8 (sección 1.7)</w:t>
      </w:r>
      <w:commentRangeEnd w:id="158"/>
      <w:r>
        <w:rPr>
          <w:rStyle w:val="CommentReference"/>
        </w:rPr>
        <w:commentReference w:id="158"/>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6" w:name="_TocM206"/>
      <w:bookmarkEnd w:id="206"/>
      <w:r w:rsidDel="00000000" w:rsidR="00000000" w:rsidRPr="00000000">
        <w:rPr>
          <w:rFonts w:ascii="Times New Roman" w:cs="Times New Roman" w:eastAsia="Times New Roman" w:hAnsi="Times New Roman"/>
          <w:b w:val="1"/>
          <w:bCs w:val="1"/>
          <w:sz w:val="22"/>
          <w:szCs w:val="22"/>
          <w:rtl w:val="0"/>
        </w:rPr>
        <w:t xml:space="preserve">Service blueprint del proceso E2E-2: atención de operaciones no reconocidas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Este proceso se modela mediante </w:t>
      </w:r>
      <w:r w:rsidDel="00000000" w:rsidR="00000000" w:rsidRPr="00000000">
        <w:rPr>
          <w:rFonts w:ascii="Times New Roman" w:cs="Times New Roman" w:eastAsia="Times New Roman" w:hAnsi="Times New Roman"/>
          <w:i w:val="1"/>
          <w:iCs w:val="1"/>
          <w:rtl w:val="0"/>
        </w:rPr>
        <w:t xml:space="preserve">service blueprint</w:t>
      </w:r>
      <w:r w:rsidDel="00000000" w:rsidR="00000000" w:rsidRPr="00000000">
        <w:rPr>
          <w:rFonts w:ascii="Times New Roman" w:cs="Times New Roman" w:eastAsia="Times New Roman" w:hAnsi="Times New Roman"/>
          <w:i w:val="0"/>
          <w:iCs w:val="0"/>
          <w:rtl w:val="0"/>
        </w:rPr>
        <w:t xml:space="preserve"> y no mediante journey map porque el dolor no se origina en la interfaz con el cliente, sino en las actividades que ocurren por debajo de la línea de visibilidad: la investigación del caso, la coordinación entre las áreas de fraude, operaciones y atención, y la decisión sobre la procedencia del reclamo. Un instrumento que solo describa lo que el cliente ve dejaría fuera precisamente el tramo donde se produce la demora (Bitner et al., 2008).</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circunscribe a los reclamos por operaciones no reconocidas sin abono temporal. El párrafo 7.8 del reglamento establece que los reclamos de esta materia con impacto monetario que se encuentran en trámite se consideran resueltos, para efectos del reporte, cuando la empresa concede devolución temporal por el total reclamado; el universo restante es, por tanto, el que efectivamente atraviesa el proceso de investigación y decisión. Debe precisarse que la difusión obligatoria comprende los diez productos más reclamados y los tres motivos más frecuentes de cada uno (SBS, 2022, art. 15.2), de modo que las cifras corresponden a los productos donde la materia aparece de forma explícita y no al universo completo. </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relevancia del proceso está documentada. Entre 2021 y marzo de 2025 el Indecopi impuso 2,891 sanciones a 271 proveedores por operaciones no reconocidas, de las cuales el 90 % (2,601) recayó sobre el sistema financiero, con multas por 3,978.8 UIT; las tarjetas de crédito concentraron el 54.8 % de las sanciones y las cuentas de ahorro el 29.8 % (Andina, 2025). El ritmo es creciente: al mes de julio de 2023 el acumulado desde 2021 era de 1,284 sanciones por 1,938.4 UIT (Diario Oficial El Peruano, 2023), de modo que en menos de dos años el número de sanciones se duplicó. Un reportaje de investigación identificó a BBVA entre las cinco entidades con mayor número de infracciones en esta materia (Alarcón, 2023).</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16</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Service blueprint del proceso de atención de operaciones no reconocidas</w:t>
      </w:r>
      <w:r w:rsidDel="00000000" w:rsidR="00000000" w:rsidRPr="00000000">
        <w:rPr>
          <w:rFonts w:ascii="Times New Roman" w:cs="Times New Roman" w:eastAsia="Times New Roman" w:hAnsi="Times New Roman"/>
          <w:rtl w:val="0"/>
        </w:rPr>
      </w:r>
    </w:p>
    <w:tbl>
      <w:tblPr>
        <w:tblStyle w:val="Table16"/>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826"/>
        <w:gridCol w:w="1800"/>
        <w:gridCol w:w="1800"/>
        <w:gridCol w:w="1800"/>
        <w:gridCol w:w="1800"/>
        <w:tblGridChange w:id="0">
          <w:tblGrid>
            <w:gridCol w:w="1826"/>
            <w:gridCol w:w="1800"/>
            <w:gridCol w:w="1800"/>
            <w:gridCol w:w="1800"/>
            <w:gridCol w:w="18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Capa del blueprint</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Detección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Reporte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Investigación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Resolución</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Evidencia física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Notificación de la operación en la app.</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Constancia y código de reclamo.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Comunicaciones de seguimiento.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Carta de respuesta y, de proceder, abono.</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Acciones del cliente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Advierte un cargo que no reconoce.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Registra el reclamo por app, contact center u oficina.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Espera; consulta el estado del caso.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la decisión y acepta o escala a Indecopi.</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Contacto visible</w:t>
            </w:r>
            <w:r w:rsidDel="00000000" w:rsidR="00000000" w:rsidRPr="00000000">
              <w:rPr>
                <w:rFonts w:ascii="Times New Roman" w:cs="Times New Roman" w:eastAsia="Times New Roman" w:hAnsi="Times New Roman"/>
                <w:i w:val="0"/>
                <w:iCs w:val="0"/>
                <w:rtl w:val="0"/>
              </w:rPr>
              <w:t xml:space="preserve"> (sobre la línea de interacción)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Alerta automática de transacción.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Asistente Blue Buddy, </w:t>
            </w:r>
            <w:r w:rsidDel="00000000" w:rsidR="00000000" w:rsidRPr="00000000">
              <w:rPr>
                <w:rFonts w:ascii="Times New Roman" w:cs="Times New Roman" w:eastAsia="Times New Roman" w:hAnsi="Times New Roman"/>
                <w:rtl w:val="0"/>
              </w:rPr>
              <w:t xml:space="preserve">asesor telefónico, asesor de oficina o canal digital de registro.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Respuesta de estado ante consulta del cliente.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Comunicación formal del resultado.</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Soporte no visible</w:t>
            </w:r>
            <w:r w:rsidDel="00000000" w:rsidR="00000000" w:rsidRPr="00000000">
              <w:rPr>
                <w:rFonts w:ascii="Times New Roman" w:cs="Times New Roman" w:eastAsia="Times New Roman" w:hAnsi="Times New Roman"/>
                <w:i w:val="0"/>
                <w:iCs w:val="0"/>
                <w:rtl w:val="0"/>
              </w:rPr>
              <w:t xml:space="preserve"> (bajo la línea de visibilidad)</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Motor de monitoreo transaccional y reglas antifraude.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Registro y tipificación del reclamo.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caso, revisión de las trazas de la operación y consulta de su ciclo de vida mediante las herramientas internas.</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Decisión sobre procedencia y ejecución del abono o rechazo.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Procesos de apoyo</w:t>
            </w:r>
            <w:r w:rsidDel="00000000" w:rsidR="00000000" w:rsidRPr="00000000">
              <w:rPr>
                <w:rFonts w:ascii="Times New Roman" w:cs="Times New Roman" w:eastAsia="Times New Roman" w:hAnsi="Times New Roman"/>
                <w:i w:val="0"/>
                <w:iCs w:val="0"/>
                <w:rtl w:val="0"/>
              </w:rPr>
              <w:t xml:space="preserve"> (bajo la línea de interacción interna)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Plataforma de datos ADA y modelos analíticos.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Sistema de gestión de reclamos.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Gestión de identidades, monitoreo y respuesta a incidentes.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Reporte regulatorio y gestión de la conducta de mercado.</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siguiendo las capas y líneas de separación propuestas por Bitner et al. (2008), aplicadas a los canales y sistemas declarados por la entidad. Blue Buddy se ubica como una herramienta de soporte interno porque BBVA Perú lo presenta como un asistente utilizado por su red de atención; el 90 % reportado corresponde a su adopción interna y no a la utilización por parte de los clientes (Banco BBVA Perú, 2026a, p. 4).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blueprint muestra que la atención del reclamo requiere articular su registro, investigación y resolución. El resultado extremo a extremo de este proceso puede dimensionarse mediante las estadísticas mensuales publicadas por BBVA Perú. Entre abril y junio de 2026 se absolvieron 13,959 reclamos por operaciones no reconocidas sin abono temporal en cuentas de ahorro con tarjeta de débito, tarjetas de crédito y cuentas corrientes. El tiempo promedio ponderado de absolución fue de 11.29 días y 3,019 casos, equivalentes al 21.63 %, fueron resueltos a favor del usuario. Estas cifras adquieren especial relevancia frente al plazo regulatorio de quince días hábiles fijado para la resolución de reclamos, que admite prórroga excepcional cuando el caso requiere el pronunciamiento previo de un tercero (Banco BBVA Perú, 2026c, 2026d, 2026e; </w:t>
      </w:r>
      <w:commentRangeStart w:id="180"/>
      <w:r w:rsidDel="00000000" w:rsidR="00000000" w:rsidRPr="00000000">
        <w:rPr>
          <w:rFonts w:ascii="Times New Roman" w:cs="Times New Roman" w:eastAsia="Times New Roman" w:hAnsi="Times New Roman"/>
          <w:rtl w:val="0"/>
        </w:rPr>
        <w:t xml:space="preserve">SBS, 2022</w:t>
      </w:r>
      <w:commentRangeEnd w:id="180"/>
      <w:r>
        <w:rPr>
          <w:rStyle w:val="CommentReference"/>
        </w:rPr>
        <w:commentReference w:id="180"/>
      </w:r>
      <w:r w:rsidDel="00000000" w:rsidR="00000000" w:rsidRPr="00000000">
        <w:rPr>
          <w:rFonts w:ascii="Times New Roman" w:cs="Times New Roman" w:eastAsia="Times New Roman" w:hAnsi="Times New Roman"/>
          <w:rtl w:val="0"/>
        </w:rPr>
        <w:t xml:space="preserve">, arts. 7.1 y 7.3).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7" w:name="_TocM207"/>
      <w:bookmarkEnd w:id="207"/>
      <w:r w:rsidDel="00000000" w:rsidR="00000000" w:rsidRPr="00000000">
        <w:rPr>
          <w:rFonts w:ascii="Times New Roman" w:cs="Times New Roman" w:eastAsia="Times New Roman" w:hAnsi="Times New Roman"/>
          <w:b w:val="1"/>
          <w:bCs w:val="1"/>
          <w:sz w:val="22"/>
          <w:szCs w:val="22"/>
          <w:rtl w:val="0"/>
        </w:rPr>
        <w:t xml:space="preserve">Customer journey map del proceso E2E-3: contratación de productos por canal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tercer proceso analiza la contratación de productos en banca de personas. El punto de partida es un dato del </w:t>
      </w:r>
      <w:commentRangeStart w:id="210"/>
      <w:r w:rsidDel="00000000" w:rsidR="00000000" w:rsidRPr="00000000">
        <w:rPr>
          <w:rFonts w:ascii="Times New Roman" w:cs="Times New Roman" w:eastAsia="Times New Roman" w:hAnsi="Times New Roman"/>
          <w:i w:val="0"/>
          <w:iCs w:val="0"/>
          <w:rtl w:val="0"/>
        </w:rPr>
        <w:t xml:space="preserve">propio informe de gerencia:</w:t>
      </w:r>
      <w:commentRangeEnd w:id="210"/>
      <w:r>
        <w:rPr>
          <w:rStyle w:val="CommentReference"/>
        </w:rPr>
        <w:commentReference w:id="210"/>
      </w:r>
      <w:r w:rsidDel="00000000" w:rsidR="00000000" w:rsidRPr="00000000">
        <w:rPr>
          <w:rFonts w:ascii="Times New Roman" w:cs="Times New Roman" w:eastAsia="Times New Roman" w:hAnsi="Times New Roman"/>
          <w:i w:val="0"/>
          <w:iCs w:val="0"/>
          <w:rtl w:val="0"/>
        </w:rPr>
        <w:t xml:space="preserve"> al cierre del segundo trimestre de 2026 las ventas digitales representaron el 79.57 % de las ventas totales del banco, la app concentró el 85 % de las operaciones monetarias y se acumularon más de 350 millones de transacciones, con un crecimiento de 38 % (Banco BBVA Perú, 2026a, p. 3). La entidad define la venta digital como aquella operación que no cuenta con ningún tipo de asistencia, desde su origen hasta la contratación (Banco BBVA Perú, 2026a, p. 3).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 promedio agregado, sin embargo, oculta una dispersión considerable cuando se desagrega por producto. La penetración digital alcanza 93 % en operaciones de cambio de moneda y 54 % en préstamos de consumo, pero desciende a 50 % en tarjetas de crédito y a 33 % en cuentas (Banco BBVA Perú, 2026a, p. 3). La dispersión, además, no es estática. Al cierre de 2025 la penetración era de 94 % en cambio de moneda, 57 % en préstamos de consumo, 43 % en tarjetas de crédito y 35 % en cuentas, y las ventas digitales totales representaban el 80.0 % (Banco BBVA Perú, 2025). Entre ambos cortes, tres de los cuatro productos retrocedieron y solo las tarjetas de crédito avanzaron. Dicho de otro modo: dos de cada tres cuentas siguen contratándose por canal asistido, y esa proporción empeoró respecto del cierre del ejercicio anterior.</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pública describe el resultado del recorrido, pero no su causa. Una entrevista con el Service Owner de ATM y autoservicios de la entidad permite localizar dos elementos que las cifras no muestran. El primero es que el número de pasos del flujo depende del producto contratado, sean cuentas de ahorro, tarjetas, préstamos o seguros, y que la tendencia declarada es simplificarlo: a inicios de 2026 se puso en producción un proceso íntegramente digital que permite a una persona que no es cliente contratar en menos de cinco minutos. El segundo es que ese flujo se interrumpe ante determinados perfiles de solicitante. Al evaluar casos borde, como usuarios menores de edad o con carné de extranjería, el sistema detiene el recorrido y deriva al solicitante a una oficina física (A. Moquillaza, comunicación personal, 11 de setiembre de 2026; </w:t>
      </w:r>
      <w:commentRangeStart w:id="168"/>
      <w:r w:rsidDel="00000000" w:rsidR="00000000" w:rsidRPr="00000000">
        <w:rPr>
          <w:rFonts w:ascii="Times New Roman" w:cs="Times New Roman" w:eastAsia="Times New Roman" w:hAnsi="Times New Roman"/>
          <w:rtl w:val="0"/>
        </w:rPr>
        <w:t xml:space="preserve">véase Anexo A</w:t>
      </w:r>
      <w:commentRangeEnd w:id="168"/>
      <w:r>
        <w:rPr>
          <w:rStyle w:val="CommentReference"/>
        </w:rPr>
        <w:commentReference w:id="168"/>
      </w:r>
      <w:r w:rsidDel="00000000" w:rsidR="00000000" w:rsidRPr="00000000">
        <w:rPr>
          <w:rFonts w:ascii="Times New Roman" w:cs="Times New Roman" w:eastAsia="Times New Roman" w:hAnsi="Times New Roman"/>
          <w:rtl w:val="0"/>
        </w:rPr>
        <w:t xml:space="preserve">). Bajo la definición de venta digital adoptada por la entidad, toda operación derivada deja de contar como digital, de modo que estas interrupciones se acumulan dentro del 67 % de cuentas contratadas por canal asistido.</w:t>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17</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journey map de la contratación de productos por canal digital</w:t>
      </w:r>
      <w:r w:rsidDel="00000000" w:rsidR="00000000" w:rsidRPr="00000000">
        <w:rPr>
          <w:rFonts w:ascii="Times New Roman" w:cs="Times New Roman" w:eastAsia="Times New Roman" w:hAnsi="Times New Roman"/>
          <w:rtl w:val="0"/>
        </w:rPr>
      </w:r>
    </w:p>
    <w:tbl>
      <w:tblPr>
        <w:tblStyle w:val="Table17"/>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500"/>
        <w:gridCol w:w="2100"/>
        <w:gridCol w:w="1995"/>
        <w:gridCol w:w="3420"/>
        <w:tblGridChange w:id="0">
          <w:tblGrid>
            <w:gridCol w:w="1500"/>
            <w:gridCol w:w="2100"/>
            <w:gridCol w:w="1995"/>
            <w:gridCol w:w="342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Etapa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Acciones del cliente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Puntos de contacto y sistemas</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observado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 Descubrimiento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Identifica una necesidad y explora la oferta.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web, publicidad, oficina.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213"/>
            <w:r w:rsidDel="00000000" w:rsidR="00000000" w:rsidRPr="00000000">
              <w:rPr>
                <w:rFonts w:ascii="Times New Roman" w:cs="Times New Roman" w:eastAsia="Times New Roman" w:hAnsi="Times New Roman"/>
                <w:rtl w:val="0"/>
              </w:rPr>
              <w:t xml:space="preserve">NO HAY FUENTES EN INTERNET DISPONIBLES sobre tasas de conversión por punto de entrada.</w:t>
            </w:r>
            <w:commentRangeEnd w:id="213"/>
            <w:r>
              <w:rPr>
                <w:rStyle w:val="CommentReference"/>
              </w:rPr>
              <w:commentReference w:id="213"/>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 Evaluación y elección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Compara condiciones, tasas y requisitos.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simuladores, asistente Blue Buddy.</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asimetría de penetración digital sugiere que ciertos productos no resultan comprensibles o confiables en autoservicio.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 Contratación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Completa el proceso de alta del producto.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digital de contratación, incluido el proceso íntegramente digital para no clientes; oficina; contact center.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de 33 % en cuentas y 50 % en tarjetas, frente a 93 % en cambio de moneda, con retroceso de dos puntos en cuentas respecto del cierre de 2025 (Banco BBVA Perú, 2025, 2026a, p. 3). El flujo se interrumpe ante casos borde, como menores de edad o titulares con carné de extranjería, y deriva al solicitante a una oficina física (A. Moquillaza, comunicación personal, 11 de setiembre de 2026).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 Activación y primer uso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Recibe el producto y realiza su primera operación.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cajeros, agentes, Plin y QR.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activación inmediata de la cuenta de ahorros, la tarjeta de débito digital y Plin se produce solo en la ruta por aplicativo; la contratación asistida no obtiene ese beneficio (Banco BBVA Perú, s. f.-a).</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5. Uso recurrente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Opera de forma habitual por el canal digital.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App BBVA (85 % de operaciones monetarias), Blue Buddy.</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la app concentra el 85 % de las operaciones y supera los tres millones de usuarios, solo el 33 % de las cuentas se contrata digitalmente. Esto evidencia una brecha entre el uso recurrente del canal y su capacidad para captar digitalmente clientes de este producto (Banco BBVA Perú, 2026a, p. 3).</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(2025, 2026a, pp. 3-4), en A. Moquillaza (comunicación personal, 11 de setiembre de 2026) y en los sistemas declarados en la </w:t>
      </w:r>
      <w:commentRangeStart w:id="159"/>
      <w:r w:rsidDel="00000000" w:rsidR="00000000" w:rsidRPr="00000000">
        <w:rPr>
          <w:rFonts w:ascii="Times New Roman" w:cs="Times New Roman" w:eastAsia="Times New Roman" w:hAnsi="Times New Roman"/>
          <w:rtl w:val="0"/>
        </w:rPr>
        <w:t xml:space="preserve">Tabla 8 (sección 1.7)</w:t>
      </w:r>
      <w:commentRangeEnd w:id="159"/>
      <w:r>
        <w:rPr>
          <w:rStyle w:val="CommentReference"/>
        </w:rPr>
        <w:commentReference w:id="159"/>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8" w:name="_TocM208"/>
      <w:bookmarkEnd w:id="208"/>
      <w:r w:rsidDel="00000000" w:rsidR="00000000" w:rsidRPr="00000000">
        <w:rPr>
          <w:rFonts w:ascii="Times New Roman" w:cs="Times New Roman" w:eastAsia="Times New Roman" w:hAnsi="Times New Roman"/>
          <w:b w:val="1"/>
          <w:bCs w:val="1"/>
          <w:sz w:val="22"/>
          <w:szCs w:val="22"/>
          <w:rtl w:val="0"/>
        </w:rPr>
        <w:t xml:space="preserve">Inventario de dolores identificados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Del análisis de los tres recorridos se desprenden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de negocio. La Tabla 18 los consolida indicando el proceso al que pertenecen, su formulación y la evidencia que los sustenta. Se incluyen dos dolores de carácter transversal (D4 y D10) que no se localizan en una etapa específica del recorrido, pero que condicionan la rentabilidad y el riesgo de los procesos analizados.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18</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commentRangeStart w:id="225"/>
      <w:r w:rsidDel="00000000" w:rsidR="00000000" w:rsidRPr="00000000">
        <w:rPr>
          <w:rFonts w:ascii="Times New Roman" w:cs="Times New Roman" w:eastAsia="Times New Roman" w:hAnsi="Times New Roman"/>
          <w:i w:val="1"/>
          <w:iCs w:val="1"/>
          <w:rtl w:val="0"/>
        </w:rPr>
        <w:t xml:space="preserve">Inventario de dolores de negocio identificados</w:t>
      </w:r>
      <w:commentRangeEnd w:id="225"/>
      <w:r>
        <w:rPr>
          <w:rStyle w:val="CommentReference"/>
        </w:rPr>
        <w:commentReference w:id="225"/>
      </w:r>
      <w:r w:rsidDel="00000000" w:rsidR="00000000" w:rsidRPr="00000000">
        <w:rPr>
          <w:rFonts w:ascii="Times New Roman" w:cs="Times New Roman" w:eastAsia="Times New Roman" w:hAnsi="Times New Roman"/>
          <w:rtl w:val="0"/>
        </w:rPr>
      </w:r>
    </w:p>
    <w:tbl>
      <w:tblPr>
        <w:tblStyle w:val="Table18"/>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00"/>
        <w:gridCol w:w="2900"/>
        <w:gridCol w:w="1200"/>
        <w:gridCol w:w="4126"/>
        <w:tblGridChange w:id="0">
          <w:tblGrid>
            <w:gridCol w:w="800"/>
            <w:gridCol w:w="2900"/>
            <w:gridCol w:w="12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Código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de negocio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Evidencia de sustento</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Dos tercios de las colocaciones Pyme se originan por canal asistido, pese a que la ruta digital resuelve el crédito en tres minutos.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Los créditos digitales representan un tercio de las colocaciones y se obtienen en tres minutos promedio (Reusche,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satisfacción del segmento Pyme es la más baja de la entidad, en contraste con su crecimiento comercial.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NPS Pyme de 33.6 frente a 52.57 en retail (Banco BBVA Perú, 2026b), con crecimiento de facturación de 48 % (Reusche,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evaluación crediticia depende de información financiera que la microempresa no produce de forma estructurada.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Solo una de cada cuatro microempresas accede a crédito; la falta de información verificable eleva tasas y restringe líneas (Melo, 2026).</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segmento de microempresa concentra el mayor riesgo crediticio del sistema.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Transversal E2E-1</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Morosidad MYPE de 6.9 % frente a 3.3 % del sistema financiero a marzo de 2026 (Salazar Herrada, 2026).</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Alta exposición sancionatoria del sector por operaciones no reconocidas.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2,601 de 2,891 sanciones del Indecopi recayeron en el sistema financiero, con multas por 3,978.8 UIT (Andina, 2025).</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D6</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ritmo de sanciones por operaciones no reconocidas se ha acelerado.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De 1,284 sanciones acumuladas a julio de 2023 (Diario Oficial El Peruano, 2023) a 2,601 a marzo de 2025 (Andina, 2025).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D7</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atención de operaciones no reconocidas sin abono temporal presenta un volumen significativo y un tiempo de absolución relevante para la experiencia del cliente.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2T2026 se absolvieron 13,959 reclamos en los tres productos comprendidos en el análisis, con un tiempo promedio ponderado de 11.29 días; el 21.63 % fue resuelto a favor del usuario (cálculo propio con base en Banco BBVA Perú, 2026c, 2026d, 2026e).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D8</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crecimiento de la transaccionalidad digital amplía la superficie de exposición a incidentes y operaciones fraudulentas.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BBVA Perú registró más de 350 millones de transacciones acumuladas, con un crecimiento interanual del 38 % al cierre del 2T2026 (Banco BBVA Perú, 2026a, p. 3).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D9</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penetración digital es dispar entre productos y retrocede en la mayoría: dos de cada tres cuentas se contratan por canal asistido.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de 33 % en cuentas y 50 % en tarjetas, frente a 93 % en cambio de moneda; tres de los cuatro productos retrocedieron frente al cierre de 2025 (Banco BBVA Perú, 2025, 2026a, p. 3). </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rentabilidad se ubica por debajo del promedio de los bancos grandes del sistema.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Transversal E2E-3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ROE de 18.7 % a junio de 2026 frente a 20.1 % del sistema bancario a mayo de 2026 (Banco BBVA Perú, 2026a, pp. 19 y 32).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rtl w:val="0"/>
              </w:rPr>
              <w:t xml:space="preserve">D11</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El flujo de contratación digital se interrumpe ante perfiles de solicitante no contemplados y deriva al cliente a una oficina física. </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E2E-3 </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evaluar casos borde, como usuarios menores de edad o con carné de extranjería, el sistema detiene el recorrido y deriva a oficina (A. Moquillaza, comunicación personal, 11 de setiembre de 2026). </w:t>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09" w:name="_TocM209"/>
      <w:bookmarkEnd w:id="209"/>
      <w:r w:rsidDel="00000000" w:rsidR="00000000" w:rsidRPr="00000000">
        <w:rPr>
          <w:rFonts w:ascii="Times New Roman" w:cs="Times New Roman" w:eastAsia="Times New Roman" w:hAnsi="Times New Roman"/>
          <w:b w:val="1"/>
          <w:bCs w:val="1"/>
          <w:sz w:val="22"/>
          <w:szCs w:val="22"/>
          <w:rtl w:val="0"/>
        </w:rPr>
        <w:t xml:space="preserve">Criterios y escala de evaluación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Los seis criterios exigidos por el enunciado se operacionalizan en la Tabla 19. La ponderación asignada refleja el propósito del plan estratégico de sistemas de información: se privilegia el impacto estratégico porque un dolor que no compromete un objetivo declarado no justifica inversión tecnológica, y se otorga peso equivalente al impacto económico y al impacto en la experiencia, que son las dos vías por las que un dolor destruye valor. La viabilidad tecnológica opera como filtro de realismo, mientras </w:t>
      </w:r>
      <w:r w:rsidDel="00000000" w:rsidR="00000000" w:rsidRPr="00000000">
        <w:rPr>
          <w:rFonts w:ascii="Times New Roman" w:cs="Times New Roman" w:eastAsia="Times New Roman" w:hAnsi="Times New Roman"/>
          <w:rtl w:val="0"/>
        </w:rPr>
        <w:t xml:space="preserve">que la urgencia</w:t>
      </w:r>
      <w:r w:rsidDel="00000000" w:rsidR="00000000" w:rsidRPr="00000000">
        <w:rPr>
          <w:rFonts w:ascii="Times New Roman" w:cs="Times New Roman" w:eastAsia="Times New Roman" w:hAnsi="Times New Roman"/>
          <w:i w:val="0"/>
          <w:iCs w:val="0"/>
          <w:rtl w:val="0"/>
        </w:rPr>
        <w:t xml:space="preserve"> y medición modulan la secuencia de atención sin alterar sustantivamente la jerarquía.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19</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Criterios de evaluación, pregunta orientadora y ponderación</w:t>
      </w:r>
      <w:r w:rsidDel="00000000" w:rsidR="00000000" w:rsidRPr="00000000">
        <w:rPr>
          <w:rFonts w:ascii="Times New Roman" w:cs="Times New Roman" w:eastAsia="Times New Roman" w:hAnsi="Times New Roman"/>
          <w:rtl w:val="0"/>
        </w:rPr>
      </w:r>
    </w:p>
    <w:tbl>
      <w:tblPr>
        <w:tblStyle w:val="Table19"/>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500"/>
        <w:gridCol w:w="700"/>
        <w:gridCol w:w="4126"/>
        <w:tblGridChange w:id="0">
          <w:tblGrid>
            <w:gridCol w:w="1700"/>
            <w:gridCol w:w="2500"/>
            <w:gridCol w:w="700"/>
            <w:gridCol w:w="41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Criterio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Pregunta orientadora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Peso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Escala de calificación (1 a 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estratégico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¿El dolor afecta objetivos clave del negocio?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25 %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no se vincula a ningún objetivo. 5: compromete dos o más prioridades del ciclo 2025-2029.</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económico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¿Genera pérdida de ingresos o sobrecostos?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20 %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efecto económico no identificable. 5: pérdida o sobrecosto material y recurrente.</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Impacto en experiencia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¿Afecta al cliente?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20 %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imperceptible para el cliente. 5: afecta directamente su satisfacción o permanencia.</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Viabilidad tecnológica</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¿Puede abordarse con datos, sistemas y automatización?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15 %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requiere capacidades inexistentes. 5: abordable con la plataforma y los datos ya disponibles.</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Urgencia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¿Es un problema relevante para la dirección?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10 %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sin presión temporal. 5: exposición regulatoria o competitiva inmediata.</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Medición</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¿Se puede medir antes y después?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10 %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 sin indicador disponible ni construible. 5: indicador con línea base pública y medición periódica.</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sobre la base de los criterios establecidos en el enunciado del trabajo del curso.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0" w:name="_TocM210"/>
      <w:bookmarkEnd w:id="210"/>
      <w:r w:rsidDel="00000000" w:rsidR="00000000" w:rsidRPr="00000000">
        <w:rPr>
          <w:rFonts w:ascii="Times New Roman" w:cs="Times New Roman" w:eastAsia="Times New Roman" w:hAnsi="Times New Roman"/>
          <w:b w:val="1"/>
          <w:bCs w:val="1"/>
          <w:sz w:val="22"/>
          <w:szCs w:val="22"/>
          <w:rtl w:val="0"/>
        </w:rPr>
        <w:t xml:space="preserve">Matriz de priorización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Tabla 20 presenta la calificación de cada dolor en los seis criterios y el puntaje ponderado resultante. La calificación constituye un juicio del equipo fundamentado en la evidencia consignada en la Tabla 18; no se trata de una medición efectuada por la entidad.</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20</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priorización de los dolores de negocio</w:t>
      </w:r>
      <w:r w:rsidDel="00000000" w:rsidR="00000000" w:rsidRPr="00000000">
        <w:rPr>
          <w:rFonts w:ascii="Times New Roman" w:cs="Times New Roman" w:eastAsia="Times New Roman" w:hAnsi="Times New Roman"/>
          <w:rtl w:val="0"/>
        </w:rPr>
      </w:r>
    </w:p>
    <w:tbl>
      <w:tblPr>
        <w:tblStyle w:val="Table20"/>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850"/>
        <w:gridCol w:w="950"/>
        <w:gridCol w:w="950"/>
        <w:gridCol w:w="1200"/>
        <w:gridCol w:w="1000"/>
        <w:gridCol w:w="900"/>
        <w:gridCol w:w="900"/>
        <w:gridCol w:w="1050"/>
        <w:gridCol w:w="1226"/>
        <w:tblGridChange w:id="0">
          <w:tblGrid>
            <w:gridCol w:w="850"/>
            <w:gridCol w:w="950"/>
            <w:gridCol w:w="950"/>
            <w:gridCol w:w="1200"/>
            <w:gridCol w:w="1000"/>
            <w:gridCol w:w="900"/>
            <w:gridCol w:w="900"/>
            <w:gridCol w:w="1050"/>
            <w:gridCol w:w="1226"/>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estratégico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(25 %)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económico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Impacto en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experiencia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(20 %)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Viabilidad</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tecnológica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(15 %)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Urgencia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Medición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(10 %)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Puntaje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ponderado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Orden</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4.70</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1.º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4.55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2.º</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D7</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4.50</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3.º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D9</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4.40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4.º</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D2</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w:t>
            </w:r>
          </w:p>
        </w:tc>
        <w:tc>
          <w:tcP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5.º</w:t>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D11</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shd w:fill="f2f5fa" w:val="clear"/>
            <w:tcMar>
              <w:top w:w="60.0" w:type="dxa"/>
              <w:left w:w="90.0" w:type="dxa"/>
              <w:bottom w:w="60.0" w:type="dxa"/>
              <w:right w:w="90.0" w:type="dxa"/>
            </w:tcMar>
            <w:vAlign w:val="center"/>
          </w:tcPr>
          <w:p w:rsidR="00000000" w:rsidDel="00000000" w:rsidP="00000000" w:rsidRDefault="00000000" w:rsidRPr="000000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6.º</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D8</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4.00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D6</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3.95</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3.90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3.80</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D10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5</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2</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3.30</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1</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0"/>
                <w:iCs w:val="0"/>
                <w:rtl w:val="0"/>
              </w:rPr>
              <w:t xml:space="preserve">.º</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El puntaje ponderado se obtiene como la suma del producto de cada calificación por el peso del criterio correspondiente definido en la Tabla 19.</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1" w:name="_TocM211"/>
      <w:bookmarkEnd w:id="211"/>
      <w:r w:rsidDel="00000000" w:rsidR="00000000" w:rsidRPr="00000000">
        <w:rPr>
          <w:rFonts w:ascii="Times New Roman" w:cs="Times New Roman" w:eastAsia="Times New Roman" w:hAnsi="Times New Roman"/>
          <w:b w:val="1"/>
          <w:bCs w:val="1"/>
          <w:sz w:val="22"/>
          <w:szCs w:val="22"/>
          <w:rtl w:val="0"/>
        </w:rPr>
        <w:t xml:space="preserve">Resultado de la priorización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La matriz ordena los </w:t>
      </w:r>
      <w:r w:rsidDel="00000000" w:rsidR="00000000" w:rsidRPr="00000000">
        <w:rPr>
          <w:rFonts w:ascii="Times New Roman" w:cs="Times New Roman" w:eastAsia="Times New Roman" w:hAnsi="Times New Roman"/>
          <w:rtl w:val="0"/>
        </w:rPr>
        <w:t xml:space="preserve">once</w:t>
      </w:r>
      <w:r w:rsidDel="00000000" w:rsidR="00000000" w:rsidRPr="00000000">
        <w:rPr>
          <w:rFonts w:ascii="Times New Roman" w:cs="Times New Roman" w:eastAsia="Times New Roman" w:hAnsi="Times New Roman"/>
          <w:i w:val="0"/>
          <w:iCs w:val="0"/>
          <w:rtl w:val="0"/>
        </w:rPr>
        <w:t xml:space="preserve"> dolores en tres bloques claramente diferenciados. Un primer bloque de alta prioridad, con puntajes entre 4.40 y 4.70, reúne a D1, D5, D7 y D9: son dolores que comprometen simultáneamente objetivos estratégicos, resultado económico y experiencia del cliente, y que además resultan abordables con la plataforma de datos e inteligencia artificial ya desplegada. Un segundo bloque, entre 3.90 y 4.10, agrupa dolores relevantes cuya atención depende de resolver primero los del primer bloque. </w:t>
      </w:r>
      <w:r w:rsidDel="00000000" w:rsidR="00000000" w:rsidRPr="00000000">
        <w:rPr>
          <w:rFonts w:ascii="Times New Roman" w:cs="Times New Roman" w:eastAsia="Times New Roman" w:hAnsi="Times New Roman"/>
          <w:rtl w:val="0"/>
        </w:rPr>
        <w:t xml:space="preserve">Finalmente, el dolor D10 queda en último lugar: aunque su impacto económico es máximo, se trata de un efecto agregado antes que de un dolor de proceso, y su viabilidad tecnológica directa es baja.</w:t>
      </w:r>
    </w:p>
    <w:p w:rsidR="00000000" w:rsidDel="00000000" w:rsidP="00000000" w:rsidRDefault="00000000" w:rsidRPr="00000000">
      <w:pPr>
        <w:spacing w:after="120" w:before="0" w:line="360" w:lineRule="auto"/>
        <w:jc w:val="both"/>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Los dolores D5 y D7 pertenecen al mismo proceso extremo a extremo y guardan una relación de causa y efecto: el dolor D7 describe la debilidad operativa en la resolución del reclamo, y el dolor D5, su consecuencia sancionatoria. </w:t>
      </w:r>
      <w:r w:rsidDel="00000000" w:rsidR="00000000" w:rsidRPr="00000000">
        <w:rPr>
          <w:rFonts w:ascii="Times New Roman" w:cs="Times New Roman" w:eastAsia="Times New Roman" w:hAnsi="Times New Roman"/>
          <w:rtl w:val="0"/>
        </w:rPr>
        <w:t xml:space="preserve">Tra</w:t>
      </w:r>
      <w:r w:rsidDel="00000000" w:rsidR="00000000" w:rsidRPr="00000000">
        <w:rPr>
          <w:rFonts w:ascii="Times New Roman" w:cs="Times New Roman" w:eastAsia="Times New Roman" w:hAnsi="Times New Roman"/>
          <w:i w:val="0"/>
          <w:iCs w:val="0"/>
          <w:rtl w:val="0"/>
        </w:rPr>
        <w:t xml:space="preserve">tarlos como dos dolores críticos independientes conduciría a formular dos veces la misma iniciativa. Por ello se consolidan en un único dolor crítico, conservando el puntaje del componente de mayor calificación, y se incorpora D9 como tercer dolor crítico. Este criterio se declara de forma explícita porque modifica la selección respecto del orden estricto de la matriz.</w:t>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criterio equivalente se aplica al proceso E2E-3. Los dolores D9 y D11 describen el mismo fenómeno en dos niveles: el primero mide el resultado agregado y el segundo identifica uno de los mecanismos que lo producen. Por ello se consolidan en un único dolor crítico, conservando el puntaje del componente de mayor calificación. </w:t>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212" w:name="_TocM212"/>
      <w:bookmarkEnd w:id="212"/>
      <w:r w:rsidDel="00000000" w:rsidR="00000000" w:rsidRPr="00000000">
        <w:rPr>
          <w:rFonts w:ascii="Times New Roman" w:cs="Times New Roman" w:eastAsia="Times New Roman" w:hAnsi="Times New Roman"/>
          <w:b w:val="1"/>
          <w:bCs w:val="1"/>
          <w:sz w:val="22"/>
          <w:szCs w:val="22"/>
          <w:rtl w:val="0"/>
        </w:rPr>
        <w:t xml:space="preserve">Alineamiento estratégico del dolor priorizado</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3" w:name="_TocM213"/>
      <w:bookmarkEnd w:id="213"/>
      <w:r w:rsidDel="00000000" w:rsidR="00000000" w:rsidRPr="00000000">
        <w:rPr>
          <w:rFonts w:ascii="Times New Roman" w:cs="Times New Roman" w:eastAsia="Times New Roman" w:hAnsi="Times New Roman"/>
          <w:b w:val="1"/>
          <w:bCs w:val="1"/>
          <w:sz w:val="22"/>
          <w:szCs w:val="22"/>
          <w:rtl w:val="0"/>
        </w:rPr>
        <w:t xml:space="preserve">Selección de los tres dolores críticos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Aplicando el resultado de la matriz y la regla de no redundancia, se seleccionan los tres dolores críticos que se detallan en la Tabla 21. Los tres cubren procesos extremo a extremo distintos, lo que evita que el plan estratégico de sistemas de información concentre toda su capacidad de intervención en un solo frente.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21</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Dolores críticos seleccionados</w:t>
      </w:r>
      <w:r w:rsidDel="00000000" w:rsidR="00000000" w:rsidRPr="00000000">
        <w:rPr>
          <w:rFonts w:ascii="Times New Roman" w:cs="Times New Roman" w:eastAsia="Times New Roman" w:hAnsi="Times New Roman"/>
          <w:rtl w:val="0"/>
        </w:rPr>
      </w:r>
    </w:p>
    <w:tbl>
      <w:tblPr>
        <w:tblStyle w:val="Table21"/>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900"/>
        <w:gridCol w:w="5805"/>
        <w:gridCol w:w="1380"/>
        <w:gridCol w:w="930"/>
        <w:tblGridChange w:id="0">
          <w:tblGrid>
            <w:gridCol w:w="900"/>
            <w:gridCol w:w="5805"/>
            <w:gridCol w:w="1380"/>
            <w:gridCol w:w="93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Código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Denominación del dolor crítico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Proceso E2E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Puntaje</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Baja digitalización de la originación de crédito Pyme: </w:t>
            </w:r>
            <w:r w:rsidDel="00000000" w:rsidR="00000000" w:rsidRPr="00000000">
              <w:rPr>
                <w:rFonts w:ascii="Times New Roman" w:cs="Times New Roman" w:eastAsia="Times New Roman" w:hAnsi="Times New Roman"/>
                <w:rtl w:val="0"/>
              </w:rPr>
              <w:t xml:space="preserve">el canal digital representa solo un tercio de las colocaciones, pese a resolver la operación en tres minutos promedio.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4.70</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resolución y exposición sancionatoria por operaciones no reconocidas (integra D5 y D7).</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4.55</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DC3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dispar en la contratación de productos: dos de cada tres cuentas se contratan por canal asistido pese a existir una ruta de apertura íntegramente digital, cuyo recorrido se interrumpe ante perfiles de solicitante no contemplados (integra D9 y D11).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E2E-3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4.40</w:t>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Tabla 20 y en la regla de no redundancia enunciada en la sección 3.9. Durante el 2T2026 se absolvieron 13,959 reclamos por operaciones no reconocidas sin abono temporal en los productos analizados, con un tiempo promedio ponderado de absolución de 11.29.</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4" w:name="_TocM214"/>
      <w:bookmarkEnd w:id="214"/>
      <w:r w:rsidDel="00000000" w:rsidR="00000000" w:rsidRPr="00000000">
        <w:rPr>
          <w:rFonts w:ascii="Times New Roman" w:cs="Times New Roman" w:eastAsia="Times New Roman" w:hAnsi="Times New Roman"/>
          <w:b w:val="1"/>
          <w:bCs w:val="1"/>
          <w:sz w:val="22"/>
          <w:szCs w:val="22"/>
          <w:rtl w:val="0"/>
        </w:rPr>
        <w:t xml:space="preserve">Matriz de alineamiento entre dolores críticos y objetivos estratégicos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Cada dolor crítico se vincula con los objetivos estratégicos definidos en la </w:t>
      </w:r>
      <w:commentRangeStart w:id="160"/>
      <w:r w:rsidDel="00000000" w:rsidR="00000000" w:rsidRPr="00000000">
        <w:rPr>
          <w:rFonts w:ascii="Times New Roman" w:cs="Times New Roman" w:eastAsia="Times New Roman" w:hAnsi="Times New Roman"/>
          <w:i w:val="0"/>
          <w:iCs w:val="0"/>
          <w:rtl w:val="0"/>
        </w:rPr>
        <w:t xml:space="preserve">Tabla 10 (sección 2.1)</w:t>
      </w:r>
      <w:commentRangeEnd w:id="160"/>
      <w:r>
        <w:rPr>
          <w:rStyle w:val="CommentReference"/>
        </w:rPr>
        <w:commentReference w:id="160"/>
      </w:r>
      <w:r w:rsidDel="00000000" w:rsidR="00000000" w:rsidRPr="00000000">
        <w:rPr>
          <w:rFonts w:ascii="Times New Roman" w:cs="Times New Roman" w:eastAsia="Times New Roman" w:hAnsi="Times New Roman"/>
          <w:i w:val="0"/>
          <w:iCs w:val="0"/>
          <w:rtl w:val="0"/>
        </w:rPr>
        <w:t xml:space="preserve">, que traducen a la operación peruana las seis prioridades del ciclo 2025-2029 declaradas por el grupo </w:t>
      </w:r>
      <w:commentRangeStart w:id="204"/>
      <w:r w:rsidDel="00000000" w:rsidR="00000000" w:rsidRPr="00000000">
        <w:rPr>
          <w:rFonts w:ascii="Times New Roman" w:cs="Times New Roman" w:eastAsia="Times New Roman" w:hAnsi="Times New Roman"/>
          <w:i w:val="0"/>
          <w:iCs w:val="0"/>
          <w:rtl w:val="0"/>
        </w:rPr>
        <w:t xml:space="preserve">(BBVA, 2025a)</w:t>
      </w:r>
      <w:commentRangeEnd w:id="204"/>
      <w:r>
        <w:rPr>
          <w:rStyle w:val="CommentReference"/>
        </w:rPr>
        <w:commentReference w:id="204"/>
      </w:r>
      <w:r w:rsidDel="00000000" w:rsidR="00000000" w:rsidRPr="00000000">
        <w:rPr>
          <w:rFonts w:ascii="Times New Roman" w:cs="Times New Roman" w:eastAsia="Times New Roman" w:hAnsi="Times New Roman"/>
          <w:i w:val="0"/>
          <w:iCs w:val="0"/>
          <w:rtl w:val="0"/>
        </w:rPr>
        <w:t xml:space="preserve">. La Tabla 22 explicita el mecanismo por el cual el dolor compromete cada objetivo, requisito indispensable para que </w:t>
      </w:r>
      <w:commentRangeStart w:id="281"/>
      <w:r w:rsidDel="00000000" w:rsidR="00000000" w:rsidRPr="00000000">
        <w:rPr>
          <w:rFonts w:ascii="Times New Roman" w:cs="Times New Roman" w:eastAsia="Times New Roman" w:hAnsi="Times New Roman"/>
          <w:i w:val="0"/>
          <w:iCs w:val="0"/>
          <w:rtl w:val="0"/>
        </w:rPr>
        <w:t xml:space="preserve">la iniciativa que se formula en la sección 5 pueda justificar su inversión</w:t>
      </w:r>
      <w:commentRangeEnd w:id="281"/>
      <w:r>
        <w:rPr>
          <w:rStyle w:val="CommentReference"/>
        </w:rPr>
        <w:commentReference w:id="281"/>
      </w:r>
      <w:commentRangeStart w:id="169"/>
      <w:commentRangeEnd w:id="169"/>
      <w:r>
        <w:rPr>
          <w:rStyle w:val="CommentReference"/>
        </w:rPr>
        <w:commentReference w:id="169"/>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commentRangeStart w:id="82"/>
      <w:r w:rsidDel="00000000" w:rsidR="00000000" w:rsidRPr="00000000">
        <w:rPr>
          <w:rFonts w:ascii="Times New Roman" w:cs="Times New Roman" w:eastAsia="Times New Roman" w:hAnsi="Times New Roman"/>
          <w:i w:val="0"/>
          <w:iCs w:val="0"/>
          <w:rtl w:val="0"/>
        </w:rPr>
        <w:t xml:space="preserve"> Para que el alineamiento sea medible, la tabla incorpora, por cada objetivo afectado, su línea base real y su meta cuantitativa a 18 meses, tomadas de la </w:t>
      </w:r>
      <w:commentRangeStart w:id="161"/>
      <w:r w:rsidDel="00000000" w:rsidR="00000000" w:rsidRPr="00000000">
        <w:rPr>
          <w:rFonts w:ascii="Times New Roman" w:cs="Times New Roman" w:eastAsia="Times New Roman" w:hAnsi="Times New Roman"/>
          <w:i w:val="0"/>
          <w:iCs w:val="0"/>
          <w:rtl w:val="0"/>
        </w:rPr>
        <w:t xml:space="preserve">Tabla 10 (sección 2.1)</w:t>
      </w:r>
      <w:commentRangeEnd w:id="161"/>
      <w:r>
        <w:rPr>
          <w:rStyle w:val="CommentReference"/>
        </w:rPr>
        <w:commentReference w:id="161"/>
      </w:r>
      <w:r w:rsidDel="00000000" w:rsidR="00000000" w:rsidRPr="00000000">
        <w:rPr>
          <w:rFonts w:ascii="Times New Roman" w:cs="Times New Roman" w:eastAsia="Times New Roman" w:hAnsi="Times New Roman"/>
          <w:i w:val="0"/>
          <w:iCs w:val="0"/>
          <w:rtl w:val="0"/>
        </w:rPr>
        <w:t xml:space="preserve">.</w:t>
      </w:r>
      <w:commentRangeEnd w:id="82"/>
      <w:r>
        <w:rPr>
          <w:rStyle w:val="CommentReference"/>
          <w:rFonts w:ascii="Times New Roman" w:cs="Times New Roman" w:eastAsia="Times New Roman" w:hAnsi="Times New Roman"/>
        </w:rPr>
        <w:commentReference w:id="82"/>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22</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alineamiento entre dolores críticos y objetivos estratégicos</w:t>
      </w:r>
      <w:r w:rsidDel="00000000" w:rsidR="00000000" w:rsidRPr="00000000">
        <w:rPr>
          <w:rFonts w:ascii="Times New Roman" w:cs="Times New Roman" w:eastAsia="Times New Roman" w:hAnsi="Times New Roman"/>
          <w:rtl w:val="0"/>
        </w:rPr>
      </w:r>
    </w:p>
    <w:tbl>
      <w:tblPr>
        <w:tblStyle w:val="Table22"/>
        <w:tblW w:w="9026"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tblGridChange w:id="0">
          <w:tblGrid>
            <w:gridCol w:w="1300"/>
            <w:gridCol w:w="2900"/>
            <w:gridCol w:w="4826"/>
          </w:tblGrid>
        </w:tblGridChange>
        <w:gridCol w:w="800"/>
        <w:gridCol w:w="1750"/>
        <w:gridCol w:w="2600"/>
        <w:gridCol w:w="2000"/>
        <w:gridCol w:w="1876"/>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Dolor crítico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Objetivo afectado</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commentRangeStart w:id="72"/>
              </w:sdtContent>
            </w:sdt>
            <w:r w:rsidDel="00000000" w:rsidR="00000000" w:rsidRPr="00000000">
              <w:rPr>
                <w:rFonts w:ascii="Times New Roman" w:cs="Times New Roman" w:eastAsia="Times New Roman" w:hAnsi="Times New Roman"/>
                <w:b w:val="1"/>
                <w:bCs w:val="1"/>
                <w:i w:val="0"/>
                <w:iCs w:val="0"/>
                <w:color w:val="ffffff"/>
                <w:rtl w:val="0"/>
              </w:rPr>
              <w:t xml:space="preserve">Mecanismo de afectación</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sdt>
            <w:commentRangeStart w:id="83"/>
            <w:r w:rsidDel="00000000" w:rsidR="00000000" w:rsidRPr="00000000">
              <w:rPr>
                <w:rFonts w:ascii="Times New Roman" w:cs="Times New Roman" w:eastAsia="Times New Roman" w:hAnsi="Times New Roman"/>
                <w:b w:val="1"/>
                <w:bCs w:val="1"/>
                <w:i w:val="0"/>
                <w:iCs w:val="0"/>
                <w:color w:val="ffffff"/>
                <w:rtl w:val="0"/>
              </w:rPr>
              <w:t xml:space="preserve">Línea base del objetivo</w:t>
            </w:r>
            <w:commentRangeEnd w:id="83"/>
            <w:r>
              <w:rPr>
                <w:rStyle w:val="CommentReference"/>
                <w:rFonts w:ascii="Times New Roman" w:cs="Times New Roman" w:eastAsia="Times New Roman" w:hAnsi="Times New Roman"/>
              </w:rPr>
              <w:commentReference w:id="83"/>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619541784"/>
                <w:tag w:val="goog_rdk_0"/>
              </w:sdtPr>
              <w:sdtContent/>
            </w:sdt>
            <w:commentRangeStart w:id="84"/>
            <w:r w:rsidDel="00000000" w:rsidR="00000000" w:rsidRPr="00000000">
              <w:rPr>
                <w:rFonts w:ascii="Times New Roman" w:cs="Times New Roman" w:eastAsia="Times New Roman" w:hAnsi="Times New Roman"/>
                <w:b w:val="1"/>
                <w:bCs w:val="1"/>
                <w:i w:val="0"/>
                <w:iCs w:val="0"/>
                <w:color w:val="ffffff"/>
                <w:rtl w:val="0"/>
              </w:rPr>
              <w:t xml:space="preserve">Meta del objetivo a 18 meses</w:t>
            </w:r>
            <w:commentRangeEnd w:id="84"/>
            <w:r>
              <w:rPr>
                <w:rStyle w:val="CommentReference"/>
                <w:rFonts w:ascii="Times New Roman" w:cs="Times New Roman" w:eastAsia="Times New Roman" w:hAnsi="Times New Roman"/>
              </w:rPr>
              <w:commentReference w:id="84"/>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2"/>
            <w:r w:rsidDel="00000000" w:rsidR="00000000" w:rsidRPr="00000000">
              <w:rPr>
                <w:rFonts w:ascii="Times New Roman" w:cs="Times New Roman" w:eastAsia="Times New Roman" w:hAnsi="Times New Roman"/>
              </w:rPr>
              <w:commentReference w:id="72"/>
            </w:r>
            <w:r w:rsidDel="00000000" w:rsidR="00000000" w:rsidRPr="00000000">
              <w:rPr>
                <w:rFonts w:ascii="Times New Roman" w:cs="Times New Roman" w:eastAsia="Times New Roman" w:hAnsi="Times New Roman"/>
                <w:b w:val="1"/>
                <w:bCs w:val="1"/>
                <w:i w:val="0"/>
                <w:iCs w:val="0"/>
                <w:rtl w:val="0"/>
              </w:rPr>
              <w:t xml:space="preserve">DC1</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OE3.</w:t>
            </w:r>
            <w:r w:rsidDel="00000000" w:rsidR="00000000" w:rsidRPr="00000000">
              <w:rPr>
                <w:rFonts w:ascii="Times New Roman" w:cs="Times New Roman" w:eastAsia="Times New Roman" w:hAnsi="Times New Roman"/>
                <w:i w:val="0"/>
                <w:iCs w:val="0"/>
                <w:rtl w:val="0"/>
              </w:rPr>
              <w:t xml:space="preserve"> Crecer en todos los segmentos de empresas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commentRangeStart w:id="73"/>
              </w:sdtContent>
            </w:sdt>
            <w:r w:rsidDel="00000000" w:rsidR="00000000" w:rsidRPr="00000000">
              <w:rPr>
                <w:rFonts w:ascii="Times New Roman" w:cs="Times New Roman" w:eastAsia="Times New Roman" w:hAnsi="Times New Roman"/>
                <w:i w:val="0"/>
                <w:iCs w:val="0"/>
                <w:rtl w:val="0"/>
              </w:rPr>
              <w:t xml:space="preserve">El canal asistido limita la capacidad de atender más solicitudes sin ampliar proporcionalmente la fuerza comercial, restringiendo la escala del crecimiento.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sdt>
            <w:commentRangeStart w:id="85"/>
            <w:r w:rsidDel="00000000" w:rsidR="00000000" w:rsidRPr="00000000">
              <w:rPr>
                <w:rFonts w:ascii="Times New Roman" w:cs="Times New Roman" w:eastAsia="Times New Roman" w:hAnsi="Times New Roman"/>
                <w:i w:val="0"/>
                <w:iCs w:val="0"/>
                <w:rtl w:val="0"/>
              </w:rPr>
              <w:t xml:space="preserve">Cuota de colocaciones en pymes 21.5 % y de colocaciones vigentes 22.09 % en 2025 (Banco BBVA Perú, 2026b).</w:t>
            </w:r>
            <w:commentRangeEnd w:id="85"/>
            <w:r>
              <w:rPr>
                <w:rStyle w:val="CommentReference"/>
                <w:rFonts w:ascii="Times New Roman" w:cs="Times New Roman" w:eastAsia="Times New Roman" w:hAnsi="Times New Roman"/>
              </w:rPr>
              <w:commentReference w:id="85"/>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5138126"/>
                <w:tag w:val="goog_rdk_1"/>
              </w:sdtPr>
              <w:sdtContent/>
            </w:sdt>
            <w:commentRangeStart w:id="86"/>
            <w:r w:rsidDel="00000000" w:rsidR="00000000" w:rsidRPr="00000000">
              <w:rPr>
                <w:rFonts w:ascii="Times New Roman" w:cs="Times New Roman" w:eastAsia="Times New Roman" w:hAnsi="Times New Roman"/>
                <w:i w:val="0"/>
                <w:iCs w:val="0"/>
                <w:rtl w:val="0"/>
              </w:rPr>
              <w:t xml:space="preserve">Cuota en pymes ≥ 22.5 % y de colocaciones vigentes ≥ 22.5 % a 18 meses.</w:t>
            </w:r>
            <w:commentRangeEnd w:id="86"/>
            <w:r>
              <w:rPr>
                <w:rStyle w:val="CommentReference"/>
                <w:rFonts w:ascii="Times New Roman" w:cs="Times New Roman" w:eastAsia="Times New Roman" w:hAnsi="Times New Roman"/>
              </w:rPr>
              <w:commentReference w:id="86"/>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3"/>
            <w:r w:rsidDel="00000000" w:rsidR="00000000" w:rsidRPr="00000000">
              <w:rPr>
                <w:rFonts w:ascii="Times New Roman" w:cs="Times New Roman" w:eastAsia="Times New Roman" w:hAnsi="Times New Roman"/>
              </w:rPr>
              <w:commentReference w:id="73"/>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OE4.</w:t>
            </w:r>
            <w:r w:rsidDel="00000000" w:rsidR="00000000" w:rsidRPr="00000000">
              <w:rPr>
                <w:rFonts w:ascii="Times New Roman" w:cs="Times New Roman" w:eastAsia="Times New Roman" w:hAnsi="Times New Roman"/>
                <w:i w:val="0"/>
                <w:iCs w:val="0"/>
                <w:rtl w:val="0"/>
              </w:rPr>
              <w:t xml:space="preserve"> Creación de valor y capital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commentRangeStart w:id="74"/>
              </w:sdtContent>
            </w:sdt>
            <w:r w:rsidDel="00000000" w:rsidR="00000000" w:rsidRPr="00000000">
              <w:rPr>
                <w:rFonts w:ascii="Times New Roman" w:cs="Times New Roman" w:eastAsia="Times New Roman" w:hAnsi="Times New Roman"/>
                <w:i w:val="0"/>
                <w:iCs w:val="0"/>
                <w:rtl w:val="0"/>
              </w:rPr>
              <w:t xml:space="preserve">El mayor costo unitario de la originación asistida y el tiempo de ciclo prolongado deterioran la rentabilidad ajustada por riesgo del segmento.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sdt>
            <w:commentRangeStart w:id="87"/>
            <w:r w:rsidDel="00000000" w:rsidR="00000000" w:rsidRPr="00000000">
              <w:rPr>
                <w:rFonts w:ascii="Times New Roman" w:cs="Times New Roman" w:eastAsia="Times New Roman" w:hAnsi="Times New Roman"/>
                <w:i w:val="0"/>
                <w:iCs w:val="0"/>
                <w:rtl w:val="0"/>
              </w:rPr>
              <w:t xml:space="preserve">Ratio de eficiencia 40.0 % y mora 2.69 % al 2T2026 (Banco BBVA Perú, 2026a).</w:t>
            </w:r>
            <w:commentRangeEnd w:id="87"/>
            <w:r>
              <w:rPr>
                <w:rStyle w:val="CommentReference"/>
                <w:rFonts w:ascii="Times New Roman" w:cs="Times New Roman" w:eastAsia="Times New Roman" w:hAnsi="Times New Roman"/>
              </w:rPr>
              <w:commentReference w:id="8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954171311"/>
                <w:tag w:val="goog_rdk_2"/>
              </w:sdtPr>
              <w:sdtContent/>
            </w:sdt>
            <w:commentRangeStart w:id="88"/>
            <w:r w:rsidDel="00000000" w:rsidR="00000000" w:rsidRPr="00000000">
              <w:rPr>
                <w:rFonts w:ascii="Times New Roman" w:cs="Times New Roman" w:eastAsia="Times New Roman" w:hAnsi="Times New Roman"/>
                <w:i w:val="0"/>
                <w:iCs w:val="0"/>
                <w:rtl w:val="0"/>
              </w:rPr>
              <w:t xml:space="preserve">Ratio de eficiencia ≤ 40.0 % y mora ≤ 2.69 %.</w:t>
            </w:r>
            <w:commentRangeEnd w:id="88"/>
            <w:r>
              <w:rPr>
                <w:rStyle w:val="CommentReference"/>
                <w:rFonts w:ascii="Times New Roman" w:cs="Times New Roman" w:eastAsia="Times New Roman" w:hAnsi="Times New Roman"/>
              </w:rPr>
              <w:commentReference w:id="88"/>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4"/>
            <w:r w:rsidDel="00000000" w:rsidR="00000000" w:rsidRPr="00000000">
              <w:rPr>
                <w:rFonts w:ascii="Times New Roman" w:cs="Times New Roman" w:eastAsia="Times New Roman" w:hAnsi="Times New Roman"/>
              </w:rPr>
              <w:commentReference w:id="74"/>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commentRangeStart w:id="75"/>
              </w:sdtContent>
            </w:sdt>
            <w:r w:rsidDel="00000000" w:rsidR="00000000" w:rsidRPr="00000000">
              <w:rPr>
                <w:rFonts w:ascii="Times New Roman" w:cs="Times New Roman" w:eastAsia="Times New Roman" w:hAnsi="Times New Roman"/>
                <w:i w:val="0"/>
                <w:iCs w:val="0"/>
                <w:rtl w:val="0"/>
              </w:rPr>
              <w:t xml:space="preserve">La ruta asistida no genera datos estructurados aprovechables por modelos de decisión, lo que perpetúa la dependencia del criterio manual.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sdt>
            <w:commentRangeStart w:id="89"/>
            <w:r w:rsidDel="00000000" w:rsidR="00000000" w:rsidRPr="00000000">
              <w:rPr>
                <w:rFonts w:ascii="Times New Roman" w:cs="Times New Roman" w:eastAsia="Times New Roman" w:hAnsi="Times New Roman"/>
                <w:i w:val="0"/>
                <w:iCs w:val="0"/>
                <w:rtl w:val="0"/>
              </w:rPr>
              <w:t xml:space="preserve">Ventas digitales 79.57 % al 2T2026 (Banco BBVA Perú, 2026a, p. 3); clientes Pyme digitales 74 % al cierre de 2025 (BBVA, 2026b).</w:t>
            </w:r>
            <w:commentRangeEnd w:id="89"/>
            <w:r>
              <w:rPr>
                <w:rStyle w:val="CommentReference"/>
                <w:rFonts w:ascii="Times New Roman" w:cs="Times New Roman" w:eastAsia="Times New Roman" w:hAnsi="Times New Roman"/>
              </w:rPr>
              <w:commentReference w:id="89"/>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665112594"/>
                <w:tag w:val="goog_rdk_3"/>
              </w:sdtPr>
              <w:sdtContent/>
            </w:sdt>
            <w:commentRangeStart w:id="90"/>
            <w:r w:rsidDel="00000000" w:rsidR="00000000" w:rsidRPr="00000000">
              <w:rPr>
                <w:rFonts w:ascii="Times New Roman" w:cs="Times New Roman" w:eastAsia="Times New Roman" w:hAnsi="Times New Roman"/>
                <w:i w:val="0"/>
                <w:iCs w:val="0"/>
                <w:rtl w:val="0"/>
              </w:rPr>
              <w:t xml:space="preserve">Ventas digitales ≥ 85 %; clientes Pyme digitales ≥ 85 %.</w:t>
            </w:r>
            <w:commentRangeEnd w:id="90"/>
            <w:r>
              <w:rPr>
                <w:rStyle w:val="CommentReference"/>
                <w:rFonts w:ascii="Times New Roman" w:cs="Times New Roman" w:eastAsia="Times New Roman" w:hAnsi="Times New Roman"/>
              </w:rPr>
              <w:commentReference w:id="9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5"/>
            <w:r w:rsidDel="00000000" w:rsidR="00000000" w:rsidRPr="00000000">
              <w:rPr>
                <w:rFonts w:ascii="Times New Roman" w:cs="Times New Roman" w:eastAsia="Times New Roman" w:hAnsi="Times New Roman"/>
              </w:rPr>
              <w:commentReference w:id="75"/>
            </w:r>
            <w:r w:rsidDel="00000000" w:rsidR="00000000" w:rsidRPr="00000000">
              <w:rPr>
                <w:rFonts w:ascii="Times New Roman" w:cs="Times New Roman" w:eastAsia="Times New Roman" w:hAnsi="Times New Roman"/>
                <w:b w:val="1"/>
                <w:bCs w:val="1"/>
                <w:i w:val="0"/>
                <w:iCs w:val="0"/>
                <w:rtl w:val="0"/>
              </w:rPr>
              <w:t xml:space="preserve">DC2</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OE1.</w:t>
            </w:r>
            <w:r w:rsidDel="00000000" w:rsidR="00000000" w:rsidRPr="00000000">
              <w:rPr>
                <w:rFonts w:ascii="Times New Roman" w:cs="Times New Roman" w:eastAsia="Times New Roman" w:hAnsi="Times New Roman"/>
                <w:i w:val="0"/>
                <w:iCs w:val="0"/>
                <w:rtl w:val="0"/>
              </w:rPr>
              <w:t xml:space="preserve"> Perspectiva del cliente de manera radical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commentRangeStart w:id="76"/>
              </w:sdtContent>
            </w:sdt>
            <w:r w:rsidDel="00000000" w:rsidR="00000000" w:rsidRPr="00000000">
              <w:rPr>
                <w:rFonts w:ascii="Times New Roman" w:cs="Times New Roman" w:eastAsia="Times New Roman" w:hAnsi="Times New Roman"/>
                <w:i w:val="0"/>
                <w:iCs w:val="0"/>
                <w:rtl w:val="0"/>
              </w:rPr>
              <w:t xml:space="preserve">La falta de trazabilidad durante la investigación deja al cliente sin información en el momento de mayor ansiedad del recorrido.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sdt>
            <w:commentRangeStart w:id="91"/>
            <w:r w:rsidDel="00000000" w:rsidR="00000000" w:rsidRPr="00000000">
              <w:rPr>
                <w:rFonts w:ascii="Times New Roman" w:cs="Times New Roman" w:eastAsia="Times New Roman" w:hAnsi="Times New Roman"/>
                <w:i w:val="0"/>
                <w:iCs w:val="0"/>
                <w:rtl w:val="0"/>
              </w:rPr>
              <w:t xml:space="preserve">NPS Retail 52.57 % en 2025 (Banco BBVA Perú, 2026b, p. 26); tiempo promedio de absolución 11.29 días al 2T2026 (cálculo propio, Tabla 24).</w:t>
            </w:r>
            <w:commentRangeEnd w:id="91"/>
            <w:r>
              <w:rPr>
                <w:rStyle w:val="CommentReference"/>
                <w:rFonts w:ascii="Times New Roman" w:cs="Times New Roman" w:eastAsia="Times New Roman" w:hAnsi="Times New Roman"/>
              </w:rPr>
              <w:commentReference w:id="91"/>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485140324"/>
                <w:tag w:val="goog_rdk_4"/>
              </w:sdtPr>
              <w:sdtContent/>
            </w:sdt>
            <w:commentRangeStart w:id="92"/>
            <w:r w:rsidDel="00000000" w:rsidR="00000000" w:rsidRPr="00000000">
              <w:rPr>
                <w:rFonts w:ascii="Times New Roman" w:cs="Times New Roman" w:eastAsia="Times New Roman" w:hAnsi="Times New Roman"/>
                <w:i w:val="0"/>
                <w:iCs w:val="0"/>
                <w:rtl w:val="0"/>
              </w:rPr>
              <w:t xml:space="preserve">NPS Retail ≥ 52.57 %; </w:t>
            </w:r>
            <w:commentRangeStart w:id="199"/>
            <w:r w:rsidDel="00000000" w:rsidR="00000000" w:rsidRPr="00000000">
              <w:rPr>
                <w:rFonts w:ascii="Times New Roman" w:cs="Times New Roman" w:eastAsia="Times New Roman" w:hAnsi="Times New Roman"/>
                <w:i w:val="0"/>
                <w:iCs w:val="0"/>
                <w:rtl w:val="0"/>
              </w:rPr>
              <w:t xml:space="preserve">razón de absolución frente al promedio general ≤ 1.0 (Tabla 24)</w:t>
            </w:r>
            <w:commentRangeEnd w:id="199"/>
            <w:r>
              <w:rPr>
                <w:rStyle w:val="CommentReference"/>
              </w:rPr>
              <w:commentReference w:id="199"/>
            </w:r>
            <w:r w:rsidDel="00000000" w:rsidR="00000000" w:rsidRPr="00000000">
              <w:rPr>
                <w:rFonts w:ascii="Times New Roman" w:cs="Times New Roman" w:eastAsia="Times New Roman" w:hAnsi="Times New Roman"/>
                <w:i w:val="0"/>
                <w:iCs w:val="0"/>
                <w:rtl w:val="0"/>
              </w:rPr>
              <w:t xml:space="preserve">.</w:t>
            </w:r>
            <w:commentRangeEnd w:id="92"/>
            <w:r>
              <w:rPr>
                <w:rStyle w:val="CommentReference"/>
                <w:rFonts w:ascii="Times New Roman" w:cs="Times New Roman" w:eastAsia="Times New Roman" w:hAnsi="Times New Roman"/>
              </w:rPr>
              <w:commentReference w:id="92"/>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6"/>
            <w:r w:rsidDel="00000000" w:rsidR="00000000" w:rsidRPr="00000000">
              <w:rPr>
                <w:rFonts w:ascii="Times New Roman" w:cs="Times New Roman" w:eastAsia="Times New Roman" w:hAnsi="Times New Roman"/>
              </w:rPr>
              <w:commentReference w:id="76"/>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commentRangeStart w:id="77"/>
              </w:sdtContent>
            </w:sdt>
            <w:r w:rsidDel="00000000" w:rsidR="00000000" w:rsidRPr="00000000">
              <w:rPr>
                <w:rFonts w:ascii="Times New Roman" w:cs="Times New Roman" w:eastAsia="Times New Roman" w:hAnsi="Times New Roman"/>
                <w:i w:val="0"/>
                <w:iCs w:val="0"/>
                <w:rtl w:val="0"/>
              </w:rPr>
              <w:t xml:space="preserve">La detección y la resolución del caso dependen de capacidades analíticas sobre datos transaccionales que la plataforma ADA ya soporta.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sdt>
            <w:commentRangeStart w:id="93"/>
            <w:r w:rsidDel="00000000" w:rsidR="00000000" w:rsidRPr="00000000">
              <w:rPr>
                <w:rFonts w:ascii="Times New Roman" w:cs="Times New Roman" w:eastAsia="Times New Roman" w:hAnsi="Times New Roman"/>
                <w:i w:val="0"/>
                <w:iCs w:val="0"/>
                <w:rtl w:val="0"/>
              </w:rPr>
              <w:t xml:space="preserve">Adopción interna de Blue Buddy 90 % y más de 14,000 consultas en junio de 2026 (Banco BBVA Perú, 2026a, p. 4).</w:t>
            </w:r>
            <w:commentRangeEnd w:id="93"/>
            <w:r>
              <w:rPr>
                <w:rStyle w:val="CommentReference"/>
                <w:rFonts w:ascii="Times New Roman" w:cs="Times New Roman" w:eastAsia="Times New Roman" w:hAnsi="Times New Roman"/>
              </w:rPr>
              <w:commentReference w:id="93"/>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709624749"/>
                <w:tag w:val="goog_rdk_5"/>
              </w:sdtPr>
              <w:sdtContent/>
            </w:sdt>
            <w:commentRangeStart w:id="94"/>
            <w:r w:rsidDel="00000000" w:rsidR="00000000" w:rsidRPr="00000000">
              <w:rPr>
                <w:rFonts w:ascii="Times New Roman" w:cs="Times New Roman" w:eastAsia="Times New Roman" w:hAnsi="Times New Roman"/>
                <w:i w:val="0"/>
                <w:iCs w:val="0"/>
                <w:rtl w:val="0"/>
              </w:rPr>
              <w:t xml:space="preserve">Adopción interna ≥ 95 % y al menos tres casos de IA priorizados en producción.</w:t>
            </w:r>
            <w:commentRangeEnd w:id="94"/>
            <w:r>
              <w:rPr>
                <w:rStyle w:val="CommentReference"/>
                <w:rFonts w:ascii="Times New Roman" w:cs="Times New Roman" w:eastAsia="Times New Roman" w:hAnsi="Times New Roman"/>
              </w:rPr>
              <w:commentReference w:id="94"/>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7"/>
            <w:r w:rsidDel="00000000" w:rsidR="00000000" w:rsidRPr="00000000">
              <w:rPr>
                <w:rFonts w:ascii="Times New Roman" w:cs="Times New Roman" w:eastAsia="Times New Roman" w:hAnsi="Times New Roman"/>
              </w:rPr>
              <w:commentReference w:id="7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OE6.</w:t>
            </w:r>
            <w:r w:rsidDel="00000000" w:rsidR="00000000" w:rsidRPr="00000000">
              <w:rPr>
                <w:rFonts w:ascii="Times New Roman" w:cs="Times New Roman" w:eastAsia="Times New Roman" w:hAnsi="Times New Roman"/>
                <w:i w:val="0"/>
                <w:iCs w:val="0"/>
                <w:rtl w:val="0"/>
              </w:rPr>
              <w:t xml:space="preserve"> Empatía y equipo ganador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commentRangeStart w:id="78"/>
              </w:sdtContent>
            </w:sdt>
            <w:r w:rsidDel="00000000" w:rsidR="00000000" w:rsidRPr="00000000">
              <w:rPr>
                <w:rFonts w:ascii="Times New Roman" w:cs="Times New Roman" w:eastAsia="Times New Roman" w:hAnsi="Times New Roman"/>
                <w:i w:val="0"/>
                <w:iCs w:val="0"/>
                <w:rtl w:val="0"/>
              </w:rPr>
              <w:t xml:space="preserve">La coordinación manual entre áreas de fraude, operaciones y atención consume capacidad interna que podría destinarse a tareas de mayor valor.</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sdt>
            <w:commentRangeStart w:id="95"/>
            <w:r w:rsidDel="00000000" w:rsidR="00000000" w:rsidRPr="00000000">
              <w:rPr>
                <w:rFonts w:ascii="Times New Roman" w:cs="Times New Roman" w:eastAsia="Times New Roman" w:hAnsi="Times New Roman"/>
                <w:i w:val="0"/>
                <w:iCs w:val="0"/>
                <w:rtl w:val="0"/>
              </w:rPr>
              <w:t xml:space="preserve">Índice de compromiso de colaboradores 93/100 en 2025 (Banco BBVA Perú, 2026b, p. 12).</w:t>
            </w:r>
            <w:commentRangeEnd w:id="95"/>
            <w:r>
              <w:rPr>
                <w:rStyle w:val="CommentReference"/>
                <w:rFonts w:ascii="Times New Roman" w:cs="Times New Roman" w:eastAsia="Times New Roman" w:hAnsi="Times New Roman"/>
              </w:rPr>
              <w:commentReference w:id="95"/>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328499643"/>
                <w:tag w:val="goog_rdk_6"/>
              </w:sdtPr>
              <w:sdtContent/>
            </w:sdt>
            <w:commentRangeStart w:id="96"/>
            <w:r w:rsidDel="00000000" w:rsidR="00000000" w:rsidRPr="00000000">
              <w:rPr>
                <w:rFonts w:ascii="Times New Roman" w:cs="Times New Roman" w:eastAsia="Times New Roman" w:hAnsi="Times New Roman"/>
                <w:i w:val="0"/>
                <w:iCs w:val="0"/>
                <w:rtl w:val="0"/>
              </w:rPr>
              <w:t xml:space="preserve">Índice de compromiso ≥ 93/100.</w:t>
            </w:r>
            <w:commentRangeEnd w:id="96"/>
            <w:r>
              <w:rPr>
                <w:rStyle w:val="CommentReference"/>
                <w:rFonts w:ascii="Times New Roman" w:cs="Times New Roman" w:eastAsia="Times New Roman" w:hAnsi="Times New Roman"/>
              </w:rPr>
              <w:commentReference w:id="96"/>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8"/>
            <w:r w:rsidDel="00000000" w:rsidR="00000000" w:rsidRPr="00000000">
              <w:rPr>
                <w:rFonts w:ascii="Times New Roman" w:cs="Times New Roman" w:eastAsia="Times New Roman" w:hAnsi="Times New Roman"/>
              </w:rPr>
              <w:commentReference w:id="78"/>
            </w:r>
            <w:r w:rsidDel="00000000" w:rsidR="00000000" w:rsidRPr="00000000">
              <w:rPr>
                <w:rFonts w:ascii="Times New Roman" w:cs="Times New Roman" w:eastAsia="Times New Roman" w:hAnsi="Times New Roman"/>
                <w:b w:val="1"/>
                <w:bCs w:val="1"/>
                <w:i w:val="0"/>
                <w:iCs w:val="0"/>
                <w:rtl w:val="0"/>
              </w:rPr>
              <w:t xml:space="preserve">DC3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OE1.</w:t>
            </w:r>
            <w:r w:rsidDel="00000000" w:rsidR="00000000" w:rsidRPr="00000000">
              <w:rPr>
                <w:rFonts w:ascii="Times New Roman" w:cs="Times New Roman" w:eastAsia="Times New Roman" w:hAnsi="Times New Roman"/>
                <w:i w:val="0"/>
                <w:iCs w:val="0"/>
                <w:rtl w:val="0"/>
              </w:rPr>
              <w:t xml:space="preserve"> Perspectiva del cliente de manera radical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commentRangeStart w:id="79"/>
              </w:sdtContent>
            </w:sdt>
            <w:r w:rsidDel="00000000" w:rsidR="00000000" w:rsidRPr="00000000">
              <w:rPr>
                <w:rFonts w:ascii="Times New Roman" w:cs="Times New Roman" w:eastAsia="Times New Roman" w:hAnsi="Times New Roman"/>
                <w:rtl w:val="0"/>
              </w:rPr>
              <w:t xml:space="preserve">La brecha entre productos revela que el autoservicio no resuelve con igual claridad todas las decisiones de contratación, y la derivación de determinados perfiles a oficina interrumpe por completo el recorrido del solicitante.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sdt>
            <w:commentRangeStart w:id="97"/>
            <w:r w:rsidDel="00000000" w:rsidR="00000000" w:rsidRPr="00000000">
              <w:rPr>
                <w:rFonts w:ascii="Times New Roman" w:cs="Times New Roman" w:eastAsia="Times New Roman" w:hAnsi="Times New Roman"/>
                <w:rtl w:val="0"/>
              </w:rPr>
              <w:t xml:space="preserve">NPS Retail 52.57 % en 2025 (Banco BBVA Perú, 2026b, p. 26); penetración digital en cuentas 33 % al 2T2026 (Banco BBVA Perú, 2026a, p. 3).</w:t>
            </w:r>
            <w:commentRangeEnd w:id="97"/>
            <w:r>
              <w:rPr>
                <w:rStyle w:val="CommentReference"/>
                <w:rFonts w:ascii="Times New Roman" w:cs="Times New Roman" w:eastAsia="Times New Roman" w:hAnsi="Times New Roman"/>
              </w:rPr>
              <w:commentReference w:id="97"/>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949857005"/>
                <w:tag w:val="goog_rdk_7"/>
              </w:sdtPr>
              <w:sdtContent/>
            </w:sdt>
            <w:commentRangeStart w:id="98"/>
            <w:r w:rsidDel="00000000" w:rsidR="00000000" w:rsidRPr="00000000">
              <w:rPr>
                <w:rFonts w:ascii="Times New Roman" w:cs="Times New Roman" w:eastAsia="Times New Roman" w:hAnsi="Times New Roman"/>
                <w:rtl w:val="0"/>
              </w:rPr>
              <w:t xml:space="preserve">NPS Retail ≥ 52.57 %; penetración en cuentas ≥ 55 % (Tabla 25).</w:t>
            </w:r>
            <w:commentRangeEnd w:id="98"/>
            <w:r>
              <w:rPr>
                <w:rStyle w:val="CommentReference"/>
                <w:rFonts w:ascii="Times New Roman" w:cs="Times New Roman" w:eastAsia="Times New Roman" w:hAnsi="Times New Roman"/>
              </w:rPr>
              <w:commentReference w:id="98"/>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79"/>
            <w:r w:rsidDel="00000000" w:rsidR="00000000" w:rsidRPr="00000000">
              <w:rPr>
                <w:rFonts w:ascii="Times New Roman" w:cs="Times New Roman" w:eastAsia="Times New Roman" w:hAnsi="Times New Roman"/>
              </w:rPr>
              <w:commentReference w:id="7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OE4.</w:t>
            </w:r>
            <w:r w:rsidDel="00000000" w:rsidR="00000000" w:rsidRPr="00000000">
              <w:rPr>
                <w:rFonts w:ascii="Times New Roman" w:cs="Times New Roman" w:eastAsia="Times New Roman" w:hAnsi="Times New Roman"/>
                <w:i w:val="0"/>
                <w:iCs w:val="0"/>
                <w:rtl w:val="0"/>
              </w:rPr>
              <w:t xml:space="preserve"> Creación de valor y capital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commentRangeStart w:id="80"/>
              </w:sdtContent>
            </w:sdt>
            <w:r w:rsidDel="00000000" w:rsidR="00000000" w:rsidRPr="00000000">
              <w:rPr>
                <w:rFonts w:ascii="Times New Roman" w:cs="Times New Roman" w:eastAsia="Times New Roman" w:hAnsi="Times New Roman"/>
                <w:i w:val="0"/>
                <w:iCs w:val="0"/>
                <w:rtl w:val="0"/>
              </w:rPr>
              <w:t xml:space="preserve">Sostener dos de cada tres aperturas de cuenta por canal asistido mantiene un costo de adquisición superior al del canal digital.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sdt>
            <w:commentRangeStart w:id="99"/>
            <w:r w:rsidDel="00000000" w:rsidR="00000000" w:rsidRPr="00000000">
              <w:rPr>
                <w:rFonts w:ascii="Times New Roman" w:cs="Times New Roman" w:eastAsia="Times New Roman" w:hAnsi="Times New Roman"/>
                <w:i w:val="0"/>
                <w:iCs w:val="0"/>
                <w:rtl w:val="0"/>
              </w:rPr>
              <w:t xml:space="preserve">ROE 18.7 % frente a 20.1 % del sistema (2T2026 y mayo de 2026); ratio de eficiencia 40.0 % (Banco BBVA Perú, 2026a, pp. 19 y 32).</w:t>
            </w:r>
            <w:commentRangeEnd w:id="99"/>
            <w:r>
              <w:rPr>
                <w:rStyle w:val="CommentReference"/>
                <w:rFonts w:ascii="Times New Roman" w:cs="Times New Roman" w:eastAsia="Times New Roman" w:hAnsi="Times New Roman"/>
              </w:rPr>
              <w:commentReference w:id="9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1009922844"/>
                <w:tag w:val="goog_rdk_8"/>
              </w:sdtPr>
              <w:sdtContent/>
            </w:sdt>
            <w:commentRangeStart w:id="100"/>
            <w:r w:rsidDel="00000000" w:rsidR="00000000" w:rsidRPr="00000000">
              <w:rPr>
                <w:rFonts w:ascii="Times New Roman" w:cs="Times New Roman" w:eastAsia="Times New Roman" w:hAnsi="Times New Roman"/>
                <w:i w:val="0"/>
                <w:iCs w:val="0"/>
                <w:rtl w:val="0"/>
              </w:rPr>
              <w:t xml:space="preserve">ROE ≥ 19.5 %; ratio de eficiencia ≤ 40.0 %.</w:t>
            </w:r>
            <w:commentRangeEnd w:id="100"/>
            <w:r>
              <w:rPr>
                <w:rStyle w:val="CommentReference"/>
                <w:rFonts w:ascii="Times New Roman" w:cs="Times New Roman" w:eastAsia="Times New Roman" w:hAnsi="Times New Roman"/>
              </w:rPr>
              <w:commentReference w:id="100"/>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End w:id="80"/>
            <w:r w:rsidDel="00000000" w:rsidR="00000000" w:rsidRPr="00000000">
              <w:rPr>
                <w:rFonts w:ascii="Times New Roman" w:cs="Times New Roman" w:eastAsia="Times New Roman" w:hAnsi="Times New Roman"/>
              </w:rPr>
              <w:commentReference w:id="80"/>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OE5.</w:t>
            </w:r>
            <w:r w:rsidDel="00000000" w:rsidR="00000000" w:rsidRPr="00000000">
              <w:rPr>
                <w:rFonts w:ascii="Times New Roman" w:cs="Times New Roman" w:eastAsia="Times New Roman" w:hAnsi="Times New Roman"/>
                <w:i w:val="0"/>
                <w:iCs w:val="0"/>
                <w:rtl w:val="0"/>
              </w:rPr>
              <w:t xml:space="preserve"> IA, innovación, datos y tecnologías Next Gen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commentRangeStart w:id="81"/>
              </w:sdtContent>
            </w:sdt>
            <w:r w:rsidDel="00000000" w:rsidR="00000000" w:rsidRPr="00000000">
              <w:rPr>
                <w:rFonts w:ascii="Times New Roman" w:cs="Times New Roman" w:eastAsia="Times New Roman" w:hAnsi="Times New Roman"/>
                <w:i w:val="0"/>
                <w:iCs w:val="0"/>
                <w:rtl w:val="0"/>
              </w:rPr>
              <w:t xml:space="preserve">La personalización y la asistencia conversacional en el punto de contratación son capacidades directamente habilitadas por la plataforma de datos e 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sdt>
            <w:commentRangeStart w:id="101"/>
            <w:r w:rsidDel="00000000" w:rsidR="00000000" w:rsidRPr="00000000">
              <w:rPr>
                <w:rFonts w:ascii="Times New Roman" w:cs="Times New Roman" w:eastAsia="Times New Roman" w:hAnsi="Times New Roman"/>
                <w:i w:val="0"/>
                <w:iCs w:val="0"/>
                <w:rtl w:val="0"/>
              </w:rPr>
              <w:t xml:space="preserve">Ventas digitales 79.57 % y más de tres millones de usuarios activos de la app al 2T2026 (Banco BBVA Perú, 2026a, p. 3).</w:t>
            </w:r>
            <w:commentRangeEnd w:id="101"/>
            <w:r>
              <w:rPr>
                <w:rStyle w:val="CommentReference"/>
                <w:rFonts w:ascii="Times New Roman" w:cs="Times New Roman" w:eastAsia="Times New Roman" w:hAnsi="Times New Roman"/>
              </w:rPr>
              <w:commentReference w:id="101"/>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sdt>
              <w:sdtPr>
                <w:id w:val="-400431902"/>
                <w:tag w:val="goog_rdk_9"/>
              </w:sdtPr>
              <w:sdtContent/>
            </w:sdt>
            <w:commentRangeStart w:id="102"/>
            <w:r w:rsidDel="00000000" w:rsidR="00000000" w:rsidRPr="00000000">
              <w:rPr>
                <w:rFonts w:ascii="Times New Roman" w:cs="Times New Roman" w:eastAsia="Times New Roman" w:hAnsi="Times New Roman"/>
                <w:i w:val="0"/>
                <w:iCs w:val="0"/>
                <w:rtl w:val="0"/>
              </w:rPr>
              <w:t xml:space="preserve">Ventas digitales ≥ 85 %.</w:t>
            </w:r>
            <w:commentRangeEnd w:id="102"/>
            <w:r>
              <w:rPr>
                <w:rStyle w:val="CommentReference"/>
                <w:rFonts w:ascii="Times New Roman" w:cs="Times New Roman" w:eastAsia="Times New Roman" w:hAnsi="Times New Roman"/>
              </w:rPr>
              <w:commentReference w:id="102"/>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commentRangeEnd w:id="81"/>
      <w:r w:rsidDel="00000000" w:rsidR="00000000" w:rsidRPr="00000000">
        <w:rPr>
          <w:rFonts w:ascii="Times New Roman" w:cs="Times New Roman" w:eastAsia="Times New Roman" w:hAnsi="Times New Roman"/>
        </w:rPr>
        <w:commentReference w:id="81"/>
      </w: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i w:val="0"/>
          <w:iCs w:val="0"/>
          <w:rtl w:val="0"/>
        </w:rPr>
        <w:t xml:space="preserve">Elaboración propia. La codificación de objetivos corresponde a la </w:t>
      </w:r>
      <w:commentRangeStart w:id="162"/>
      <w:r w:rsidDel="00000000" w:rsidR="00000000" w:rsidRPr="00000000">
        <w:rPr>
          <w:rFonts w:ascii="Times New Roman" w:cs="Times New Roman" w:eastAsia="Times New Roman" w:hAnsi="Times New Roman"/>
          <w:i w:val="0"/>
          <w:iCs w:val="0"/>
          <w:rtl w:val="0"/>
        </w:rPr>
        <w:t xml:space="preserve">Tabla 10 (sección 2.1)</w:t>
      </w:r>
      <w:commentRangeEnd w:id="162"/>
      <w:r>
        <w:rPr>
          <w:rStyle w:val="CommentReference"/>
        </w:rPr>
        <w:commentReference w:id="162"/>
      </w:r>
      <w:r w:rsidDel="00000000" w:rsidR="00000000" w:rsidRPr="00000000">
        <w:rPr>
          <w:rFonts w:ascii="Times New Roman" w:cs="Times New Roman" w:eastAsia="Times New Roman" w:hAnsi="Times New Roman"/>
          <w:i w:val="0"/>
          <w:iCs w:val="0"/>
          <w:rtl w:val="0"/>
        </w:rPr>
        <w:t xml:space="preserve">, elaborada a partir de </w:t>
      </w:r>
      <w:commentRangeStart w:id="206"/>
      <w:r w:rsidDel="00000000" w:rsidR="00000000" w:rsidRPr="00000000">
        <w:rPr>
          <w:rFonts w:ascii="Times New Roman" w:cs="Times New Roman" w:eastAsia="Times New Roman" w:hAnsi="Times New Roman"/>
          <w:i w:val="0"/>
          <w:iCs w:val="0"/>
          <w:rtl w:val="0"/>
        </w:rPr>
        <w:t xml:space="preserve">BBVA (2025a)</w:t>
      </w:r>
      <w:commentRangeEnd w:id="206"/>
      <w:r>
        <w:rPr>
          <w:rStyle w:val="CommentReference"/>
        </w:rPr>
        <w:commentReference w:id="206"/>
      </w:r>
      <w:r w:rsidDel="00000000" w:rsidR="00000000" w:rsidRPr="00000000">
        <w:rPr>
          <w:rFonts w:ascii="Times New Roman" w:cs="Times New Roman" w:eastAsia="Times New Roman" w:hAnsi="Times New Roman"/>
          <w:i w:val="0"/>
          <w:iCs w:val="0"/>
          <w:rtl w:val="0"/>
        </w:rPr>
        <w:t xml:space="preserve">.</w:t>
      </w:r>
      <w:r w:rsidDel="00000000" w:rsidR="00000000" w:rsidRPr="00000000">
        <w:rPr>
          <w:rFonts w:ascii="Times New Roman" w:cs="Times New Roman" w:eastAsia="Times New Roman" w:hAnsi="Times New Roman"/>
          <w:rtl w:val="0"/>
        </w:rPr>
      </w:r>
      <w:commentRangeStart w:id="103"/>
      <w:r w:rsidDel="00000000" w:rsidR="00000000" w:rsidRPr="00000000">
        <w:rPr>
          <w:rFonts w:ascii="Times New Roman" w:cs="Times New Roman" w:eastAsia="Times New Roman" w:hAnsi="Times New Roman"/>
          <w:i w:val="1"/>
          <w:iCs w:val="1"/>
          <w:rtl w:val="0"/>
        </w:rPr>
        <w:t xml:space="preserve"> Las líneas base y las metas de los objetivos corresponden a la </w:t>
      </w:r>
      <w:commentRangeStart w:id="163"/>
      <w:r w:rsidDel="00000000" w:rsidR="00000000" w:rsidRPr="00000000">
        <w:rPr>
          <w:rFonts w:ascii="Times New Roman" w:cs="Times New Roman" w:eastAsia="Times New Roman" w:hAnsi="Times New Roman"/>
          <w:i w:val="1"/>
          <w:iCs w:val="1"/>
          <w:rtl w:val="0"/>
        </w:rPr>
        <w:t xml:space="preserve">Tabla 10 (sección 2.1)</w:t>
      </w:r>
      <w:commentRangeEnd w:id="163"/>
      <w:r>
        <w:rPr>
          <w:rStyle w:val="CommentReference"/>
        </w:rPr>
        <w:commentReference w:id="163"/>
      </w:r>
      <w:r w:rsidDel="00000000" w:rsidR="00000000" w:rsidRPr="00000000">
        <w:rPr>
          <w:rFonts w:ascii="Times New Roman" w:cs="Times New Roman" w:eastAsia="Times New Roman" w:hAnsi="Times New Roman"/>
          <w:i w:val="1"/>
          <w:iCs w:val="1"/>
          <w:rtl w:val="0"/>
        </w:rPr>
        <w:t xml:space="preserve"> y a las </w:t>
      </w:r>
      <w:commentRangeStart w:id="166"/>
      <w:r w:rsidDel="00000000" w:rsidR="00000000" w:rsidRPr="00000000">
        <w:rPr>
          <w:rFonts w:ascii="Times New Roman" w:cs="Times New Roman" w:eastAsia="Times New Roman" w:hAnsi="Times New Roman"/>
          <w:i w:val="1"/>
          <w:iCs w:val="1"/>
          <w:rtl w:val="0"/>
        </w:rPr>
        <w:t xml:space="preserve">Tablas 23 a 25 (sección 4.3)</w:t>
      </w:r>
      <w:commentRangeEnd w:id="166"/>
      <w:r>
        <w:rPr>
          <w:rStyle w:val="CommentReference"/>
        </w:rPr>
        <w:commentReference w:id="166"/>
      </w:r>
      <w:r w:rsidDel="00000000" w:rsidR="00000000" w:rsidRPr="00000000">
        <w:rPr>
          <w:rFonts w:ascii="Times New Roman" w:cs="Times New Roman" w:eastAsia="Times New Roman" w:hAnsi="Times New Roman"/>
          <w:i w:val="1"/>
          <w:iCs w:val="1"/>
          <w:rtl w:val="0"/>
        </w:rPr>
        <w:t xml:space="preserve">; las metas son propuestas del equipo.</w:t>
      </w:r>
      <w:commentRangeEnd w:id="103"/>
      <w:r>
        <w:rPr>
          <w:rStyle w:val="CommentReference"/>
          <w:rFonts w:ascii="Times New Roman" w:cs="Times New Roman" w:eastAsia="Times New Roman" w:hAnsi="Times New Roman"/>
        </w:rPr>
        <w:commentReference w:id="103"/>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5" w:name="_TocM215"/>
      <w:bookmarkEnd w:id="215"/>
      <w:r w:rsidDel="00000000" w:rsidR="00000000" w:rsidRPr="00000000">
        <w:rPr>
          <w:rFonts w:ascii="Times New Roman" w:cs="Times New Roman" w:eastAsia="Times New Roman" w:hAnsi="Times New Roman"/>
          <w:b w:val="1"/>
          <w:bCs w:val="1"/>
          <w:sz w:val="22"/>
          <w:szCs w:val="22"/>
          <w:rtl w:val="0"/>
        </w:rPr>
        <w:t xml:space="preserve">Indicadores base de los dolores críticos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dolor solo es gestionable si puede medirse antes y después de una intervención. Las Tablas 23, 24 y 25 presentan los indicadores seleccionados para monitorear los tres dolores críticos, incluyendo su definición operativa, línea base pública y fuente correspondiente. Las metas propuestas constituyen la elaboración del equipo y deberán validarse con la </w:t>
      </w:r>
      <w:commentRangeStart w:id="282"/>
      <w:r w:rsidDel="00000000" w:rsidR="00000000" w:rsidRPr="00000000">
        <w:rPr>
          <w:rFonts w:ascii="Times New Roman" w:cs="Times New Roman" w:eastAsia="Times New Roman" w:hAnsi="Times New Roman"/>
          <w:rtl w:val="0"/>
        </w:rPr>
        <w:t xml:space="preserve">entidad. Cada</w:t>
      </w:r>
      <w:commentRangeEnd w:id="282"/>
      <w:r>
        <w:rPr>
          <w:rStyle w:val="CommentReference"/>
        </w:rPr>
        <w:commentReference w:id="282"/>
      </w:r>
      <w:r w:rsidDel="00000000" w:rsidR="00000000" w:rsidRPr="00000000">
        <w:rPr>
          <w:rFonts w:ascii="Times New Roman" w:cs="Times New Roman" w:eastAsia="Times New Roman" w:hAnsi="Times New Roman"/>
          <w:rtl w:val="0"/>
        </w:rPr>
      </w:r>
      <w:commentRangeStart w:id="104"/>
      <w:r w:rsidDel="00000000" w:rsidR="00000000" w:rsidRPr="00000000">
        <w:rPr>
          <w:rFonts w:ascii="Times New Roman" w:cs="Times New Roman" w:eastAsia="Times New Roman" w:hAnsi="Times New Roman"/>
          <w:rtl w:val="0"/>
        </w:rPr>
        <w:t xml:space="preserve"> indicador consigna su línea base real con periodo de corte y fuente, y una meta cuantificada a 18 meses. Cuando la entidad no publica la cifra, </w:t>
      </w:r>
      <w:commentRangeStart w:id="224"/>
      <w:r w:rsidDel="00000000" w:rsidR="00000000" w:rsidRPr="00000000">
        <w:rPr>
          <w:rFonts w:ascii="Times New Roman" w:cs="Times New Roman" w:eastAsia="Times New Roman" w:hAnsi="Times New Roman"/>
          <w:rtl w:val="0"/>
        </w:rPr>
        <w:t xml:space="preserve">se declara la ausencia de dato público con la fórmula «NO HAY FUENTES EN INTERNET DISPONIBLES» (la misma que usa la Tabla 10), se consigna</w:t>
      </w:r>
      <w:commentRangeEnd w:id="224"/>
      <w:r>
        <w:rPr>
          <w:rStyle w:val="CommentReference"/>
        </w:rPr>
        <w:commentReference w:id="224"/>
      </w:r>
      <w:r w:rsidDel="00000000" w:rsidR="00000000" w:rsidRPr="00000000">
        <w:rPr>
          <w:rFonts w:ascii="Times New Roman" w:cs="Times New Roman" w:eastAsia="Times New Roman" w:hAnsi="Times New Roman"/>
          <w:rtl w:val="0"/>
        </w:rPr>
        <w:t xml:space="preserve"> el proxy o la cota verificable más cercana y se fija el protocolo de medición (fórmula, fuente interna, frecuencia y responsable) con una meta relativa a la línea base que se levante en los primeros 90 días.</w:t>
      </w:r>
      <w:commentRangeEnd w:id="104"/>
      <w:r>
        <w:rPr>
          <w:rStyle w:val="CommentReference"/>
          <w:rFonts w:ascii="Times New Roman" w:cs="Times New Roman" w:eastAsia="Times New Roman" w:hAnsi="Times New Roman"/>
        </w:rPr>
        <w:commentReference w:id="104"/>
      </w:r>
    </w:p>
    <w:p w:rsidR="00000000" w:rsidDel="00000000" w:rsidP="00000000" w:rsidRDefault="00000000" w:rsidRPr="00000000">
      <w:pPr>
        <w:spacing w:after="0" w:before="200" w:lineRule="auto" w:line="360"/>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Tabla 23</w:t>
      </w:r>
    </w:p>
    <w:p w:rsidR="00000000" w:rsidDel="00000000" w:rsidP="00000000" w:rsidRDefault="00000000" w:rsidRPr="00000000">
      <w:pPr>
        <w:spacing w:after="0" w:before="200" w:lineRule="auto" w:line="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DC1: originación de crédito Pyme</w:t>
      </w:r>
      <w:r w:rsidDel="00000000" w:rsidR="00000000" w:rsidRPr="00000000">
        <w:rPr>
          <w:rFonts w:ascii="Times New Roman" w:cs="Times New Roman" w:eastAsia="Times New Roman" w:hAnsi="Times New Roman"/>
          <w:rtl w:val="0"/>
        </w:rPr>
      </w:r>
    </w:p>
    <w:tbl>
      <w:tblPr>
        <w:tblStyle w:val="Table23"/>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2900"/>
        <w:gridCol w:w="2326"/>
        <w:tblGridChange w:id="0">
          <w:tblGrid>
            <w:gridCol w:w="1900"/>
            <w:gridCol w:w="2400"/>
            <w:gridCol w:w="31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originación digital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Colocaciones Pyme originadas íntegramente por canal digital sobre el total de colocaciones del segmento.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33 % (un tercio de las colocaciones). Fuente: Reusche (2026).</w:t>
            </w:r>
            <w:r w:rsidDel="00000000" w:rsidR="00000000" w:rsidRPr="00000000">
              <w:rPr>
                <w:rFonts w:ascii="Times New Roman" w:cs="Times New Roman" w:eastAsia="Times New Roman" w:hAnsi="Times New Roman"/>
                <w:rtl w:val="0"/>
              </w:rPr>
            </w:r>
            <w:commentRangeStart w:id="105"/>
            <w:r w:rsidDel="00000000" w:rsidR="00000000" w:rsidRPr="00000000">
              <w:rPr>
                <w:rFonts w:ascii="Times New Roman" w:cs="Times New Roman" w:eastAsia="Times New Roman" w:hAnsi="Times New Roman"/>
                <w:i w:val="0"/>
                <w:iCs w:val="0"/>
                <w:rtl w:val="0"/>
              </w:rPr>
              <w:t xml:space="preserve"> Tendencia: aproximadamente 30 % al cierre de 2025 (</w:t>
            </w:r>
            <w:commentRangeStart w:id="201"/>
            <w:r w:rsidDel="00000000" w:rsidR="00000000" w:rsidRPr="00000000">
              <w:rPr>
                <w:rFonts w:ascii="Times New Roman" w:cs="Times New Roman" w:eastAsia="Times New Roman" w:hAnsi="Times New Roman"/>
                <w:i w:val="0"/>
                <w:iCs w:val="0"/>
                <w:rtl w:val="0"/>
              </w:rPr>
              <w:t xml:space="preserve">BBVA, 2026e</w:t>
            </w:r>
            <w:commentRangeEnd w:id="201"/>
            <w:r>
              <w:rPr>
                <w:rStyle w:val="CommentReference"/>
              </w:rPr>
              <w:commentReference w:id="201"/>
            </w:r>
            <w:r w:rsidDel="00000000" w:rsidR="00000000" w:rsidRPr="00000000">
              <w:rPr>
                <w:rFonts w:ascii="Times New Roman" w:cs="Times New Roman" w:eastAsia="Times New Roman" w:hAnsi="Times New Roman"/>
                <w:i w:val="0"/>
                <w:iCs w:val="0"/>
                <w:rtl w:val="0"/>
              </w:rPr>
              <w:t xml:space="preserve">), es decir, unos 3 puntos en el semestre.</w:t>
            </w:r>
            <w:commentRangeEnd w:id="105"/>
            <w:r>
              <w:rPr>
                <w:rStyle w:val="CommentReference"/>
                <w:rFonts w:ascii="Times New Roman" w:cs="Times New Roman" w:eastAsia="Times New Roman" w:hAnsi="Times New Roman"/>
              </w:rPr>
              <w:commentReference w:id="105"/>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06"/>
            <w:r w:rsidDel="00000000" w:rsidR="00000000" w:rsidRPr="00000000">
              <w:rPr>
                <w:rFonts w:ascii="Times New Roman" w:cs="Times New Roman" w:eastAsia="Times New Roman" w:hAnsi="Times New Roman"/>
                <w:i w:val="0"/>
                <w:iCs w:val="0"/>
                <w:rtl w:val="0"/>
              </w:rPr>
              <w:t xml:space="preserve">60 % en dieciocho meses (+27 puntos). Exige un ritmo cercano a 18 puntos por año, frente a unos 6 observados entre el cierre de 2025 y el 2T2026 (estimación gruesa, porque ambas cifras son aproximadas).</w:t>
            </w:r>
            <w:commentRangeEnd w:id="106"/>
            <w:r>
              <w:rPr>
                <w:rStyle w:val="CommentReference"/>
                <w:rFonts w:ascii="Times New Roman" w:cs="Times New Roman" w:eastAsia="Times New Roman" w:hAnsi="Times New Roman"/>
              </w:rPr>
              <w:commentReference w:id="106"/>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Tiempo de ciclo del crédito digital Pyme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desde la solicitud hasta la aprobación del crédito digital.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minutos promedio al cierre del 2T2026. Fuente: Reusche </w:t>
            </w:r>
            <w:commentRangeStart w:id="283"/>
            <w:r w:rsidDel="00000000" w:rsidR="00000000" w:rsidRPr="00000000">
              <w:rPr>
                <w:rFonts w:ascii="Times New Roman" w:cs="Times New Roman" w:eastAsia="Times New Roman" w:hAnsi="Times New Roman"/>
                <w:rtl w:val="0"/>
              </w:rPr>
              <w:t xml:space="preserve">(2026). La contratación</w:t>
            </w:r>
            <w:commentRangeEnd w:id="283"/>
            <w:r>
              <w:rPr>
                <w:rStyle w:val="CommentReference"/>
              </w:rPr>
              <w:commentReference w:id="283"/>
            </w:r>
            <w:commentRangeStart w:id="107"/>
            <w:r w:rsidDel="00000000" w:rsidR="00000000" w:rsidRPr="00000000">
              <w:rPr>
                <w:rFonts w:ascii="Times New Roman" w:cs="Times New Roman" w:eastAsia="Times New Roman" w:hAnsi="Times New Roman"/>
                <w:rtl w:val="0"/>
              </w:rPr>
              <w:t xml:space="preserve"> del Préstamo Digital Negocio se declara en menos de 2 minutos (Banco BBVA Perú, s. f.-c).</w:t>
            </w:r>
            <w:commentRangeEnd w:id="107"/>
            <w:r>
              <w:rPr>
                <w:rStyle w:val="CommentReference"/>
                <w:rFonts w:ascii="Times New Roman" w:cs="Times New Roman" w:eastAsia="Times New Roman" w:hAnsi="Times New Roman"/>
              </w:rPr>
              <w:commentReference w:id="107"/>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en tres minutos o menos. </w:t>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Tiempo de ciclo de la ruta asistida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Tiempo desde la solicitud hasta la aprobación en canal asistido.</w:t>
            </w:r>
            <w:r w:rsidDel="00000000" w:rsidR="00000000" w:rsidRPr="00000000">
              <w:rPr>
                <w:rFonts w:ascii="Times New Roman" w:cs="Times New Roman" w:eastAsia="Times New Roman" w:hAnsi="Times New Roman"/>
                <w:rtl w:val="0"/>
              </w:rPr>
            </w:r>
            <w:commentRangeStart w:id="108"/>
            <w:r w:rsidDel="00000000" w:rsidR="00000000" w:rsidRPr="00000000">
              <w:rPr>
                <w:rFonts w:ascii="Times New Roman" w:cs="Times New Roman" w:eastAsia="Times New Roman" w:hAnsi="Times New Roman"/>
                <w:i w:val="0"/>
                <w:iCs w:val="0"/>
                <w:rtl w:val="0"/>
              </w:rPr>
              <w:t xml:space="preserve"> Medición: marca de tiempo de solicitud y de aprobación en el sistema de originación; mediana y percentil 90; frecuencia mensual; responsable: Banca Pyme.</w:t>
            </w:r>
            <w:commentRangeEnd w:id="108"/>
            <w:r>
              <w:rPr>
                <w:rStyle w:val="CommentReference"/>
                <w:rFonts w:ascii="Times New Roman" w:cs="Times New Roman" w:eastAsia="Times New Roman" w:hAnsi="Times New Roman"/>
              </w:rPr>
              <w:commentReference w:id="108"/>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09"/>
            <w:commentRangeStart w:id="214"/>
            <w:r w:rsidDel="00000000" w:rsidR="00000000" w:rsidRPr="00000000">
              <w:rPr>
                <w:rFonts w:ascii="Times New Roman" w:cs="Times New Roman" w:eastAsia="Times New Roman" w:hAnsi="Times New Roman"/>
                <w:rtl w:val="0"/>
              </w:rPr>
              <w:t xml:space="preserve">NO HAY FUENTES EN INTERNET DISPONIBLES.</w:t>
            </w:r>
            <w:commentRangeEnd w:id="214"/>
            <w:r>
              <w:rPr>
                <w:rStyle w:val="CommentReference"/>
              </w:rPr>
              <w:commentReference w:id="214"/>
            </w:r>
            <w:r w:rsidDel="00000000" w:rsidR="00000000" w:rsidRPr="00000000">
              <w:rPr>
                <w:rFonts w:ascii="Times New Roman" w:cs="Times New Roman" w:eastAsia="Times New Roman" w:hAnsi="Times New Roman"/>
                <w:rtl w:val="0"/>
              </w:rPr>
              <w:t xml:space="preserve"> Cota inferior verificable: la ruta digital se resuelve en 3 minutos (Reusche, 2026), de modo que la ruta asistida, que exige documentación financiera no estructurada (Melo, 2026), tarda más de 3 minutos. Línea base a levantar en los primeros 90 días.</w:t>
            </w:r>
            <w:commentRangeEnd w:id="109"/>
            <w:r>
              <w:rPr>
                <w:rStyle w:val="CommentReference"/>
                <w:rFonts w:ascii="Times New Roman" w:cs="Times New Roman" w:eastAsia="Times New Roman" w:hAnsi="Times New Roman"/>
              </w:rPr>
              <w:commentReference w:id="109"/>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0"/>
            <w:r w:rsidDel="00000000" w:rsidR="00000000" w:rsidRPr="00000000">
              <w:rPr>
                <w:rFonts w:ascii="Times New Roman" w:cs="Times New Roman" w:eastAsia="Times New Roman" w:hAnsi="Times New Roman"/>
                <w:i w:val="0"/>
                <w:iCs w:val="0"/>
                <w:rtl w:val="0"/>
              </w:rPr>
              <w:t xml:space="preserve">Reducir 30 % la mediana respecto de la línea base levantada, a 18 meses (propuesta del equipo).</w:t>
            </w:r>
            <w:commentRangeEnd w:id="110"/>
            <w:r>
              <w:rPr>
                <w:rStyle w:val="CommentReference"/>
                <w:rFonts w:ascii="Times New Roman" w:cs="Times New Roman" w:eastAsia="Times New Roman" w:hAnsi="Times New Roman"/>
              </w:rPr>
              <w:commentReference w:id="11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Costo unitario de originación por canal</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Costo total del proceso dividido entre el número de créditos originados en cada canal.</w:t>
            </w:r>
            <w:r w:rsidDel="00000000" w:rsidR="00000000" w:rsidRPr="00000000">
              <w:rPr>
                <w:rFonts w:ascii="Times New Roman" w:cs="Times New Roman" w:eastAsia="Times New Roman" w:hAnsi="Times New Roman"/>
                <w:rtl w:val="0"/>
              </w:rPr>
            </w:r>
            <w:commentRangeStart w:id="111"/>
            <w:r w:rsidDel="00000000" w:rsidR="00000000" w:rsidRPr="00000000">
              <w:rPr>
                <w:rFonts w:ascii="Times New Roman" w:cs="Times New Roman" w:eastAsia="Times New Roman" w:hAnsi="Times New Roman"/>
                <w:i w:val="0"/>
                <w:iCs w:val="0"/>
                <w:rtl w:val="0"/>
              </w:rPr>
              <w:t xml:space="preserve"> Medición: costo total del proceso (personal, tecnología y soporte) entre créditos desembolsados por canal; frecuencia trimestral; responsable: Finanzas.</w:t>
            </w:r>
            <w:commentRangeEnd w:id="111"/>
            <w:r>
              <w:rPr>
                <w:rStyle w:val="CommentReference"/>
                <w:rFonts w:ascii="Times New Roman" w:cs="Times New Roman" w:eastAsia="Times New Roman" w:hAnsi="Times New Roman"/>
              </w:rPr>
              <w:commentReference w:id="111"/>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2"/>
            <w:commentRangeStart w:id="215"/>
            <w:r w:rsidDel="00000000" w:rsidR="00000000" w:rsidRPr="00000000">
              <w:rPr>
                <w:rFonts w:ascii="Times New Roman" w:cs="Times New Roman" w:eastAsia="Times New Roman" w:hAnsi="Times New Roman"/>
                <w:rtl w:val="0"/>
              </w:rPr>
              <w:t xml:space="preserve">NO HAY FUENTES EN INTERNET DISPONIBLES.</w:t>
            </w:r>
            <w:commentRangeEnd w:id="215"/>
            <w:r>
              <w:rPr>
                <w:rStyle w:val="CommentReference"/>
              </w:rPr>
              <w:commentReference w:id="215"/>
            </w:r>
            <w:r w:rsidDel="00000000" w:rsidR="00000000" w:rsidRPr="00000000">
              <w:rPr>
                <w:rFonts w:ascii="Times New Roman" w:cs="Times New Roman" w:eastAsia="Times New Roman" w:hAnsi="Times New Roman"/>
                <w:rtl w:val="0"/>
              </w:rPr>
              <w:t xml:space="preserve"> Proxy institucional: ratio de eficiencia de 40.0 % al 2T2026 (Banco BBVA Perú, 2026a), que no distingue canal ni segmento. Línea base a levantar en los primeros 90 días.</w:t>
            </w:r>
            <w:commentRangeEnd w:id="112"/>
            <w:r>
              <w:rPr>
                <w:rStyle w:val="CommentReference"/>
                <w:rFonts w:ascii="Times New Roman" w:cs="Times New Roman" w:eastAsia="Times New Roman" w:hAnsi="Times New Roman"/>
              </w:rPr>
              <w:commentReference w:id="112"/>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3"/>
            <w:r w:rsidDel="00000000" w:rsidR="00000000" w:rsidRPr="00000000">
              <w:rPr>
                <w:rFonts w:ascii="Times New Roman" w:cs="Times New Roman" w:eastAsia="Times New Roman" w:hAnsi="Times New Roman"/>
                <w:i w:val="0"/>
                <w:iCs w:val="0"/>
                <w:rtl w:val="0"/>
              </w:rPr>
              <w:t xml:space="preserve">Reducir 20 % el costo unitario promedio ponderado del segmento a 18 meses (propuesta del equipo), con ratio de eficiencia institucional ≤ 40.0 %.</w:t>
            </w:r>
            <w:commentRangeEnd w:id="113"/>
            <w:r>
              <w:rPr>
                <w:rStyle w:val="CommentReference"/>
                <w:rFonts w:ascii="Times New Roman" w:cs="Times New Roman" w:eastAsia="Times New Roman" w:hAnsi="Times New Roman"/>
              </w:rPr>
              <w:commentReference w:id="113"/>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Transaccionalidad digital del portafolio Pyme</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Portafolio Pyme que transacciona por canales digitales sobre el total del segmento.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 al cierre del 2T2026. Fuente: Reusche (2026).</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85 % en doce meses.</w:t>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Clientes Pyme digitales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Pyme que operan por canales digitales sobre el total de clientes del segmento.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 al cierre de 2025. Fuente: BBVA (2026b).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85 % en dieciocho meses. </w:t>
            </w:r>
            <w:r w:rsidDel="00000000" w:rsidR="00000000" w:rsidRPr="00000000">
              <w:rPr>
                <w:rFonts w:ascii="Times New Roman" w:cs="Times New Roman" w:eastAsia="Times New Roman" w:hAnsi="Times New Roman"/>
                <w:rtl w:val="0"/>
              </w:rPr>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NPS del segmento Pyme</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Índice de recomendación neta del segmento.</w:t>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4"/>
            <w:r w:rsidDel="00000000" w:rsidR="00000000" w:rsidRPr="00000000">
              <w:rPr>
                <w:rFonts w:ascii="Times New Roman" w:cs="Times New Roman" w:eastAsia="Times New Roman" w:hAnsi="Times New Roman"/>
                <w:i w:val="0"/>
                <w:iCs w:val="0"/>
                <w:rtl w:val="0"/>
              </w:rPr>
              <w:t xml:space="preserve">33.6 en 2025, frente a 52.57 en retail: brecha de 18.97 puntos. Fuente: Banco BBVA Perú (2026b, p. 26).</w:t>
            </w:r>
            <w:commentRangeEnd w:id="114"/>
            <w:r>
              <w:rPr>
                <w:rStyle w:val="CommentReference"/>
                <w:rFonts w:ascii="Times New Roman" w:cs="Times New Roman" w:eastAsia="Times New Roman" w:hAnsi="Times New Roman"/>
              </w:rPr>
              <w:commentReference w:id="114"/>
            </w:r>
            <w:r w:rsidDel="00000000" w:rsidR="00000000" w:rsidRPr="00000000">
              <w:rPr>
                <w:rFonts w:ascii="Times New Roman" w:cs="Times New Roman" w:eastAsia="Times New Roman" w:hAnsi="Times New Roman"/>
                <w:rtl w:val="0"/>
              </w:rPr>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5"/>
            <w:r w:rsidDel="00000000" w:rsidR="00000000" w:rsidRPr="00000000">
              <w:rPr>
                <w:rFonts w:ascii="Times New Roman" w:cs="Times New Roman" w:eastAsia="Times New Roman" w:hAnsi="Times New Roman"/>
                <w:i w:val="0"/>
                <w:iCs w:val="0"/>
                <w:rtl w:val="0"/>
              </w:rPr>
              <w:t xml:space="preserve">NPS Pyme ≥ 43.0 a 18 meses (brecha con retail ≤ 9.6 puntos, cerca de la mitad de la actual), coherente con la meta del OE1 en la </w:t>
            </w:r>
            <w:commentRangeStart w:id="164"/>
            <w:r w:rsidDel="00000000" w:rsidR="00000000" w:rsidRPr="00000000">
              <w:rPr>
                <w:rFonts w:ascii="Times New Roman" w:cs="Times New Roman" w:eastAsia="Times New Roman" w:hAnsi="Times New Roman"/>
                <w:i w:val="0"/>
                <w:iCs w:val="0"/>
                <w:rtl w:val="0"/>
              </w:rPr>
              <w:t xml:space="preserve">Tabla 10 (sección 2.1)</w:t>
            </w:r>
            <w:commentRangeEnd w:id="164"/>
            <w:r>
              <w:rPr>
                <w:rStyle w:val="CommentReference"/>
              </w:rPr>
              <w:commentReference w:id="164"/>
            </w:r>
            <w:r w:rsidDel="00000000" w:rsidR="00000000" w:rsidRPr="00000000">
              <w:rPr>
                <w:rFonts w:ascii="Times New Roman" w:cs="Times New Roman" w:eastAsia="Times New Roman" w:hAnsi="Times New Roman"/>
                <w:i w:val="0"/>
                <w:iCs w:val="0"/>
                <w:rtl w:val="0"/>
              </w:rPr>
              <w:t xml:space="preserve">.</w:t>
            </w:r>
            <w:commentRangeEnd w:id="115"/>
            <w:r>
              <w:rPr>
                <w:rStyle w:val="CommentReference"/>
                <w:rFonts w:ascii="Times New Roman" w:cs="Times New Roman" w:eastAsia="Times New Roman" w:hAnsi="Times New Roman"/>
              </w:rPr>
              <w:commentReference w:id="115"/>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aprobación de solicitudes Pyme</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Solicitudes aprobadas sobre solicitudes presentadas.</w:t>
            </w:r>
            <w:r w:rsidDel="00000000" w:rsidR="00000000" w:rsidRPr="00000000">
              <w:rPr>
                <w:rFonts w:ascii="Times New Roman" w:cs="Times New Roman" w:eastAsia="Times New Roman" w:hAnsi="Times New Roman"/>
                <w:rtl w:val="0"/>
              </w:rPr>
            </w:r>
            <w:commentRangeStart w:id="116"/>
            <w:r w:rsidDel="00000000" w:rsidR="00000000" w:rsidRPr="00000000">
              <w:rPr>
                <w:rFonts w:ascii="Times New Roman" w:cs="Times New Roman" w:eastAsia="Times New Roman" w:hAnsi="Times New Roman"/>
                <w:i w:val="0"/>
                <w:iCs w:val="0"/>
                <w:rtl w:val="0"/>
              </w:rPr>
              <w:t xml:space="preserve"> Medición: solicitudes aprobadas sobre presentadas por canal; frecuencia mensual; responsable: Riesgos Pyme.</w:t>
            </w:r>
            <w:commentRangeEnd w:id="116"/>
            <w:r>
              <w:rPr>
                <w:rStyle w:val="CommentReference"/>
                <w:rFonts w:ascii="Times New Roman" w:cs="Times New Roman" w:eastAsia="Times New Roman" w:hAnsi="Times New Roman"/>
              </w:rPr>
              <w:commentReference w:id="116"/>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7"/>
            <w:commentRangeStart w:id="216"/>
            <w:r w:rsidDel="00000000" w:rsidR="00000000" w:rsidRPr="00000000">
              <w:rPr>
                <w:rFonts w:ascii="Times New Roman" w:cs="Times New Roman" w:eastAsia="Times New Roman" w:hAnsi="Times New Roman"/>
                <w:rtl w:val="0"/>
              </w:rPr>
              <w:t xml:space="preserve">NO HAY FUENTES EN INTERNET DISPONIBLES.</w:t>
            </w:r>
            <w:commentRangeEnd w:id="216"/>
            <w:r>
              <w:rPr>
                <w:rStyle w:val="CommentReference"/>
              </w:rPr>
              <w:commentReference w:id="216"/>
            </w:r>
            <w:r w:rsidDel="00000000" w:rsidR="00000000" w:rsidRPr="00000000">
              <w:rPr>
                <w:rFonts w:ascii="Times New Roman" w:cs="Times New Roman" w:eastAsia="Times New Roman" w:hAnsi="Times New Roman"/>
                <w:rtl w:val="0"/>
              </w:rPr>
              <w:t xml:space="preserve"> Referencia sectorial, no comparable de forma directa: una de cada cuatro microempresas accede a crédito (Melo, 2026). Línea base a levantar en los primeros 90 días.</w:t>
            </w:r>
            <w:commentRangeEnd w:id="117"/>
            <w:r>
              <w:rPr>
                <w:rStyle w:val="CommentReference"/>
                <w:rFonts w:ascii="Times New Roman" w:cs="Times New Roman" w:eastAsia="Times New Roman" w:hAnsi="Times New Roman"/>
              </w:rPr>
              <w:commentReference w:id="117"/>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8"/>
            <w:r w:rsidDel="00000000" w:rsidR="00000000" w:rsidRPr="00000000">
              <w:rPr>
                <w:rFonts w:ascii="Times New Roman" w:cs="Times New Roman" w:eastAsia="Times New Roman" w:hAnsi="Times New Roman"/>
                <w:i w:val="0"/>
                <w:iCs w:val="0"/>
                <w:rtl w:val="0"/>
              </w:rPr>
              <w:t xml:space="preserve">Elevar 5 puntos porcentuales la tasa de la ruta digital respecto de la línea base levantada, sin superar la mora de 2.69 % (propuesta del equipo).</w:t>
            </w:r>
            <w:commentRangeEnd w:id="118"/>
            <w:r>
              <w:rPr>
                <w:rStyle w:val="CommentReference"/>
                <w:rFonts w:ascii="Times New Roman" w:cs="Times New Roman" w:eastAsia="Times New Roman" w:hAnsi="Times New Roman"/>
              </w:rPr>
              <w:commentReference w:id="118"/>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19"/>
            <w:r w:rsidDel="00000000" w:rsidR="00000000" w:rsidRPr="00000000">
              <w:rPr>
                <w:rFonts w:ascii="Times New Roman" w:cs="Times New Roman" w:eastAsia="Times New Roman" w:hAnsi="Times New Roman"/>
                <w:b w:val="1"/>
                <w:bCs w:val="1"/>
                <w:i w:val="0"/>
                <w:iCs w:val="0"/>
                <w:rtl w:val="0"/>
              </w:rPr>
              <w:t xml:space="preserve">Principalidad de clientes Pyme</w:t>
            </w:r>
            <w:commentRangeEnd w:id="119"/>
            <w:r>
              <w:rPr>
                <w:rStyle w:val="CommentReference"/>
                <w:rFonts w:ascii="Times New Roman" w:cs="Times New Roman" w:eastAsia="Times New Roman" w:hAnsi="Times New Roman"/>
              </w:rPr>
              <w:commentReference w:id="119"/>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0"/>
            <w:r w:rsidDel="00000000" w:rsidR="00000000" w:rsidRPr="00000000">
              <w:rPr>
                <w:rFonts w:ascii="Times New Roman" w:cs="Times New Roman" w:eastAsia="Times New Roman" w:hAnsi="Times New Roman"/>
                <w:i w:val="0"/>
                <w:iCs w:val="0"/>
                <w:rtl w:val="0"/>
              </w:rPr>
              <w:t xml:space="preserve">Clientes Pyme que manejan de forma principal sus cuentas corrientes y de ahorro transaccionales en la entidad sobre el total de clientes del segmento.</w:t>
            </w:r>
            <w:commentRangeEnd w:id="120"/>
            <w:r>
              <w:rPr>
                <w:rStyle w:val="CommentReference"/>
                <w:rFonts w:ascii="Times New Roman" w:cs="Times New Roman" w:eastAsia="Times New Roman" w:hAnsi="Times New Roman"/>
              </w:rPr>
              <w:commentReference w:id="120"/>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1"/>
            <w:r w:rsidDel="00000000" w:rsidR="00000000" w:rsidRPr="00000000">
              <w:rPr>
                <w:rFonts w:ascii="Times New Roman" w:cs="Times New Roman" w:eastAsia="Times New Roman" w:hAnsi="Times New Roman"/>
                <w:rtl w:val="0"/>
              </w:rPr>
              <w:t xml:space="preserve">48 % al 2T2026. Fuente: Reusche (2026).</w:t>
            </w:r>
            <w:commentRangeEnd w:id="121"/>
            <w:r>
              <w:rPr>
                <w:rStyle w:val="CommentReference"/>
                <w:rFonts w:ascii="Times New Roman" w:cs="Times New Roman" w:eastAsia="Times New Roman" w:hAnsi="Times New Roman"/>
              </w:rPr>
              <w:commentReference w:id="121"/>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2"/>
            <w:r w:rsidDel="00000000" w:rsidR="00000000" w:rsidRPr="00000000">
              <w:rPr>
                <w:rFonts w:ascii="Times New Roman" w:cs="Times New Roman" w:eastAsia="Times New Roman" w:hAnsi="Times New Roman"/>
                <w:i w:val="0"/>
                <w:iCs w:val="0"/>
                <w:rtl w:val="0"/>
              </w:rPr>
              <w:t xml:space="preserve">55 % en dieciocho meses (+7 puntos; propuesta del equipo).</w:t>
            </w:r>
            <w:commentRangeEnd w:id="122"/>
            <w:r>
              <w:rPr>
                <w:rStyle w:val="CommentReference"/>
                <w:rFonts w:ascii="Times New Roman" w:cs="Times New Roman" w:eastAsia="Times New Roman" w:hAnsi="Times New Roman"/>
              </w:rPr>
              <w:commentReference w:id="122"/>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3"/>
            <w:r w:rsidDel="00000000" w:rsidR="00000000" w:rsidRPr="00000000">
              <w:rPr>
                <w:rFonts w:ascii="Times New Roman" w:cs="Times New Roman" w:eastAsia="Times New Roman" w:hAnsi="Times New Roman"/>
                <w:b w:val="1"/>
                <w:bCs w:val="1"/>
                <w:i w:val="0"/>
                <w:iCs w:val="0"/>
                <w:rtl w:val="0"/>
              </w:rPr>
              <w:t xml:space="preserve">Calidad de cartera (límite de control del crecimiento digital)</w:t>
            </w:r>
            <w:commentRangeEnd w:id="123"/>
            <w:r>
              <w:rPr>
                <w:rStyle w:val="CommentReference"/>
                <w:rFonts w:ascii="Times New Roman" w:cs="Times New Roman" w:eastAsia="Times New Roman" w:hAnsi="Times New Roman"/>
              </w:rPr>
              <w:commentReference w:id="123"/>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4"/>
            <w:r w:rsidDel="00000000" w:rsidR="00000000" w:rsidRPr="00000000">
              <w:rPr>
                <w:rFonts w:ascii="Times New Roman" w:cs="Times New Roman" w:eastAsia="Times New Roman" w:hAnsi="Times New Roman"/>
                <w:i w:val="0"/>
                <w:iCs w:val="0"/>
                <w:rtl w:val="0"/>
              </w:rPr>
              <w:t xml:space="preserve">Ratio de mora de la entidad, para verificar que la ampliación de la originación digital no deteriore la calidad de cartera.</w:t>
            </w:r>
            <w:commentRangeEnd w:id="124"/>
            <w:r>
              <w:rPr>
                <w:rStyle w:val="CommentReference"/>
                <w:rFonts w:ascii="Times New Roman" w:cs="Times New Roman" w:eastAsia="Times New Roman" w:hAnsi="Times New Roman"/>
              </w:rPr>
              <w:commentReference w:id="124"/>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5"/>
            <w:r w:rsidDel="00000000" w:rsidR="00000000" w:rsidRPr="00000000">
              <w:rPr>
                <w:rFonts w:ascii="Times New Roman" w:cs="Times New Roman" w:eastAsia="Times New Roman" w:hAnsi="Times New Roman"/>
                <w:rtl w:val="0"/>
              </w:rPr>
              <w:t xml:space="preserve">2.69 % al 2T2026, frente a 2.83 % del sistema bancario a mayo de 2026 (Banco BBVA Perú, 2026a, pp. 17 y 24). Referencia sectorial: morosidad MYPE de 6.9 % frente a 3.3 % del sistema financiero a marzo de 2026 (Salazar Herrada, 2026).</w:t>
            </w:r>
            <w:commentRangeEnd w:id="125"/>
            <w:r>
              <w:rPr>
                <w:rStyle w:val="CommentReference"/>
                <w:rFonts w:ascii="Times New Roman" w:cs="Times New Roman" w:eastAsia="Times New Roman" w:hAnsi="Times New Roman"/>
              </w:rPr>
              <w:commentReference w:id="125"/>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6"/>
            <w:r w:rsidDel="00000000" w:rsidR="00000000" w:rsidRPr="00000000">
              <w:rPr>
                <w:rFonts w:ascii="Times New Roman" w:cs="Times New Roman" w:eastAsia="Times New Roman" w:hAnsi="Times New Roman"/>
                <w:i w:val="0"/>
                <w:iCs w:val="0"/>
                <w:rtl w:val="0"/>
              </w:rPr>
              <w:t xml:space="preserve">Mantener la mora ≤ 2.69 % mientras la originación digital pasa a 60 % (propuesta del equipo).</w:t>
            </w:r>
            <w:commentRangeEnd w:id="126"/>
            <w:r>
              <w:rPr>
                <w:rStyle w:val="CommentReference"/>
                <w:rFonts w:ascii="Times New Roman" w:cs="Times New Roman" w:eastAsia="Times New Roman" w:hAnsi="Times New Roman"/>
              </w:rPr>
              <w:commentReference w:id="126"/>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Reusche (2026), Banco BBVA Perú (2026b) y Melo (2026). Las metas propuestas corresponden al equipo y no constituyen compromisos declarados por la entidad.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24</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DC2: operaciones no reconocidas</w:t>
      </w:r>
      <w:r w:rsidDel="00000000" w:rsidR="00000000" w:rsidRPr="00000000">
        <w:rPr>
          <w:rFonts w:ascii="Times New Roman" w:cs="Times New Roman" w:eastAsia="Times New Roman" w:hAnsi="Times New Roman"/>
          <w:rtl w:val="0"/>
        </w:rPr>
      </w:r>
    </w:p>
    <w:tbl>
      <w:tblPr>
        <w:tblStyle w:val="Table24"/>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200"/>
        <w:gridCol w:w="2200"/>
        <w:gridCol w:w="2535"/>
        <w:gridCol w:w="1291"/>
        <w:gridCol w:w="1800"/>
        <w:tblGridChange w:id="0">
          <w:tblGrid>
            <w:gridCol w:w="1200"/>
            <w:gridCol w:w="2640"/>
            <w:gridCol w:w="2535"/>
            <w:gridCol w:w="1425"/>
            <w:gridCol w:w="1245"/>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b w:val="1"/>
                <w:bCs w:val="1"/>
                <w:i w:val="0"/>
                <w:iCs w:val="0"/>
                <w:color w:val="ffffff"/>
              </w:rPr>
            </w:pPr>
            <w:r w:rsidDel="00000000" w:rsidR="00000000" w:rsidRPr="00000000">
              <w:rPr>
                <w:rFonts w:ascii="Times New Roman" w:cs="Times New Roman" w:eastAsia="Times New Roman" w:hAnsi="Times New Roman"/>
                <w:b w:val="1"/>
                <w:bCs w:val="1"/>
                <w:color w:val="ffffff"/>
                <w:rtl w:val="0"/>
              </w:rPr>
              <w:t xml:space="preserve">Referencia comparativa </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promedio de absolución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ponderado de absolución de reclamos por operaciones no reconocidas sin abono temporal en los tres productos donde la entidad difunde esta materia.</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11.29 en el 2T2026. Cálculo propio con base en Banco BBVA Perú (2026c, 2026d, 2026e).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 para el conjunto de reclamos absueltos por la entidad en el mismo periodo.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7"/>
            <w:commentRangeStart w:id="198"/>
            <w:r w:rsidDel="00000000" w:rsidR="00000000" w:rsidRPr="00000000">
              <w:rPr>
                <w:rFonts w:ascii="Times New Roman" w:cs="Times New Roman" w:eastAsia="Times New Roman" w:hAnsi="Times New Roman"/>
                <w:rtl w:val="0"/>
              </w:rPr>
              <w:t xml:space="preserve">Razón ≤ 1.0 frente al promedio general de la entidad (1.41 en el 2T2026, es decir, 11.29 contra 8.02 días), en dieciocho meses. Se expresa como razón y no como cifra absoluta de días porque ambos promedios varían entre periodos (propuesta del equipo).</w:t>
            </w:r>
            <w:commentRangeEnd w:id="198"/>
            <w:r>
              <w:rPr>
                <w:rStyle w:val="CommentReference"/>
              </w:rPr>
              <w:commentReference w:id="198"/>
            </w:r>
            <w:commentRangeEnd w:id="127"/>
            <w:r>
              <w:rPr>
                <w:rStyle w:val="CommentReference"/>
                <w:rFonts w:ascii="Times New Roman" w:cs="Times New Roman" w:eastAsia="Times New Roman" w:hAnsi="Times New Roman"/>
              </w:rPr>
              <w:commentReference w:id="127"/>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Tasa de resolución a favor del usuario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resueltos a favor del usuario sobre el total de reclamos absueltos de la materia.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21.63 %, equivalente a 3,019 de 13,959 reclamos absueltos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29.43 % para el conjunto de reclamos absueltos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8"/>
            <w:commentRangeStart w:id="200"/>
            <w:r w:rsidDel="00000000" w:rsidR="00000000" w:rsidRPr="00000000">
              <w:rPr>
                <w:rFonts w:ascii="Times New Roman" w:cs="Times New Roman" w:eastAsia="Times New Roman" w:hAnsi="Times New Roman"/>
                <w:rtl w:val="0"/>
              </w:rPr>
              <w:t xml:space="preserve">Indicador de seguimiento: se registra cada trimestre, sin banda ni meta, porque una tasa mayor o menor a favor del usuario no implica por sí sola una mejora del proceso.</w:t>
            </w:r>
            <w:commentRangeEnd w:id="200"/>
            <w:r>
              <w:rPr>
                <w:rStyle w:val="CommentReference"/>
              </w:rPr>
              <w:commentReference w:id="200"/>
            </w:r>
            <w:commentRangeEnd w:id="128"/>
            <w:r>
              <w:rPr>
                <w:rStyle w:val="CommentReference"/>
                <w:rFonts w:ascii="Times New Roman" w:cs="Times New Roman" w:eastAsia="Times New Roman" w:hAnsi="Times New Roman"/>
              </w:rPr>
              <w:commentReference w:id="128"/>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Incidencia de reclamos de la materia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absueltos de la materia por cada cien mil operaciones del periodo.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 por cada cien mil operaciones, sobre 460,998,733 operaciones en el 2T2026. Misma fuente.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15.17 por cada cien mil considerando todos los reclamos absueltos.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29"/>
            <w:r w:rsidDel="00000000" w:rsidR="00000000" w:rsidRPr="00000000">
              <w:rPr>
                <w:rFonts w:ascii="Times New Roman" w:cs="Times New Roman" w:eastAsia="Times New Roman" w:hAnsi="Times New Roman"/>
                <w:rtl w:val="0"/>
              </w:rPr>
              <w:t xml:space="preserve">≤ 2.42 por cada cien mil operaciones (−20 %) en dieciocho meses (propuesta del equipo).</w:t>
            </w:r>
            <w:commentRangeEnd w:id="129"/>
            <w:r>
              <w:rPr>
                <w:rStyle w:val="CommentReference"/>
                <w:rFonts w:ascii="Times New Roman" w:cs="Times New Roman" w:eastAsia="Times New Roman" w:hAnsi="Times New Roman"/>
              </w:rPr>
              <w:commentReference w:id="129"/>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Volumen absuelto de la materia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absueltos en el periodo.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13,959 en el 2T2026. Misma fuente.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69,939 reclamos absueltos en total por la entidad.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0"/>
            <w:r w:rsidDel="00000000" w:rsidR="00000000" w:rsidRPr="00000000">
              <w:rPr>
                <w:rFonts w:ascii="Times New Roman" w:cs="Times New Roman" w:eastAsia="Times New Roman" w:hAnsi="Times New Roman"/>
                <w:rtl w:val="0"/>
              </w:rPr>
              <w:t xml:space="preserve">≤ 11,200 reclamos por trimestre (−20 %), a volumen de operaciones constante, en dieciocho meses (propuesta del equipo).</w:t>
            </w:r>
            <w:commentRangeEnd w:id="130"/>
            <w:r>
              <w:rPr>
                <w:rStyle w:val="CommentReference"/>
                <w:rFonts w:ascii="Times New Roman" w:cs="Times New Roman" w:eastAsia="Times New Roman" w:hAnsi="Times New Roman"/>
              </w:rPr>
              <w:commentReference w:id="130"/>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Cumplimiento del plazo regulatorio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de la materia resueltos dentro de los quince días hábiles, sobre el total de reclamos de </w:t>
            </w:r>
            <w:commentRangeStart w:id="284"/>
            <w:r w:rsidDel="00000000" w:rsidR="00000000" w:rsidRPr="00000000">
              <w:rPr>
                <w:rFonts w:ascii="Times New Roman" w:cs="Times New Roman" w:eastAsia="Times New Roman" w:hAnsi="Times New Roman"/>
                <w:rtl w:val="0"/>
              </w:rPr>
              <w:t xml:space="preserve">la materia. Medición</w:t>
            </w:r>
            <w:commentRangeEnd w:id="284"/>
            <w:r>
              <w:rPr>
                <w:rStyle w:val="CommentReference"/>
              </w:rPr>
              <w:commentReference w:id="284"/>
            </w:r>
            <w:r w:rsidDel="00000000" w:rsidR="00000000" w:rsidRPr="00000000">
              <w:rPr>
                <w:rFonts w:ascii="Times New Roman" w:cs="Times New Roman" w:eastAsia="Times New Roman" w:hAnsi="Times New Roman"/>
                <w:rtl w:val="0"/>
              </w:rPr>
            </w:r>
            <w:commentRangeStart w:id="131"/>
            <w:r w:rsidDel="00000000" w:rsidR="00000000" w:rsidRPr="00000000">
              <w:rPr>
                <w:rFonts w:ascii="Times New Roman" w:cs="Times New Roman" w:eastAsia="Times New Roman" w:hAnsi="Times New Roman"/>
                <w:rtl w:val="0"/>
              </w:rPr>
              <w:t xml:space="preserve">: reportes del sistema de gestión de reclamos con fecha de ingreso, resolución y prórroga; frecuencia mensual; responsable: Atención al cliente.</w:t>
            </w:r>
            <w:commentRangeEnd w:id="131"/>
            <w:r>
              <w:rPr>
                <w:rStyle w:val="CommentReference"/>
                <w:rFonts w:ascii="Times New Roman" w:cs="Times New Roman" w:eastAsia="Times New Roman" w:hAnsi="Times New Roman"/>
              </w:rPr>
              <w:commentReference w:id="131"/>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2"/>
            <w:r w:rsidDel="00000000" w:rsidR="00000000" w:rsidRPr="00000000">
              <w:rPr>
                <w:rFonts w:ascii="Times New Roman" w:cs="Times New Roman" w:eastAsia="Times New Roman" w:hAnsi="Times New Roman"/>
                <w:rtl w:val="0"/>
              </w:rPr>
              <w:t xml:space="preserve">Plazo aplicable: quince días hábiles, prorrogable de forma excepcional (SBS, 2022, arts. 7.1 y 7.3). </w:t>
            </w:r>
            <w:commentRangeStart w:id="220"/>
            <w:r w:rsidDel="00000000" w:rsidR="00000000" w:rsidRPr="00000000">
              <w:rPr>
                <w:rFonts w:ascii="Times New Roman" w:cs="Times New Roman" w:eastAsia="Times New Roman" w:hAnsi="Times New Roman"/>
                <w:rtl w:val="0"/>
              </w:rPr>
              <w:t xml:space="preserve">NO HAY FUENTES EN INTERNET DISPONIBLES sobre el porcentaje resuelto dentro del plazo.</w:t>
            </w:r>
            <w:commentRangeEnd w:id="220"/>
            <w:r>
              <w:rPr>
                <w:rStyle w:val="CommentReference"/>
              </w:rPr>
              <w:commentReference w:id="220"/>
            </w:r>
            <w:r w:rsidDel="00000000" w:rsidR="00000000" w:rsidRPr="00000000">
              <w:rPr>
                <w:rFonts w:ascii="Times New Roman" w:cs="Times New Roman" w:eastAsia="Times New Roman" w:hAnsi="Times New Roman"/>
                <w:rtl w:val="0"/>
              </w:rPr>
              <w:t xml:space="preserve"> Proxy: el tiempo promedio de absolución de 11.29 días equivale a 75.3 % del plazo de quince días, si ambos se expresan en la misma unidad, que los reportes no precisan (Banco BBVA Perú, 2026c, 2026d, 2026e).</w:t>
            </w:r>
            <w:commentRangeEnd w:id="132"/>
            <w:r>
              <w:rPr>
                <w:rStyle w:val="CommentReference"/>
                <w:rFonts w:ascii="Times New Roman" w:cs="Times New Roman" w:eastAsia="Times New Roman" w:hAnsi="Times New Roman"/>
              </w:rPr>
              <w:commentReference w:id="132"/>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3"/>
            <w:r w:rsidDel="00000000" w:rsidR="00000000" w:rsidRPr="00000000">
              <w:rPr>
                <w:rFonts w:ascii="Times New Roman" w:cs="Times New Roman" w:eastAsia="Times New Roman" w:hAnsi="Times New Roman"/>
                <w:rtl w:val="0"/>
              </w:rPr>
              <w:t xml:space="preserve">≥ 95 % de reclamos de la materia resueltos dentro del plazo, sin prórroga, en dieciocho meses (propuesta del equipo).</w:t>
            </w:r>
            <w:commentRangeEnd w:id="133"/>
            <w:r>
              <w:rPr>
                <w:rStyle w:val="CommentReference"/>
                <w:rFonts w:ascii="Times New Roman" w:cs="Times New Roman" w:eastAsia="Times New Roman" w:hAnsi="Times New Roman"/>
              </w:rPr>
              <w:commentReference w:id="133"/>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 del reclamo en autoservicio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Reclamos cuyo estado el cliente puede consultar sin intervención de un asesor.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221"/>
            <w:r w:rsidDel="00000000" w:rsidR="00000000" w:rsidRPr="00000000">
              <w:rPr>
                <w:rFonts w:ascii="Times New Roman" w:cs="Times New Roman" w:eastAsia="Times New Roman" w:hAnsi="Times New Roman"/>
                <w:rtl w:val="0"/>
              </w:rPr>
              <w:t xml:space="preserve">NO HAY FUENTES EN INTERNET DISPONIBLES sobre la proporción de reclamos consultables en autoservicio.</w:t>
            </w:r>
            <w:commentRangeEnd w:id="221"/>
            <w:r>
              <w:rPr>
                <w:rStyle w:val="CommentReference"/>
              </w:rPr>
              <w:commentReference w:id="22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2T2026 se desplegó un flujo integral de reclamos en Blue Buddy que muestra el ciclo de vida completo de los casos de los últimos seis meses, con adopción de 90 % (Banco BBVA Perú, 2026a, p. 4).</w:t>
            </w:r>
            <w:commentRangeStart w:id="134"/>
            <w:r w:rsidDel="00000000" w:rsidR="00000000" w:rsidRPr="00000000">
              <w:rPr>
                <w:rFonts w:ascii="Times New Roman" w:cs="Times New Roman" w:eastAsia="Times New Roman" w:hAnsi="Times New Roman"/>
                <w:rtl w:val="0"/>
              </w:rPr>
              <w:t xml:space="preserve"> Blue Buddy registró más de 14,000 consultas en junio de 2026 (Banco BBVA Perú, 2026a, p. 4).</w:t>
            </w:r>
            <w:commentRangeEnd w:id="134"/>
            <w:r>
              <w:rPr>
                <w:rStyle w:val="CommentReference"/>
                <w:rFonts w:ascii="Times New Roman" w:cs="Times New Roman" w:eastAsia="Times New Roman" w:hAnsi="Times New Roman"/>
              </w:rPr>
              <w:commentReference w:id="134"/>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de los reclamos trazables en autoservicio. </w:t>
            </w:r>
          </w:p>
        </w:tc>
      </w:tr>
      <w:tr>
        <w:trPr>
          <w:cantSplit w:val="0"/>
          <w:tblHeader w:val="0"/>
        </w:trPr>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Sanciones firmes a la entidad </w:t>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Sanciones firmes impuestas a la entidad por operaciones </w:t>
            </w:r>
            <w:commentRangeStart w:id="285"/>
            <w:r w:rsidDel="00000000" w:rsidR="00000000" w:rsidRPr="00000000">
              <w:rPr>
                <w:rFonts w:ascii="Times New Roman" w:cs="Times New Roman" w:eastAsia="Times New Roman" w:hAnsi="Times New Roman"/>
                <w:rtl w:val="0"/>
              </w:rPr>
              <w:t xml:space="preserve">no reconocidas. Medición</w:t>
            </w:r>
            <w:commentRangeEnd w:id="285"/>
            <w:r>
              <w:rPr>
                <w:rStyle w:val="CommentReference"/>
              </w:rPr>
              <w:commentReference w:id="285"/>
            </w:r>
            <w:commentRangeStart w:id="135"/>
            <w:r w:rsidDel="00000000" w:rsidR="00000000" w:rsidRPr="00000000">
              <w:rPr>
                <w:rFonts w:ascii="Times New Roman" w:cs="Times New Roman" w:eastAsia="Times New Roman" w:hAnsi="Times New Roman"/>
                <w:rtl w:val="0"/>
              </w:rPr>
              <w:t xml:space="preserve">: registro de resoluciones firmes del Indecopi notificadas a la entidad; frecuencia trimestral; responsable: Asesoría legal.</w:t>
            </w:r>
            <w:commentRangeEnd w:id="135"/>
            <w:r>
              <w:rPr>
                <w:rStyle w:val="CommentReference"/>
                <w:rFonts w:ascii="Times New Roman" w:cs="Times New Roman" w:eastAsia="Times New Roman" w:hAnsi="Times New Roman"/>
              </w:rPr>
              <w:commentReference w:id="135"/>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6"/>
            <w:commentRangeStart w:id="222"/>
            <w:r w:rsidDel="00000000" w:rsidR="00000000" w:rsidRPr="00000000">
              <w:rPr>
                <w:rFonts w:ascii="Times New Roman" w:cs="Times New Roman" w:eastAsia="Times New Roman" w:hAnsi="Times New Roman"/>
                <w:rtl w:val="0"/>
              </w:rPr>
              <w:t xml:space="preserve">NO HAY FUENTES EN INTERNET DISPONIBLES con datos desagregados por entidad y periodo.</w:t>
            </w:r>
            <w:commentRangeEnd w:id="222"/>
            <w:r>
              <w:rPr>
                <w:rStyle w:val="CommentReference"/>
              </w:rPr>
              <w:commentReference w:id="222"/>
            </w:r>
            <w:r w:rsidDel="00000000" w:rsidR="00000000" w:rsidRPr="00000000">
              <w:rPr>
                <w:rFonts w:ascii="Times New Roman" w:cs="Times New Roman" w:eastAsia="Times New Roman" w:hAnsi="Times New Roman"/>
                <w:rtl w:val="0"/>
              </w:rPr>
              <w:t xml:space="preserve"> Contexto sectorial: 2,601 sanciones al sistema financiero entre 2021 y marzo de 2025 (Andina, 2025). Línea base a levantar en los primeros 90 días con el registro interno.</w:t>
            </w:r>
            <w:commentRangeEnd w:id="136"/>
            <w:r>
              <w:rPr>
                <w:rStyle w:val="CommentReference"/>
                <w:rFonts w:ascii="Times New Roman" w:cs="Times New Roman" w:eastAsia="Times New Roman" w:hAnsi="Times New Roman"/>
              </w:rPr>
              <w:commentReference w:id="136"/>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aplica. </w:t>
            </w:r>
          </w:p>
        </w:tc>
        <w:tc>
          <w:tcPr>
            <w:shd w:fill="ffffff"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7"/>
            <w:r w:rsidDel="00000000" w:rsidR="00000000" w:rsidRPr="00000000">
              <w:rPr>
                <w:rFonts w:ascii="Times New Roman" w:cs="Times New Roman" w:eastAsia="Times New Roman" w:hAnsi="Times New Roman"/>
                <w:rtl w:val="0"/>
              </w:rPr>
              <w:t xml:space="preserve">0 sanciones firmes nuevas por la materia en dieciocho meses (propuesta del equipo).</w:t>
            </w:r>
            <w:commentRangeEnd w:id="137"/>
            <w:r>
              <w:rPr>
                <w:rStyle w:val="CommentReference"/>
                <w:rFonts w:ascii="Times New Roman" w:cs="Times New Roman" w:eastAsia="Times New Roman" w:hAnsi="Times New Roman"/>
              </w:rPr>
              <w:commentReference w:id="137"/>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(2026c, 2026d, 2026e). La tasa de resolución a favor del usuario constituye un piso, porque el artículo 7.6 del reglamento exime de difusión a las atenciones resueltas antes de iniciado el cómputo del plazo.</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Tabla 25</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Indicadores base del dolor crítico DC3: contratación por canal digital</w:t>
      </w:r>
      <w:r w:rsidDel="00000000" w:rsidR="00000000" w:rsidRPr="00000000">
        <w:rPr>
          <w:rFonts w:ascii="Times New Roman" w:cs="Times New Roman" w:eastAsia="Times New Roman" w:hAnsi="Times New Roman"/>
          <w:rtl w:val="0"/>
        </w:rPr>
      </w:r>
    </w:p>
    <w:tbl>
      <w:tblPr>
        <w:tblStyle w:val="Table25"/>
        <w:tblW w:w="9026.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700"/>
        <w:gridCol w:w="2100"/>
        <w:gridCol w:w="3126"/>
        <w:gridCol w:w="2100"/>
        <w:tblGridChange w:id="0">
          <w:tblGrid>
            <w:gridCol w:w="2000"/>
            <w:gridCol w:w="2400"/>
            <w:gridCol w:w="3026"/>
            <w:gridCol w:w="1600"/>
          </w:tblGrid>
        </w:tblGridChange>
      </w:tblGrid>
      <w:tr>
        <w:trPr>
          <w:cantSplit w:val="0"/>
          <w:tblHeader w:val="1"/>
        </w:trPr>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Indicador</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Definición operativa</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Línea base y fuente</w:t>
            </w:r>
            <w:r w:rsidDel="00000000" w:rsidR="00000000" w:rsidRPr="00000000">
              <w:rPr>
                <w:rFonts w:ascii="Times New Roman" w:cs="Times New Roman" w:eastAsia="Times New Roman" w:hAnsi="Times New Roman"/>
                <w:rtl w:val="0"/>
              </w:rPr>
            </w:r>
          </w:p>
        </w:tc>
        <w:tc>
          <w:tcPr>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rtl w:val="0"/>
              </w:rPr>
              <w:t xml:space="preserve">Meta propuesta</w:t>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cuentas</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Cuentas contratadas mediante operaciones sin ningún tipo de asistencia, desde el origen hasta la contratación, sobre el total de cuentas contratadas.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 al 2T2026, frente a 35 % al cierre de 2025. Fuentes: Banco BBVA Perú (2026a, p. 3) y Banco BBVA Perú (2025). </w:t>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8"/>
            <w:r w:rsidDel="00000000" w:rsidR="00000000" w:rsidRPr="00000000">
              <w:rPr>
                <w:rFonts w:ascii="Times New Roman" w:cs="Times New Roman" w:eastAsia="Times New Roman" w:hAnsi="Times New Roman"/>
                <w:i w:val="0"/>
                <w:iCs w:val="0"/>
                <w:rtl w:val="0"/>
              </w:rPr>
              <w:t xml:space="preserve">55 % en dieciocho meses (+22 puntos, frente a −2 puntos observados entre el cierre de 2025 y el 2T2026).</w:t>
            </w:r>
            <w:commentRangeEnd w:id="138"/>
            <w:r>
              <w:rPr>
                <w:rStyle w:val="CommentReference"/>
                <w:rFonts w:ascii="Times New Roman" w:cs="Times New Roman" w:eastAsia="Times New Roman" w:hAnsi="Times New Roman"/>
              </w:rPr>
              <w:commentReference w:id="138"/>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tarjetas de crédito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Tarjetas contratadas sin ningún tipo de asistencia, desde el origen hasta la contratación, sobre el total de tarjetas contratadas.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al 2T2026, frente a 43 % al cierre de 2025.</w:t>
            </w:r>
            <w:r w:rsidDel="00000000" w:rsidR="00000000" w:rsidRPr="00000000">
              <w:rPr>
                <w:rFonts w:ascii="Times New Roman" w:cs="Times New Roman" w:eastAsia="Times New Roman" w:hAnsi="Times New Roman"/>
                <w:i w:val="0"/>
                <w:iCs w:val="0"/>
                <w:rtl w:val="0"/>
              </w:rPr>
              <w:t xml:space="preserve"> Fuente: Banco BBVA Perú (2026a, p. 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39"/>
            <w:r w:rsidDel="00000000" w:rsidR="00000000" w:rsidRPr="00000000">
              <w:rPr>
                <w:rFonts w:ascii="Times New Roman" w:cs="Times New Roman" w:eastAsia="Times New Roman" w:hAnsi="Times New Roman"/>
                <w:i w:val="0"/>
                <w:iCs w:val="0"/>
                <w:rtl w:val="0"/>
              </w:rPr>
              <w:t xml:space="preserve">70 % en dieciocho meses (+20 puntos, frente a +7 puntos observados entre el cierre de 2025 y el 2T2026).</w:t>
            </w:r>
            <w:commentRangeEnd w:id="139"/>
            <w:r>
              <w:rPr>
                <w:rStyle w:val="CommentReference"/>
                <w:rFonts w:ascii="Times New Roman" w:cs="Times New Roman" w:eastAsia="Times New Roman" w:hAnsi="Times New Roman"/>
              </w:rPr>
              <w:commentReference w:id="139"/>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Penetración digital en préstamos de consumo</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Préstamos de consumo contratados sin ningún tipo de asistencia, desde el origen hasta la contratación, sobre el total de préstamos de consumo contratados. </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 al 2T2026, frente a 57 % al cierre de 2025</w:t>
            </w:r>
            <w:r w:rsidDel="00000000" w:rsidR="00000000" w:rsidRPr="00000000">
              <w:rPr>
                <w:rFonts w:ascii="Times New Roman" w:cs="Times New Roman" w:eastAsia="Times New Roman" w:hAnsi="Times New Roman"/>
                <w:i w:val="0"/>
                <w:iCs w:val="0"/>
                <w:rtl w:val="0"/>
              </w:rPr>
              <w:t xml:space="preserve">. Fuente: Banco BBVA Perú (2026a, p. 3).</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0"/>
            <w:r w:rsidDel="00000000" w:rsidR="00000000" w:rsidRPr="00000000">
              <w:rPr>
                <w:rFonts w:ascii="Times New Roman" w:cs="Times New Roman" w:eastAsia="Times New Roman" w:hAnsi="Times New Roman"/>
                <w:i w:val="0"/>
                <w:iCs w:val="0"/>
                <w:rtl w:val="0"/>
              </w:rPr>
              <w:t xml:space="preserve">70 % en dieciocho meses (+16 puntos, frente a −3 puntos observados entre el cierre de 2025 y el 2T2026).</w:t>
            </w:r>
            <w:commentRangeEnd w:id="140"/>
            <w:r>
              <w:rPr>
                <w:rStyle w:val="CommentReference"/>
                <w:rFonts w:ascii="Times New Roman" w:cs="Times New Roman" w:eastAsia="Times New Roman" w:hAnsi="Times New Roman"/>
              </w:rPr>
              <w:commentReference w:id="14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Ventas digitales totales</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 realizadas sin ningún tipo de asistencia, desde el origen hasta la contratación, sobre las ventas totales del banco.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79.57 % al 2T2026, frente a 80.0 % al cierre de 2025</w:t>
            </w:r>
            <w:r w:rsidDel="00000000" w:rsidR="00000000" w:rsidRPr="00000000">
              <w:rPr>
                <w:rFonts w:ascii="Times New Roman" w:cs="Times New Roman" w:eastAsia="Times New Roman" w:hAnsi="Times New Roman"/>
                <w:i w:val="0"/>
                <w:iCs w:val="0"/>
                <w:rtl w:val="0"/>
              </w:rPr>
              <w:t xml:space="preserve">. Fuente: Banco BBVA Perú (2026a, p. 3).</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1"/>
            <w:r w:rsidDel="00000000" w:rsidR="00000000" w:rsidRPr="00000000">
              <w:rPr>
                <w:rFonts w:ascii="Times New Roman" w:cs="Times New Roman" w:eastAsia="Times New Roman" w:hAnsi="Times New Roman"/>
                <w:i w:val="0"/>
                <w:iCs w:val="0"/>
                <w:rtl w:val="0"/>
              </w:rPr>
              <w:t xml:space="preserve">85 % en dieciocho meses (+5.4 puntos, frente a −0.4 puntos observados entre el cierre de 2025 y el 2T2026).</w:t>
            </w:r>
            <w:commentRangeEnd w:id="141"/>
            <w:r>
              <w:rPr>
                <w:rStyle w:val="CommentReference"/>
                <w:rFonts w:ascii="Times New Roman" w:cs="Times New Roman" w:eastAsia="Times New Roman" w:hAnsi="Times New Roman"/>
              </w:rPr>
              <w:commentReference w:id="141"/>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abandono en el flujo de contratación</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Solicitudes iniciadas en canal digital que no se completan.</w:t>
            </w:r>
            <w:r w:rsidDel="00000000" w:rsidR="00000000" w:rsidRPr="00000000">
              <w:rPr>
                <w:rFonts w:ascii="Times New Roman" w:cs="Times New Roman" w:eastAsia="Times New Roman" w:hAnsi="Times New Roman"/>
                <w:rtl w:val="0"/>
              </w:rPr>
            </w:r>
            <w:commentRangeStart w:id="142"/>
            <w:r w:rsidDel="00000000" w:rsidR="00000000" w:rsidRPr="00000000">
              <w:rPr>
                <w:rFonts w:ascii="Times New Roman" w:cs="Times New Roman" w:eastAsia="Times New Roman" w:hAnsi="Times New Roman"/>
                <w:i w:val="0"/>
                <w:iCs w:val="0"/>
                <w:rtl w:val="0"/>
              </w:rPr>
              <w:t xml:space="preserve"> Medición: eventos de embudo de la app (inicio, pasos y cierre del flujo) por producto; frecuencia mensual; responsable: Producto digital.</w:t>
            </w:r>
            <w:commentRangeEnd w:id="142"/>
            <w:r>
              <w:rPr>
                <w:rStyle w:val="CommentReference"/>
                <w:rFonts w:ascii="Times New Roman" w:cs="Times New Roman" w:eastAsia="Times New Roman" w:hAnsi="Times New Roman"/>
              </w:rPr>
              <w:commentReference w:id="142"/>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3"/>
            <w:commentRangeStart w:id="217"/>
            <w:r w:rsidDel="00000000" w:rsidR="00000000" w:rsidRPr="00000000">
              <w:rPr>
                <w:rFonts w:ascii="Times New Roman" w:cs="Times New Roman" w:eastAsia="Times New Roman" w:hAnsi="Times New Roman"/>
                <w:rtl w:val="0"/>
              </w:rPr>
              <w:t xml:space="preserve">NO HAY FUENTES EN INTERNET DISPONIBLES.</w:t>
            </w:r>
            <w:commentRangeEnd w:id="217"/>
            <w:r>
              <w:rPr>
                <w:rStyle w:val="CommentReference"/>
              </w:rPr>
              <w:commentReference w:id="217"/>
            </w:r>
            <w:r w:rsidDel="00000000" w:rsidR="00000000" w:rsidRPr="00000000">
              <w:rPr>
                <w:rFonts w:ascii="Times New Roman" w:cs="Times New Roman" w:eastAsia="Times New Roman" w:hAnsi="Times New Roman"/>
                <w:rtl w:val="0"/>
              </w:rPr>
              <w:t xml:space="preserve"> Línea base a levantar en los primeros 90 días con la analítica de la app.</w:t>
            </w:r>
            <w:commentRangeEnd w:id="143"/>
            <w:r>
              <w:rPr>
                <w:rStyle w:val="CommentReference"/>
                <w:rFonts w:ascii="Times New Roman" w:cs="Times New Roman" w:eastAsia="Times New Roman" w:hAnsi="Times New Roman"/>
              </w:rPr>
              <w:commentReference w:id="143"/>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4"/>
            <w:r w:rsidDel="00000000" w:rsidR="00000000" w:rsidRPr="00000000">
              <w:rPr>
                <w:rFonts w:ascii="Times New Roman" w:cs="Times New Roman" w:eastAsia="Times New Roman" w:hAnsi="Times New Roman"/>
                <w:i w:val="0"/>
                <w:iCs w:val="0"/>
                <w:rtl w:val="0"/>
              </w:rPr>
              <w:t xml:space="preserve">Reducir 30 % la tasa respecto de la línea base levantada, a 18 meses (propuesta del equipo).</w:t>
            </w:r>
            <w:commentRangeEnd w:id="144"/>
            <w:r>
              <w:rPr>
                <w:rStyle w:val="CommentReference"/>
                <w:rFonts w:ascii="Times New Roman" w:cs="Times New Roman" w:eastAsia="Times New Roman" w:hAnsi="Times New Roman"/>
              </w:rPr>
              <w:commentReference w:id="144"/>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Tasa de activación del producto</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Productos contratados que registran una primera operación dentro de los treinta días.</w:t>
            </w:r>
            <w:r w:rsidDel="00000000" w:rsidR="00000000" w:rsidRPr="00000000">
              <w:rPr>
                <w:rFonts w:ascii="Times New Roman" w:cs="Times New Roman" w:eastAsia="Times New Roman" w:hAnsi="Times New Roman"/>
                <w:rtl w:val="0"/>
              </w:rPr>
            </w:r>
            <w:commentRangeStart w:id="145"/>
            <w:r w:rsidDel="00000000" w:rsidR="00000000" w:rsidRPr="00000000">
              <w:rPr>
                <w:rFonts w:ascii="Times New Roman" w:cs="Times New Roman" w:eastAsia="Times New Roman" w:hAnsi="Times New Roman"/>
                <w:i w:val="0"/>
                <w:iCs w:val="0"/>
                <w:rtl w:val="0"/>
              </w:rPr>
              <w:t xml:space="preserve"> Medición: productos con primera operación a treinta días sobre productos contratados, por producto; frecuencia mensual; responsable: Producto digital.</w:t>
            </w:r>
            <w:commentRangeEnd w:id="145"/>
            <w:r>
              <w:rPr>
                <w:rStyle w:val="CommentReference"/>
                <w:rFonts w:ascii="Times New Roman" w:cs="Times New Roman" w:eastAsia="Times New Roman" w:hAnsi="Times New Roman"/>
              </w:rPr>
              <w:commentReference w:id="145"/>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6"/>
            <w:commentRangeStart w:id="218"/>
            <w:r w:rsidDel="00000000" w:rsidR="00000000" w:rsidRPr="00000000">
              <w:rPr>
                <w:rFonts w:ascii="Times New Roman" w:cs="Times New Roman" w:eastAsia="Times New Roman" w:hAnsi="Times New Roman"/>
                <w:rtl w:val="0"/>
              </w:rPr>
              <w:t xml:space="preserve">NO HAY FUENTES EN INTERNET DISPONIBLES.</w:t>
            </w:r>
            <w:commentRangeEnd w:id="218"/>
            <w:r>
              <w:rPr>
                <w:rStyle w:val="CommentReference"/>
              </w:rPr>
              <w:commentReference w:id="218"/>
            </w:r>
            <w:r w:rsidDel="00000000" w:rsidR="00000000" w:rsidRPr="00000000">
              <w:rPr>
                <w:rFonts w:ascii="Times New Roman" w:cs="Times New Roman" w:eastAsia="Times New Roman" w:hAnsi="Times New Roman"/>
                <w:rtl w:val="0"/>
              </w:rPr>
              <w:t xml:space="preserve"> Línea base a levantar en los primeros 90 días con los datos transaccionales.</w:t>
            </w:r>
            <w:commentRangeEnd w:id="146"/>
            <w:r>
              <w:rPr>
                <w:rStyle w:val="CommentReference"/>
                <w:rFonts w:ascii="Times New Roman" w:cs="Times New Roman" w:eastAsia="Times New Roman" w:hAnsi="Times New Roman"/>
              </w:rPr>
              <w:commentReference w:id="146"/>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7"/>
            <w:r w:rsidDel="00000000" w:rsidR="00000000" w:rsidRPr="00000000">
              <w:rPr>
                <w:rFonts w:ascii="Times New Roman" w:cs="Times New Roman" w:eastAsia="Times New Roman" w:hAnsi="Times New Roman"/>
                <w:i w:val="0"/>
                <w:iCs w:val="0"/>
                <w:rtl w:val="0"/>
              </w:rPr>
              <w:t xml:space="preserve">+10 puntos porcentuales sobre la línea base levantada, a 18 meses (propuesta del equipo).</w:t>
            </w:r>
            <w:commentRangeEnd w:id="147"/>
            <w:r>
              <w:rPr>
                <w:rStyle w:val="CommentReference"/>
                <w:rFonts w:ascii="Times New Roman" w:cs="Times New Roman" w:eastAsia="Times New Roman" w:hAnsi="Times New Roman"/>
              </w:rPr>
              <w:commentReference w:id="147"/>
            </w:r>
            <w:r w:rsidDel="00000000" w:rsidR="00000000" w:rsidRPr="00000000">
              <w:rPr>
                <w:rFonts w:ascii="Times New Roman" w:cs="Times New Roman" w:eastAsia="Times New Roman" w:hAnsi="Times New Roman"/>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rtl w:val="0"/>
              </w:rPr>
              <w:t xml:space="preserve">Costo de adquisición por canal</w:t>
            </w:r>
            <w:r w:rsidDel="00000000" w:rsidR="00000000" w:rsidRPr="00000000">
              <w:rPr>
                <w:rFonts w:ascii="Times New Roman" w:cs="Times New Roman" w:eastAsia="Times New Roman" w:hAnsi="Times New Roman"/>
                <w:rtl w:val="0"/>
              </w:rPr>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Costo de captación de un cliente en canal digital frente a canal asistido.</w:t>
            </w:r>
            <w:r w:rsidDel="00000000" w:rsidR="00000000" w:rsidRPr="00000000">
              <w:rPr>
                <w:rFonts w:ascii="Times New Roman" w:cs="Times New Roman" w:eastAsia="Times New Roman" w:hAnsi="Times New Roman"/>
                <w:rtl w:val="0"/>
              </w:rPr>
            </w:r>
            <w:commentRangeStart w:id="148"/>
            <w:r w:rsidDel="00000000" w:rsidR="00000000" w:rsidRPr="00000000">
              <w:rPr>
                <w:rFonts w:ascii="Times New Roman" w:cs="Times New Roman" w:eastAsia="Times New Roman" w:hAnsi="Times New Roman"/>
                <w:i w:val="0"/>
                <w:iCs w:val="0"/>
                <w:rtl w:val="0"/>
              </w:rPr>
              <w:t xml:space="preserve"> Medición: costo total de captación (marketing, tecnología y personal) entre cuentas nuevas por canal; frecuencia trimestral; responsable: Finanzas.</w:t>
            </w:r>
            <w:commentRangeEnd w:id="148"/>
            <w:r>
              <w:rPr>
                <w:rStyle w:val="CommentReference"/>
                <w:rFonts w:ascii="Times New Roman" w:cs="Times New Roman" w:eastAsia="Times New Roman" w:hAnsi="Times New Roman"/>
              </w:rPr>
              <w:commentReference w:id="148"/>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49"/>
            <w:commentRangeStart w:id="219"/>
            <w:r w:rsidDel="00000000" w:rsidR="00000000" w:rsidRPr="00000000">
              <w:rPr>
                <w:rFonts w:ascii="Times New Roman" w:cs="Times New Roman" w:eastAsia="Times New Roman" w:hAnsi="Times New Roman"/>
                <w:rtl w:val="0"/>
              </w:rPr>
              <w:t xml:space="preserve">NO HAY FUENTES EN INTERNET DISPONIBLES.</w:t>
            </w:r>
            <w:commentRangeEnd w:id="219"/>
            <w:r>
              <w:rPr>
                <w:rStyle w:val="CommentReference"/>
              </w:rPr>
              <w:commentReference w:id="219"/>
            </w:r>
            <w:r w:rsidDel="00000000" w:rsidR="00000000" w:rsidRPr="00000000">
              <w:rPr>
                <w:rFonts w:ascii="Times New Roman" w:cs="Times New Roman" w:eastAsia="Times New Roman" w:hAnsi="Times New Roman"/>
                <w:rtl w:val="0"/>
              </w:rPr>
              <w:t xml:space="preserve"> Proxy institucional: ratio de eficiencia de 40.0 % al 2T2026 (Banco BBVA Perú, 2026a), que no distingue canal. Línea base a levantar en los primeros 90 días.</w:t>
            </w:r>
            <w:commentRangeEnd w:id="149"/>
            <w:r>
              <w:rPr>
                <w:rStyle w:val="CommentReference"/>
                <w:rFonts w:ascii="Times New Roman" w:cs="Times New Roman" w:eastAsia="Times New Roman" w:hAnsi="Times New Roman"/>
              </w:rPr>
              <w:commentReference w:id="149"/>
            </w:r>
          </w:p>
        </w:tc>
        <w:tc>
          <w:tcP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50"/>
            <w:r w:rsidDel="00000000" w:rsidR="00000000" w:rsidRPr="00000000">
              <w:rPr>
                <w:rFonts w:ascii="Times New Roman" w:cs="Times New Roman" w:eastAsia="Times New Roman" w:hAnsi="Times New Roman"/>
                <w:i w:val="0"/>
                <w:iCs w:val="0"/>
                <w:rtl w:val="0"/>
              </w:rPr>
              <w:t xml:space="preserve">Reducir 20 % el costo medio de adquisición de cuentas a 18 meses (propuesta del equipo).</w:t>
            </w:r>
            <w:commentRangeEnd w:id="150"/>
            <w:r>
              <w:rPr>
                <w:rStyle w:val="CommentReference"/>
                <w:rFonts w:ascii="Times New Roman" w:cs="Times New Roman" w:eastAsia="Times New Roman" w:hAnsi="Times New Roman"/>
              </w:rPr>
              <w:commentReference w:id="150"/>
            </w:r>
            <w:r w:rsidDel="00000000" w:rsidR="00000000" w:rsidRPr="00000000">
              <w:rPr>
                <w:rFonts w:ascii="Times New Roman" w:cs="Times New Roman" w:eastAsia="Times New Roman" w:hAnsi="Times New Roman"/>
                <w:rtl w:val="0"/>
              </w:rPr>
            </w:r>
          </w:p>
        </w:tc>
      </w:tr>
      <w:tr>
        <w:trPr>
          <w:cantSplit w:val="0"/>
          <w:tblHeader w:val="0"/>
        </w:trPr>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rtl w:val="0"/>
              </w:rPr>
              <w:t xml:space="preserve">Tasa de derivación a canal asistido </w:t>
            </w:r>
            <w:r w:rsidDel="00000000" w:rsidR="00000000" w:rsidRPr="00000000">
              <w:rPr>
                <w:rFonts w:ascii="Times New Roman" w:cs="Times New Roman" w:eastAsia="Times New Roman" w:hAnsi="Times New Roman"/>
                <w:rtl w:val="0"/>
              </w:rPr>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Solicitudes iniciadas en canal digital que el sistema interrumpe y deriva a oficina o contact center, sobre el total de solicitudes </w:t>
            </w:r>
            <w:commentRangeStart w:id="286"/>
            <w:r w:rsidDel="00000000" w:rsidR="00000000" w:rsidRPr="00000000">
              <w:rPr>
                <w:rFonts w:ascii="Times New Roman" w:cs="Times New Roman" w:eastAsia="Times New Roman" w:hAnsi="Times New Roman"/>
                <w:rtl w:val="0"/>
              </w:rPr>
              <w:t xml:space="preserve">iniciadas. Medición</w:t>
            </w:r>
            <w:commentRangeEnd w:id="286"/>
            <w:r>
              <w:rPr>
                <w:rStyle w:val="CommentReference"/>
              </w:rPr>
              <w:commentReference w:id="286"/>
            </w:r>
            <w:r w:rsidDel="00000000" w:rsidR="00000000" w:rsidRPr="00000000">
              <w:rPr>
                <w:rFonts w:ascii="Times New Roman" w:cs="Times New Roman" w:eastAsia="Times New Roman" w:hAnsi="Times New Roman"/>
                <w:rtl w:val="0"/>
              </w:rPr>
            </w:r>
            <w:commentRangeStart w:id="151"/>
            <w:r w:rsidDel="00000000" w:rsidR="00000000" w:rsidRPr="00000000">
              <w:rPr>
                <w:rFonts w:ascii="Times New Roman" w:cs="Times New Roman" w:eastAsia="Times New Roman" w:hAnsi="Times New Roman"/>
                <w:rtl w:val="0"/>
              </w:rPr>
              <w:t xml:space="preserve">: derivaciones registradas por el flujo digital sobre solicitudes iniciadas, por perfil de solicitante; frecuencia mensual; responsable: Producto digital.</w:t>
            </w:r>
            <w:commentRangeEnd w:id="151"/>
            <w:r>
              <w:rPr>
                <w:rStyle w:val="CommentReference"/>
                <w:rFonts w:ascii="Times New Roman" w:cs="Times New Roman" w:eastAsia="Times New Roman" w:hAnsi="Times New Roman"/>
              </w:rPr>
              <w:commentReference w:id="151"/>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rPr>
            </w:pPr>
            <w:commentRangeStart w:id="152"/>
            <w:commentRangeStart w:id="223"/>
            <w:r w:rsidDel="00000000" w:rsidR="00000000" w:rsidRPr="00000000">
              <w:rPr>
                <w:rFonts w:ascii="Times New Roman" w:cs="Times New Roman" w:eastAsia="Times New Roman" w:hAnsi="Times New Roman"/>
                <w:rtl w:val="0"/>
              </w:rPr>
              <w:t xml:space="preserve">NO HAY FUENTES EN INTERNET DISPONIBLES que midan este indicador de forma directa.</w:t>
            </w:r>
            <w:commentRangeEnd w:id="223"/>
            <w:r>
              <w:rPr>
                <w:rStyle w:val="CommentReference"/>
              </w:rPr>
              <w:commentReference w:id="223"/>
            </w:r>
            <w:r w:rsidDel="00000000" w:rsidR="00000000" w:rsidRPr="00000000">
              <w:rPr>
                <w:rFonts w:ascii="Times New Roman" w:cs="Times New Roman" w:eastAsia="Times New Roman" w:hAnsi="Times New Roman"/>
                <w:rtl w:val="0"/>
              </w:rPr>
              <w:t xml:space="preserve"> Cota superior verificable: 67 % de las cuentas se contrata por canal asistido (complemento del 33 % digital al 2T2026), cifra que incluye derivaciones y decisiones del propio cliente (Banco BBVA Perú, 2026a, p. 3). La entidad confirma la existencia de la derivación para casos borde (A. Moquillaza, comunicación personal, 11 de setiembre de 2026).</w:t>
            </w:r>
            <w:commentRangeEnd w:id="152"/>
            <w:r>
              <w:rPr>
                <w:rStyle w:val="CommentReference"/>
                <w:rFonts w:ascii="Times New Roman" w:cs="Times New Roman" w:eastAsia="Times New Roman" w:hAnsi="Times New Roman"/>
              </w:rPr>
              <w:commentReference w:id="152"/>
            </w:r>
          </w:p>
        </w:tc>
        <w:tc>
          <w:tcPr>
            <w:shd w:fill="f2f5fa" w:val="clear"/>
            <w:tcMar>
              <w:top w:w="60.0" w:type="dxa"/>
              <w:left w:w="90.0" w:type="dxa"/>
              <w:bottom w:w="60.0" w:type="dxa"/>
              <w:right w:w="90.0" w:type="dxa"/>
            </w:tcMar>
            <w:vAlign w:val="center"/>
          </w:tcPr>
          <w:p w:rsidR="00000000" w:rsidDel="00000000" w:rsidP="00000000" w:rsidRDefault="00000000" w:rsidRPr="00000000">
            <w:pPr>
              <w:spacing w:after="0" w:line="240" w:lineRule="auto"/>
              <w:jc w:val="left"/>
              <w:rPr>
                <w:rFonts w:ascii="Times New Roman" w:cs="Times New Roman" w:eastAsia="Times New Roman" w:hAnsi="Times New Roman"/>
                <w:i w:val="0"/>
                <w:iCs w:val="0"/>
              </w:rPr>
            </w:pPr>
            <w:commentRangeStart w:id="153"/>
            <w:r w:rsidDel="00000000" w:rsidR="00000000" w:rsidRPr="00000000">
              <w:rPr>
                <w:rFonts w:ascii="Times New Roman" w:cs="Times New Roman" w:eastAsia="Times New Roman" w:hAnsi="Times New Roman"/>
                <w:rtl w:val="0"/>
              </w:rPr>
              <w:t xml:space="preserve">≤ 45 % de las cuentas contratadas por canal asistido, equivalente a 55 % de penetración digital, en dieciocho meses (propuesta del equipo).</w:t>
            </w:r>
            <w:commentRangeEnd w:id="153"/>
            <w:r>
              <w:rPr>
                <w:rStyle w:val="CommentReference"/>
                <w:rFonts w:ascii="Times New Roman" w:cs="Times New Roman" w:eastAsia="Times New Roman" w:hAnsi="Times New Roman"/>
              </w:rPr>
              <w:commentReference w:id="153"/>
            </w:r>
            <w:r w:rsidDel="00000000" w:rsidR="00000000" w:rsidRPr="00000000">
              <w:rPr>
                <w:rFonts w:ascii="Times New Roman" w:cs="Times New Roman" w:eastAsia="Times New Roman" w:hAnsi="Times New Roman"/>
                <w:rtl w:val="0"/>
              </w:rPr>
            </w:r>
          </w:p>
        </w:tc>
      </w:tr>
    </w:tbl>
    <w:p w:rsidR="00000000" w:rsidDel="00000000" w:rsidP="00000000" w:rsidRDefault="00000000" w:rsidRPr="00000000">
      <w:pPr>
        <w:spacing w:after="220" w:before="6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Banco BBVA Perú (2025, 2026a, p. 3). Las definiciones operativas reproducen la definición de venta digital declarada por la entidad. Las metas propuestas son elaboración del equipo. </w:t>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216" w:name="_TocM216"/>
      <w:bookmarkEnd w:id="216"/>
      <w:r w:rsidDel="00000000" w:rsidR="00000000" w:rsidRPr="00000000">
        <w:rPr>
          <w:rFonts w:ascii="Times New Roman" w:cs="Times New Roman" w:eastAsia="Times New Roman" w:hAnsi="Times New Roman"/>
          <w:b w:val="1"/>
          <w:bCs w:val="1"/>
          <w:sz w:val="22"/>
          <w:szCs w:val="22"/>
          <w:rtl w:val="0"/>
        </w:rPr>
        <w:t xml:space="preserve">Condiciones de medición y vacíos de información</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commentRangeStart w:id="154"/>
      <w:r w:rsidDel="00000000" w:rsidR="00000000" w:rsidRPr="00000000">
        <w:rPr>
          <w:rFonts w:ascii="Times New Roman" w:cs="Times New Roman" w:eastAsia="Times New Roman" w:hAnsi="Times New Roman"/>
          <w:i w:val="0"/>
          <w:iCs w:val="0"/>
          <w:rtl w:val="0"/>
        </w:rPr>
        <w:t xml:space="preserve">De los veinticinco indicadores definidos, quince cuentan con línea base pública directa, cinco con un proxy o una cota verificable y cinco carecen de cualquier dato público (tiempo de ciclo de la ruta asistida, sanciones firmes, abandono, activación y costo de adquisición). Esta proporción no invalida el análisis, pero sí condiciona su alcance y debe declararse con transparencia. Los indicadores sin línea base pública directa comparten una característica: corresponden a tiempos de ciclo, costos unitarios y tasas de conversión, es decir, información de gestión que ninguna entidad bancaria publica en sus reportes al mercado. Para cada uno de ellos, las Tablas 23 a 25 fijan el proxy o la cota disponible, el protocolo de medición (fórmula, fuente interna, frecuencia y responsable) y una meta relativa a la línea base que se levante en los primeros 90 días.</w:t>
      </w:r>
      <w:commentRangeEnd w:id="154"/>
      <w:r>
        <w:rPr>
          <w:rStyle w:val="CommentReference"/>
          <w:rFonts w:ascii="Times New Roman" w:cs="Times New Roman" w:eastAsia="Times New Roman" w:hAnsi="Times New Roman"/>
        </w:rPr>
        <w:commentReference w:id="154"/>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i w:val="0"/>
          <w:iCs w:val="0"/>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En consecuencia, antes de formular las </w:t>
      </w:r>
      <w:commentRangeStart w:id="170"/>
      <w:r w:rsidDel="00000000" w:rsidR="00000000" w:rsidRPr="00000000">
        <w:rPr>
          <w:rFonts w:ascii="Times New Roman" w:cs="Times New Roman" w:eastAsia="Times New Roman" w:hAnsi="Times New Roman"/>
          <w:i w:val="0"/>
          <w:iCs w:val="0"/>
          <w:rtl w:val="0"/>
        </w:rPr>
        <w:t xml:space="preserve">iniciativas del siguiente avance</w:t>
      </w:r>
      <w:commentRangeEnd w:id="170"/>
      <w:r>
        <w:rPr>
          <w:rStyle w:val="CommentReference"/>
        </w:rPr>
        <w:commentReference w:id="170"/>
      </w:r>
      <w:r w:rsidDel="00000000" w:rsidR="00000000" w:rsidRPr="00000000">
        <w:rPr>
          <w:rFonts w:ascii="Times New Roman" w:cs="Times New Roman" w:eastAsia="Times New Roman" w:hAnsi="Times New Roman"/>
          <w:i w:val="0"/>
          <w:iCs w:val="0"/>
          <w:rtl w:val="0"/>
        </w:rPr>
        <w:t xml:space="preserve"> deberán cumplirse </w:t>
      </w:r>
      <w:r w:rsidDel="00000000" w:rsidR="00000000" w:rsidRPr="00000000">
        <w:rPr>
          <w:rFonts w:ascii="Times New Roman" w:cs="Times New Roman" w:eastAsia="Times New Roman" w:hAnsi="Times New Roman"/>
          <w:rtl w:val="0"/>
        </w:rPr>
        <w:t xml:space="preserve">cuatro </w:t>
      </w:r>
      <w:r w:rsidDel="00000000" w:rsidR="00000000" w:rsidRPr="00000000">
        <w:rPr>
          <w:rFonts w:ascii="Times New Roman" w:cs="Times New Roman" w:eastAsia="Times New Roman" w:hAnsi="Times New Roman"/>
          <w:i w:val="0"/>
          <w:iCs w:val="0"/>
          <w:rtl w:val="0"/>
        </w:rPr>
        <w:t xml:space="preserve">condiciones. Primera, establecer una línea base homogénea: los indicadores deben corresponder al mismo periodo de corte y al mismo universo de medición, evitando comparaciones entre magnitudes construidas con criterios distintos, según la advertencia ya formulada en la </w:t>
      </w:r>
      <w:commentRangeStart w:id="165"/>
      <w:r w:rsidDel="00000000" w:rsidR="00000000" w:rsidRPr="00000000">
        <w:rPr>
          <w:rFonts w:ascii="Times New Roman" w:cs="Times New Roman" w:eastAsia="Times New Roman" w:hAnsi="Times New Roman"/>
          <w:i w:val="0"/>
          <w:iCs w:val="0"/>
          <w:rtl w:val="0"/>
        </w:rPr>
        <w:t xml:space="preserve">sección 1.5</w:t>
      </w:r>
      <w:commentRangeEnd w:id="165"/>
      <w:r>
        <w:rPr>
          <w:rStyle w:val="CommentReference"/>
        </w:rPr>
        <w:commentReference w:id="165"/>
      </w:r>
      <w:r w:rsidDel="00000000" w:rsidR="00000000" w:rsidRPr="00000000">
        <w:rPr>
          <w:rFonts w:ascii="Times New Roman" w:cs="Times New Roman" w:eastAsia="Times New Roman" w:hAnsi="Times New Roman"/>
          <w:i w:val="0"/>
          <w:iCs w:val="0"/>
          <w:rtl w:val="0"/>
        </w:rPr>
        <w:t xml:space="preserve">. Segunda, definir la fuente de dato autoritativa para cada indicador dentro de la plataforma de datos, de modo que la medición posterior sea reproducible. Tercera, fijar la frecuencia de medición y el responsable de cada indicador, sin lo cual el seguimiento se vuelve declarativo. Cuarta, constatar el comportamiento del flujo mediante pruebas reales de contratación como cliente y como no cliente, incluyendo perfiles que hoy resultan derivados, de modo que la línea base de conversión y derivación se construya sobre observación directa y no sobre estimación.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2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precisar, finalmente, que los indicadores de línea base pública provienen de cortes distintos: junio de 2026 para los reportados </w:t>
      </w:r>
      <w:commentRangeStart w:id="211"/>
      <w:r w:rsidDel="00000000" w:rsidR="00000000" w:rsidRPr="00000000">
        <w:rPr>
          <w:rFonts w:ascii="Times New Roman" w:cs="Times New Roman" w:eastAsia="Times New Roman" w:hAnsi="Times New Roman"/>
          <w:rtl w:val="0"/>
        </w:rPr>
        <w:t xml:space="preserve">en el informe de gerencia trimestral</w:t>
      </w:r>
      <w:commentRangeEnd w:id="211"/>
      <w:r>
        <w:rPr>
          <w:rStyle w:val="CommentReference"/>
        </w:rPr>
        <w:commentReference w:id="211"/>
      </w:r>
      <w:r w:rsidDel="00000000" w:rsidR="00000000" w:rsidRPr="00000000">
        <w:rPr>
          <w:rFonts w:ascii="Times New Roman" w:cs="Times New Roman" w:eastAsia="Times New Roman" w:hAnsi="Times New Roman"/>
          <w:rtl w:val="0"/>
        </w:rPr>
        <w:t xml:space="preserve"> y en los reportes mensuales de reclamos, diciembre de 2025 para los provenientes de la memoria anual y del </w:t>
      </w:r>
      <w:commentRangeStart w:id="212"/>
      <w:r w:rsidDel="00000000" w:rsidR="00000000" w:rsidRPr="00000000">
        <w:rPr>
          <w:rFonts w:ascii="Times New Roman" w:cs="Times New Roman" w:eastAsia="Times New Roman" w:hAnsi="Times New Roman"/>
          <w:rtl w:val="0"/>
        </w:rPr>
        <w:t xml:space="preserve">informe de gerencia del cuarto trimestre</w:t>
      </w:r>
      <w:commentRangeEnd w:id="212"/>
      <w:r>
        <w:rPr>
          <w:rStyle w:val="CommentReference"/>
        </w:rPr>
        <w:commentReference w:id="212"/>
      </w:r>
      <w:r w:rsidDel="00000000" w:rsidR="00000000" w:rsidRPr="00000000">
        <w:rPr>
          <w:rFonts w:ascii="Times New Roman" w:cs="Times New Roman" w:eastAsia="Times New Roman" w:hAnsi="Times New Roman"/>
          <w:rtl w:val="0"/>
        </w:rPr>
        <w:t xml:space="preserve">, y marzo de 2026 para los indicadores sectoriales. Cada indicador identifica su corte en las Tablas 23 a 25 y no deben combinarse en un mismo cálculo sin advertirlo.</w:t>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301" w:name="_TocE3_1"/>
      <w:bookmarkEnd w:id="301"/>
      <w:commentRangeStart w:id="311"/>
      <w:r w:rsidDel="00000000" w:rsidR="00000000" w:rsidRPr="00000000">
        <w:rPr>
          <w:rFonts w:ascii="Times New Roman" w:cs="Times New Roman" w:eastAsia="Times New Roman" w:hAnsi="Times New Roman"/>
          <w:b w:val="1"/>
          <w:bCs w:val="1"/>
          <w:sz w:val="22"/>
          <w:szCs w:val="22"/>
          <w:rtl w:val="0"/>
        </w:rPr>
        <w:t xml:space="preserve">Hipótesis de las iniciativas a ser desarrolladas</w:t>
      </w:r>
      <w:commentRangeEnd w:id="311"/>
      <w:r>
        <w:rPr>
          <w:rStyle w:val="CommentReference"/>
        </w:rPr>
        <w:commentReference w:id="311"/>
      </w:r>
      <w:r w:rsidDel="00000000" w:rsidR="00000000" w:rsidRPr="00000000">
        <w:rPr>
          <w:rFonts w:ascii="Times New Roman" w:cs="Times New Roman" w:eastAsia="Times New Roman" w:hAnsi="Times New Roman"/>
          <w:rtl w:val="0"/>
        </w:rPr>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2" w:name="_TocE3_2"/>
      <w:bookmarkEnd w:id="302"/>
      <w:r w:rsidDel="00000000" w:rsidR="00000000" w:rsidRPr="00000000">
        <w:rPr>
          <w:rFonts w:ascii="Times New Roman" w:cs="Times New Roman" w:eastAsia="Times New Roman" w:hAnsi="Times New Roman"/>
          <w:b w:val="1"/>
          <w:bCs w:val="1"/>
          <w:sz w:val="22"/>
          <w:szCs w:val="22"/>
          <w:rtl w:val="0"/>
        </w:rPr>
        <w:t xml:space="preserve">Enfoque metodológico para la formulación de hipótesis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hipótesis que siguen atienden los tres dolores críticos </w:t>
      </w:r>
      <w:commentRangeStart w:id="239"/>
      <w:r w:rsidDel="00000000" w:rsidR="00000000" w:rsidRPr="00000000">
        <w:rPr>
          <w:rFonts w:ascii="Times New Roman" w:cs="Times New Roman" w:eastAsia="Times New Roman" w:hAnsi="Times New Roman"/>
          <w:rtl w:val="0"/>
        </w:rPr>
        <w:t xml:space="preserve">seleccionados en la sección 4.1 —</w:t>
      </w:r>
      <w:commentRangeEnd w:id="239"/>
      <w:r>
        <w:rPr>
          <w:rStyle w:val="CommentReference"/>
        </w:rPr>
        <w:commentReference w:id="239"/>
      </w:r>
      <w:r w:rsidDel="00000000" w:rsidR="00000000" w:rsidRPr="00000000">
        <w:rPr>
          <w:rFonts w:ascii="Times New Roman" w:cs="Times New Roman" w:eastAsia="Times New Roman" w:hAnsi="Times New Roman"/>
          <w:rtl w:val="0"/>
        </w:rPr>
        <w:t xml:space="preserve">DC1 (baja digitalización de la originación de crédito Pyme), DC2 (tiempo de resolución y exposición sancionatoria por operaciones no reconocidas) y DC3 (penetración digital dispar en la contratación de productos)— aplicando el criterio establecido en el enunciado del trabajo: priorizar agentes de inteligencia artificial como tecnología habilitante, sin que ello excluya otras tecnologías disruptivas cuando la evidencia lo justifique.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hipótesis se somete a la misma prueba. Primero, se sustenta con evidencia de mercado verificable sobre el estado del arte de agentes de IA en banca, incluyendo, cuando existe, el comportamiento de competidores directos en el mercado peruano. Segundo, se traduce en una matriz Eliminar-Reducir-Elevar-Crear (ERRC), instrumento propuesto por </w:t>
      </w:r>
      <w:r w:rsidDel="00000000" w:rsidR="00000000" w:rsidRPr="00000000">
        <w:rPr>
          <w:rFonts w:ascii="Times New Roman" w:cs="Times New Roman" w:eastAsia="Times New Roman" w:hAnsi="Times New Roman"/>
          <w:i w:val="1"/>
          <w:iCs w:val="1"/>
          <w:rtl w:val="0"/>
        </w:rPr>
        <w:t xml:space="preserve">Kim y Mauborgne (2005)</w:t>
      </w:r>
      <w:r w:rsidDel="00000000" w:rsidR="00000000" w:rsidRPr="00000000">
        <w:rPr>
          <w:rFonts w:ascii="Times New Roman" w:cs="Times New Roman" w:eastAsia="Times New Roman" w:hAnsi="Times New Roman"/>
          <w:rtl w:val="0"/>
        </w:rPr>
        <w:t xml:space="preserve"> para sistematizar el tránsito de un océano rojo —donde las entidades compiten por los mismos atributos— hacia un océano azul, en el que la propuesta de valor deja de ser comparable punto a punto con la competencia (Blue Ocean Strategy, s. f.). Tercero, se vincula con un indicador de éxito ya definido en las </w:t>
      </w:r>
      <w:commentRangeStart w:id="241"/>
      <w:r w:rsidDel="00000000" w:rsidR="00000000" w:rsidRPr="00000000">
        <w:rPr>
          <w:rFonts w:ascii="Times New Roman" w:cs="Times New Roman" w:eastAsia="Times New Roman" w:hAnsi="Times New Roman"/>
          <w:rtl w:val="0"/>
        </w:rPr>
        <w:t xml:space="preserve">Tablas 23 a 25 (sección 4.3)</w:t>
      </w:r>
      <w:commentRangeEnd w:id="241"/>
      <w:r>
        <w:rPr>
          <w:rStyle w:val="CommentReference"/>
        </w:rPr>
        <w:commentReference w:id="241"/>
      </w:r>
      <w:r w:rsidDel="00000000" w:rsidR="00000000" w:rsidRPr="00000000">
        <w:rPr>
          <w:rFonts w:ascii="Times New Roman" w:cs="Times New Roman" w:eastAsia="Times New Roman" w:hAnsi="Times New Roman"/>
          <w:rtl w:val="0"/>
        </w:rPr>
        <w:t xml:space="preserve">, de modo que la iniciativa no introduce una métrica nueva y desconectada del diagnóstico previo, sino que reutiliza la línea base y la meta ya declaradas.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sobre el estado de la competencia.</w:t>
      </w:r>
      <w:r w:rsidDel="00000000" w:rsidR="00000000" w:rsidRPr="00000000">
        <w:rPr>
          <w:rFonts w:ascii="Times New Roman" w:cs="Times New Roman" w:eastAsia="Times New Roman" w:hAnsi="Times New Roman"/>
          <w:rtl w:val="0"/>
        </w:rPr>
        <w:t xml:space="preserve"> La evidencia recogida muestra que el mercado peruano ya no es un espacio inexplorado en materia de agentes conversacionales: Mibanco desplegó en julio de 2026 un agente de IA agéntica de AWS sobre WhatsApp que abre cuentas de ahorro, desembolsa créditos y ejecuta transferencias de forma autónoma, con más de 357,000 interacciones y S/ 10.6 millones desembolsados en sus primeros meses (PressPerú, 2026); y el BCP opera desde 2024 un voicebot que atiende el 30 % de las llamadas de su call center, aunque circunscrito a consultas informativas (Mestanza Arquiñigo, 2024). El propio BBVA Perú participa de esta tendencia. Desde 2021 opera Blue, un asistente virtual disponible las 24 horas en la app y la banca por internet, que al cierre de 2024 había resuelto más de tres millones de consultas. Desde 2024 opera además Blue Voicebot en la banca telefónica: solicita el DNI como filtro de seguridad y deriva al cliente hacia la autogestión, un asesor humano o flujos del propio voicebot (Reusche, 2025). Un agente conversacional genérico ya no constituye, por sí solo, una propuesta de océano azul: sería imitar una jugada que la competencia, e incluso el propio banco, ya hizo pública. Por ello, cada hipótesis identifica específicamente qué elemento del proceso BBVA puede elevar o crear que sus competidores locales, </w:t>
      </w:r>
      <w:commentRangeStart w:id="258"/>
      <w:r w:rsidDel="00000000" w:rsidR="00000000" w:rsidRPr="00000000">
        <w:rPr>
          <w:rFonts w:ascii="Times New Roman" w:cs="Times New Roman" w:eastAsia="Times New Roman" w:hAnsi="Times New Roman"/>
          <w:rtl w:val="0"/>
        </w:rPr>
        <w:t xml:space="preserve">hasta la fecha de elaboración de este informe</w:t>
      </w:r>
      <w:commentRangeEnd w:id="258"/>
      <w:r>
        <w:rPr>
          <w:rStyle w:val="CommentReference"/>
        </w:rPr>
        <w:commentReference w:id="258"/>
      </w:r>
      <w:r w:rsidDel="00000000" w:rsidR="00000000" w:rsidRPr="00000000">
        <w:rPr>
          <w:rFonts w:ascii="Times New Roman" w:cs="Times New Roman" w:eastAsia="Times New Roman" w:hAnsi="Times New Roman"/>
          <w:rtl w:val="0"/>
        </w:rPr>
        <w:t xml:space="preserve">, no ofrecen.</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Advertencia regulatoria.</w:t>
      </w:r>
      <w:r w:rsidDel="00000000" w:rsidR="00000000" w:rsidRPr="00000000">
        <w:rPr>
          <w:rFonts w:ascii="Times New Roman" w:cs="Times New Roman" w:eastAsia="Times New Roman" w:hAnsi="Times New Roman"/>
          <w:rtl w:val="0"/>
        </w:rPr>
        <w:t xml:space="preserve"> Toda hipótesis que emplee inteligencia artificial en la evaluación crediticia debe diseñarse bajo el Reglamento de la Ley </w:t>
      </w:r>
      <w:commentRangeStart w:id="293"/>
      <w:r w:rsidDel="00000000" w:rsidR="00000000" w:rsidRPr="00000000">
        <w:rPr>
          <w:rFonts w:ascii="Times New Roman" w:cs="Times New Roman" w:eastAsia="Times New Roman" w:hAnsi="Times New Roman"/>
          <w:rtl w:val="0"/>
        </w:rPr>
        <w:t xml:space="preserve">N.º </w:t>
      </w:r>
      <w:commentRangeEnd w:id="293"/>
      <w:r>
        <w:rPr>
          <w:rStyle w:val="CommentReference"/>
        </w:rPr>
        <w:commentReference w:id="293"/>
      </w:r>
      <w:r w:rsidDel="00000000" w:rsidR="00000000" w:rsidRPr="00000000">
        <w:rPr>
          <w:rFonts w:ascii="Times New Roman" w:cs="Times New Roman" w:eastAsia="Times New Roman" w:hAnsi="Times New Roman"/>
          <w:rtl w:val="0"/>
        </w:rPr>
        <w:t xml:space="preserve">31814, aprobado por el Decreto Supremo </w:t>
      </w:r>
      <w:commentRangeStart w:id="294"/>
      <w:r w:rsidDel="00000000" w:rsidR="00000000" w:rsidRPr="00000000">
        <w:rPr>
          <w:rFonts w:ascii="Times New Roman" w:cs="Times New Roman" w:eastAsia="Times New Roman" w:hAnsi="Times New Roman"/>
          <w:rtl w:val="0"/>
        </w:rPr>
        <w:t xml:space="preserve">N.º </w:t>
      </w:r>
      <w:commentRangeEnd w:id="294"/>
      <w:r>
        <w:rPr>
          <w:rStyle w:val="CommentReference"/>
        </w:rPr>
        <w:commentReference w:id="294"/>
      </w:r>
      <w:r w:rsidDel="00000000" w:rsidR="00000000" w:rsidRPr="00000000">
        <w:rPr>
          <w:rFonts w:ascii="Times New Roman" w:cs="Times New Roman" w:eastAsia="Times New Roman" w:hAnsi="Times New Roman"/>
          <w:rtl w:val="0"/>
        </w:rPr>
        <w:t xml:space="preserve">115-2025-PCM (en adelante, el Reglamento). Este clasifica como uso de riesgo alto todo sistema de IA que determine la evaluación crediticia de personas, salvo que se emplee para la detección de fraude financiero (art. 24.1, literal g). Al implementador privado de un sistema de riesgo alto le exige informar al usuario, de forma previa, clara y sencilla, sobre la finalidad del sistema y el tipo de decisiones que puede tomar (art. 25.1). También le exige explicar a los usuarios afectados los criterios y factores clave de las decisiones automatizadas que impacten en sus derechos (art. 25.3). Además, la supervisión humana debe recaer en personal capacitado, con capacidad de detener, corregir o invalidar las decisiones del sistema (art. 31.4). A todo implementador le exige, finalmente, aplicar prácticas para identificar y minimizar sesgos algorítmicos (art. 27.1, literal d). Para el sector de economía y finanzas, estas obligaciones son exigibles desde el 10 de setiembre de 2026, al cumplirse un año de la publicación del Reglamento (Decreto Supremo </w:t>
      </w:r>
      <w:commentRangeStart w:id="295"/>
      <w:r w:rsidDel="00000000" w:rsidR="00000000" w:rsidRPr="00000000">
        <w:rPr>
          <w:rFonts w:ascii="Times New Roman" w:cs="Times New Roman" w:eastAsia="Times New Roman" w:hAnsi="Times New Roman"/>
          <w:rtl w:val="0"/>
        </w:rPr>
        <w:t xml:space="preserve">N.º </w:t>
      </w:r>
      <w:commentRangeEnd w:id="295"/>
      <w:r>
        <w:rPr>
          <w:rStyle w:val="CommentReference"/>
        </w:rPr>
        <w:commentReference w:id="295"/>
      </w:r>
      <w:r w:rsidDel="00000000" w:rsidR="00000000" w:rsidRPr="00000000">
        <w:rPr>
          <w:rFonts w:ascii="Times New Roman" w:cs="Times New Roman" w:eastAsia="Times New Roman" w:hAnsi="Times New Roman"/>
          <w:rtl w:val="0"/>
        </w:rPr>
        <w:t xml:space="preserve">115-2025-PCM, 2025, Primera Disposición Complementaria Final; Ramírez Huancayo, 2026). Esta exigencia no es un obstáculo lateral: se incorpora como condición de diseño en la hipótesis del DC1 y, por prudencia, en la del DC2.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262"/>
      <w:r w:rsidDel="00000000" w:rsidR="00000000" w:rsidRPr="00000000">
        <w:rPr>
          <w:rFonts w:ascii="Times New Roman" w:cs="Times New Roman" w:eastAsia="Times New Roman" w:hAnsi="Times New Roman"/>
          <w:b w:val="1"/>
          <w:bCs w:val="1"/>
          <w:rtl w:val="0"/>
        </w:rPr>
        <w:t xml:space="preserve">Foco del equipo para los siguientes avances.</w:t>
      </w:r>
      <w:commentRangeEnd w:id="262"/>
      <w:r>
        <w:rPr>
          <w:rStyle w:val="CommentReference"/>
        </w:rPr>
        <w:commentReference w:id="262"/>
      </w:r>
      <w:r w:rsidDel="00000000" w:rsidR="00000000" w:rsidRPr="00000000">
        <w:rPr>
          <w:rFonts w:ascii="Times New Roman" w:cs="Times New Roman" w:eastAsia="Times New Roman" w:hAnsi="Times New Roman"/>
          <w:rtl w:val="0"/>
        </w:rPr>
        <w:t xml:space="preserve"> </w:t>
      </w:r>
      <w:commentRangeStart w:id="263"/>
      <w:r w:rsidDel="00000000" w:rsidR="00000000" w:rsidRPr="00000000">
        <w:rPr>
          <w:rFonts w:ascii="Times New Roman" w:cs="Times New Roman" w:eastAsia="Times New Roman" w:hAnsi="Times New Roman"/>
          <w:rtl w:val="0"/>
        </w:rPr>
        <w:t xml:space="preserve">Esta parte del informe desarrolla, conforme lo exige el enunciado del trabajo,</w:t>
      </w:r>
      <w:commentRangeEnd w:id="263"/>
      <w:r>
        <w:rPr>
          <w:rStyle w:val="CommentReference"/>
        </w:rPr>
        <w:commentReference w:id="263"/>
      </w:r>
      <w:r w:rsidDel="00000000" w:rsidR="00000000" w:rsidRPr="00000000">
        <w:rPr>
          <w:rFonts w:ascii="Times New Roman" w:cs="Times New Roman" w:eastAsia="Times New Roman" w:hAnsi="Times New Roman"/>
          <w:rtl w:val="0"/>
        </w:rPr>
        <w:t xml:space="preserve"> hipótesis de iniciativa y descripción As Is para los tres dolores críticos priorizados (DC1, DC2 y DC3), manteniendo el mismo nivel de rigor y de sustento en cada uno. </w:t>
      </w:r>
      <w:commentRangeStart w:id="264"/>
      <w:r w:rsidDel="00000000" w:rsidR="00000000" w:rsidRPr="00000000">
        <w:rPr>
          <w:rFonts w:ascii="Times New Roman" w:cs="Times New Roman" w:eastAsia="Times New Roman" w:hAnsi="Times New Roman"/>
          <w:rtl w:val="0"/>
        </w:rPr>
        <w:t xml:space="preserve">A partir de este avance, el equipo</w:t>
      </w:r>
      <w:commentRangeEnd w:id="264"/>
      <w:r>
        <w:rPr>
          <w:rStyle w:val="CommentReference"/>
        </w:rPr>
        <w:commentReference w:id="264"/>
      </w:r>
      <w:r w:rsidDel="00000000" w:rsidR="00000000" w:rsidRPr="00000000">
        <w:rPr>
          <w:rFonts w:ascii="Times New Roman" w:cs="Times New Roman" w:eastAsia="Times New Roman" w:hAnsi="Times New Roman"/>
          <w:rtl w:val="0"/>
        </w:rPr>
        <w:t xml:space="preserve"> concentra además el desarrollo de la iniciativa en el dolor DC3 —contratación de productos por canal digital—, seleccionado como proceso ancla del proyecto porque es el que ofrece mayor claridad y disponibilidad de información para el equipo: el área de prevención de fraude que sustenta a DC2 opera de forma aislada y confidencial, y el flujo de originación Pyme de DC1 corresponde a un segmento distinto al de retail </w:t>
      </w:r>
      <w:r w:rsidDel="00000000" w:rsidR="00000000" w:rsidRPr="00000000">
        <w:rPr>
          <w:rFonts w:ascii="Times New Roman" w:cs="Times New Roman" w:eastAsia="Times New Roman" w:hAnsi="Times New Roman"/>
          <w:i w:val="1"/>
          <w:iCs w:val="1"/>
          <w:rtl w:val="0"/>
        </w:rPr>
        <w:t xml:space="preserve">(A. Moquillaza, comunicación personal, 11 de setiembre de 2026)</w:t>
      </w:r>
      <w:r w:rsidDel="00000000" w:rsidR="00000000" w:rsidRPr="00000000">
        <w:rPr>
          <w:rFonts w:ascii="Times New Roman" w:cs="Times New Roman" w:eastAsia="Times New Roman" w:hAnsi="Times New Roman"/>
          <w:rtl w:val="0"/>
        </w:rPr>
        <w:t xml:space="preserve">. Esta decisión no reduce el </w:t>
      </w:r>
      <w:commentRangeStart w:id="270"/>
      <w:r w:rsidDel="00000000" w:rsidR="00000000" w:rsidRPr="00000000">
        <w:rPr>
          <w:rFonts w:ascii="Times New Roman" w:cs="Times New Roman" w:eastAsia="Times New Roman" w:hAnsi="Times New Roman"/>
          <w:rtl w:val="0"/>
        </w:rPr>
        <w:t xml:space="preserve">alcance exigido en este informe</w:t>
      </w:r>
      <w:commentRangeEnd w:id="270"/>
      <w:r>
        <w:rPr>
          <w:rStyle w:val="CommentReference"/>
        </w:rPr>
        <w:commentReference w:id="270"/>
      </w:r>
      <w:r w:rsidDel="00000000" w:rsidR="00000000" w:rsidRPr="00000000">
        <w:rPr>
          <w:rFonts w:ascii="Times New Roman" w:cs="Times New Roman" w:eastAsia="Times New Roman" w:hAnsi="Times New Roman"/>
          <w:rtl w:val="0"/>
        </w:rPr>
        <w:t xml:space="preserve">: las hipótesis y la descripción As Is de DC1 y DC2 se mantienen desarrolladas en su totalidad en las secciones 5.2, 5.3, 6.1 y 6.2.</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3" w:name="_TocE3_3"/>
      <w:bookmarkEnd w:id="303"/>
      <w:r w:rsidDel="00000000" w:rsidR="00000000" w:rsidRPr="00000000">
        <w:rPr>
          <w:rFonts w:ascii="Times New Roman" w:cs="Times New Roman" w:eastAsia="Times New Roman" w:hAnsi="Times New Roman"/>
          <w:b w:val="1"/>
          <w:bCs w:val="1"/>
          <w:sz w:val="22"/>
          <w:szCs w:val="22"/>
          <w:rtl w:val="0"/>
        </w:rPr>
        <w:t xml:space="preserve">Hipótesis de iniciativa para DC1: agente de precalificación crediticia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de precalificación y acompañamiento conversacional para el crédito Pyme, integrado al perfil Mi Negocio de la App BBVA y a la App BBVA Empresas, y accesible por canal de mensajería.</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La ruta digital de crédito Pyme de BBVA Perú opera hoy sobre ofertas que el banco preaprueba y presenta al cliente. El Préstamo Digital Negocio y la Línea de Préstamo Digital se contratan desde el perfil Mi Negocio de la App BBVA, reservado a clientes identificados como persona natural con negocio, y su otorgamiento está sujeto al mantenimiento de las condiciones que motivaron la preaprobación. La línea para persona jurídica exige, además, contar con una oferta preaprobada en la App BBVA Empresas (Banco BBVA Perú, s. f.-c, s. f.-d, s. f.-e). Para el empresario sin oferta preaprobada, los préstamos comerciales publicados exigen, entre otros requisitos, los tres últimos pagos de IGV o Impuesto a la Renta y estados financieros con antigüedad no mayor a tres meses (Banco BBVA Perú, s. f.-f). La hipótesis plantea lo siguiente. BBVA Perú desplegaría un agente de IA que conversa con el empresario antes de que este inicie el trámite formal y que interpreta su información de negocio en lenguaje natural, incluida documentación no estructurada como fotografías de comprobantes de venta. El agente contrastaría esa información con la transaccionalidad ya registrada en el ecosistema del banco (cuenta corriente, Openpay, QR Empresas). Así, el empresario podría conocer en la misma conversación para qué producto precalifica y bajo qué condiciones, sin producir primero la documentación financiera estructurada que hoy no posee (Melo, 2026). La iniciativa no sustituye la evaluación crediticia formal, sino que amplía el universo de clientes con acceso a una oferta: la precalificación deja de ser una oferta que el banco presenta a algunos clientes y pasa a ser una evaluación preliminar que el empresario solicita cuando la necesita. Esto ataca simultáneamente el dolor D1 y el dolor D3, ambos integrados en DC1. El dolor D1 es la brecha entre una ruta digital que resuelve el crédito en tres minutos en promedio y una ruta asistida que concentra dos tercios de las colocaciones (Reusche, 2026). El dolor D3 es la dependencia de información financiera que la microempresa no produce de forma estructurada.</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literatura especializada documenta que los agentes de IA ya son capaces de "tomar decisiones financieras complejas a nivel de cliente" y que las Pyme "ya están aprovechando la automatización de tesorería basada en APIs para optimizar el manejo de efectivo" </w:t>
      </w:r>
      <w:r w:rsidDel="00000000" w:rsidR="00000000" w:rsidRPr="00000000">
        <w:rPr>
          <w:rFonts w:ascii="Times New Roman" w:cs="Times New Roman" w:eastAsia="Times New Roman" w:hAnsi="Times New Roman"/>
          <w:i w:val="1"/>
          <w:iCs w:val="1"/>
          <w:rtl w:val="0"/>
        </w:rPr>
        <w:t xml:space="preserve">(Sundararajan y Jeenah, 2025)</w:t>
      </w:r>
      <w:r w:rsidDel="00000000" w:rsidR="00000000" w:rsidRPr="00000000">
        <w:rPr>
          <w:rFonts w:ascii="Times New Roman" w:cs="Times New Roman" w:eastAsia="Times New Roman" w:hAnsi="Times New Roman"/>
          <w:rtl w:val="0"/>
        </w:rPr>
        <w:t xml:space="preserve">. En mercados con reporte de resultados agregados, la automatización de la suscripción crediticia con IA se asocia a una mejora de 30 % en el tiempo de respuesta crediticia y a un incremento de 25 % en la tasa de aprobación sin incremento del riesgo </w:t>
      </w:r>
      <w:sdt>
        <w:sdtPr>
          <w:id w:val="-110872465"/>
          <w:tag w:val="goog_rdk_0"/>
        </w:sdtPr>
        <w:sdtContent>
          <w:commentRangeStart w:id="226"/>
        </w:sdtContent>
      </w:sdt>
      <w:r w:rsidDel="00000000" w:rsidR="00000000" w:rsidRPr="00000000">
        <w:rPr>
          <w:rFonts w:ascii="Times New Roman" w:cs="Times New Roman" w:eastAsia="Times New Roman" w:hAnsi="Times New Roman"/>
          <w:i w:val="1"/>
          <w:iCs w:val="1"/>
          <w:rtl w:val="0"/>
        </w:rPr>
        <w:t xml:space="preserve">(Stealth Agents, 2026, con base en McKinsey y Zest AI)</w:t>
      </w:r>
      <w:commentRangeEnd w:id="226"/>
      <w:r w:rsidDel="00000000" w:rsidR="00000000" w:rsidRPr="00000000">
        <w:rPr>
          <w:rFonts w:ascii="Times New Roman" w:cs="Times New Roman" w:eastAsia="Times New Roman" w:hAnsi="Times New Roman"/>
        </w:rPr>
        <w:commentReference w:id="226"/>
      </w:r>
      <w:r w:rsidDel="00000000" w:rsidR="00000000" w:rsidRPr="00000000">
        <w:rPr>
          <w:rFonts w:ascii="Times New Roman" w:cs="Times New Roman" w:eastAsia="Times New Roman" w:hAnsi="Times New Roman"/>
          <w:rtl w:val="0"/>
        </w:rPr>
        <w:t xml:space="preserve">; otra fuente reporta una reducción de 70 % en el tiempo de procesamiento y de 35 % en el abandono de solicitudes para casos de procesamiento documental de préstamos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Estas cifras corresponden a mercados desarrollados y no son extrapolables directamente al segmento Pyme peruano; se citan como referencia del orden de magnitud del beneficio esperado, no como proyección propia de BBVA Perú. </w:t>
      </w:r>
      <w:commentRangeStart w:id="273"/>
      <w:r w:rsidDel="00000000" w:rsidR="00000000" w:rsidRPr="00000000">
        <w:rPr>
          <w:rFonts w:ascii="Times New Roman" w:cs="Times New Roman" w:eastAsia="Times New Roman" w:hAnsi="Times New Roman"/>
          <w:rtl w:val="0"/>
        </w:rPr>
        <w:t xml:space="preserve">Dentro del propio Grupo BBVA</w:t>
      </w:r>
      <w:commentRangeEnd w:id="273"/>
      <w:r>
        <w:rPr>
          <w:rStyle w:val="CommentReference"/>
        </w:rPr>
        <w:commentReference w:id="273"/>
      </w:r>
      <w:r w:rsidDel="00000000" w:rsidR="00000000" w:rsidRPr="00000000">
        <w:rPr>
          <w:rFonts w:ascii="Times New Roman" w:cs="Times New Roman" w:eastAsia="Times New Roman" w:hAnsi="Times New Roman"/>
          <w:rtl w:val="0"/>
        </w:rPr>
        <w:t xml:space="preserve"> existe, además, evidencia latinoamericana del mismo patrón. BBVA México lanzó en junio de 2026 una estrategia de financiamiento digital dirigida a 1.1 millones de pymes en la que la profundidad de la relación con el cliente y el uso de datos permiten automatizar las validaciones y otorgar los recursos de manera inmediata, frente a los 10 a 17 días que históricamente toma la banca tradicional (BBVA, 2026d). Asimismo, el equipo de Riesgo Pyme de BBVA México desarrolló, como prueba de concepto, un asistente conversacional que guía al empresario mediante un cuestionario digital en reemplazo del reporte de más de cien preguntas que hoy debe presentar para certificar que su negocio sigue activo (Pombo Nartallo, 2025). La estrategia de IA del grupo, The Eight, respalda el principio de diseño de esta hipótesis: su frente de riesgos busca dotar a los analistas de herramientas para mejorar la toma de decisiones manteniendo al analista en el centro de la decisión (BBVA, 2025b). Ninguno de estos casos reporta todavía resultados de aprobación o de riesgo comparables con los de BBVA Perú, por lo que se citan como precedentes del mismo grupo en un mercado emergente y no como proyección.</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Diferenciación frente a la competencia local.</w:t>
      </w:r>
      <w:r w:rsidDel="00000000" w:rsidR="00000000" w:rsidRPr="00000000">
        <w:rPr>
          <w:rFonts w:ascii="Times New Roman" w:cs="Times New Roman" w:eastAsia="Times New Roman" w:hAnsi="Times New Roman"/>
          <w:rtl w:val="0"/>
        </w:rPr>
        <w:t xml:space="preserve"> El agente de Mibanco ya ejecuta desembolsos conversacionales por WhatsApp (PressPerú, 2026), por lo que replicar solo esa función no genera océano azul. Tampoco es nuevo para el propio BBVA Perú usar datos transaccionales en la oferta de crédito. El Anticipo POS ya se ofrece como crédito preaprobado de S/ 3,000 a S/ 100,000 a negocios con POS Openpay, Izipay o Niubiz, y se repaga con la retención del 35 % de sus ventas diarias (Banco BBVA Perú, s. f.-g). La propuesta diferencial consiste en invertir el sentido de la oferta: la precalificación, construida sobre esos mismos datos, la solicita el empresario antes del trámite y sin reemplazarlo, en lugar de depender de que el banco le presente una oferta. Esta ventaja descansa en una base difícil de replicar, pues el 48 % de los clientes Pyme de BBVA Perú ya maneja sus cuentas transaccionales de forma principal en el banco (Reusche, 2026). La misma cifra acota el alcance de la hipótesis: para el resto de clientes, la información transaccional propia será parcial y el agente dependerá en mayor medida de la documentación que aporte el empresario.</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0"/>
      <w:r w:rsidDel="00000000" w:rsidR="00000000" w:rsidRPr="00000000">
        <w:rPr>
          <w:rFonts w:ascii="Times New Roman" w:cs="Times New Roman" w:eastAsia="Times New Roman" w:hAnsi="Times New Roman"/>
          <w:b w:val="1"/>
          <w:bCs w:val="1"/>
          <w:rtl w:val="0"/>
        </w:rPr>
        <w:t xml:space="preserve">Tabla 26</w:t>
      </w:r>
      <w:commentRangeEnd w:id="230"/>
      <w:r>
        <w:rPr>
          <w:rStyle w:val="CommentReference"/>
        </w:rPr>
        <w:commentReference w:id="230"/>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precalificación crediticia Pyme</w:t>
      </w:r>
      <w:r w:rsidDel="00000000" w:rsidR="00000000" w:rsidRPr="00000000">
        <w:rPr>
          <w:rFonts w:ascii="Times New Roman" w:cs="Times New Roman" w:eastAsia="Times New Roman" w:hAnsi="Times New Roman"/>
          <w:rtl w:val="0"/>
        </w:rPr>
      </w:r>
    </w:p>
    <w:tbl>
      <w:tblPr>
        <w:tblStyle w:val="Table27"/>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440"/>
        <w:tblGridChange w:id="0">
          <w:tblGrid>
            <w:gridCol w:w="1605"/>
            <w:gridCol w:w="744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exigencia de presentar, como primer paso, documentación financiera estructurada que la microempresa no produce de forma habitual (Melo, 2026), como los tres últimos pagos de IGV o Impuesto a la Renta y estados financieros con antigüedad no mayor a tres meses (Banco BBVA Perú, s. f.-f).</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en que el empresario permanece sin visibilidad del estado de su solicitud durante la evaluación crediticia (etapa 3 del recorrido, Tabla 15); la proporción de colocaciones que se originan exclusivamente por canal asistido; la dependencia de una oferta preaprobada por el banco como condición para acceder a la ruta digital.</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transparencia de la decisión preliminar, explicando al cliente los factores que sustentan su precalificación, conforme al artículo 25.3 del Reglamento de la Ley </w:t>
            </w:r>
            <w:commentRangeStart w:id="296"/>
            <w:r w:rsidDel="00000000" w:rsidR="00000000" w:rsidRPr="00000000">
              <w:rPr>
                <w:rFonts w:ascii="Times New Roman" w:cs="Times New Roman" w:eastAsia="Times New Roman" w:hAnsi="Times New Roman"/>
                <w:rtl w:val="0"/>
              </w:rPr>
              <w:t xml:space="preserve">N.º </w:t>
            </w:r>
            <w:commentRangeEnd w:id="296"/>
            <w:r>
              <w:rPr>
                <w:rStyle w:val="CommentReference"/>
              </w:rPr>
              <w:commentReference w:id="296"/>
            </w:r>
            <w:r w:rsidDel="00000000" w:rsidR="00000000" w:rsidRPr="00000000">
              <w:rPr>
                <w:rFonts w:ascii="Times New Roman" w:cs="Times New Roman" w:eastAsia="Times New Roman" w:hAnsi="Times New Roman"/>
                <w:rtl w:val="0"/>
              </w:rPr>
              <w:t xml:space="preserve">31814, exigible al sector financiero desde el </w:t>
            </w:r>
            <w:commentRangeStart w:id="279"/>
            <w:r w:rsidDel="00000000" w:rsidR="00000000" w:rsidRPr="00000000">
              <w:rPr>
                <w:rFonts w:ascii="Times New Roman" w:cs="Times New Roman" w:eastAsia="Times New Roman" w:hAnsi="Times New Roman"/>
                <w:rtl w:val="0"/>
              </w:rPr>
              <w:t xml:space="preserve">10 de setiembre de 2026</w:t>
            </w:r>
            <w:commentRangeEnd w:id="279"/>
            <w:r>
              <w:rPr>
                <w:rStyle w:val="CommentReference"/>
              </w:rPr>
              <w:commentReference w:id="279"/>
            </w:r>
            <w:r w:rsidDel="00000000" w:rsidR="00000000" w:rsidRPr="00000000">
              <w:rPr>
                <w:rFonts w:ascii="Times New Roman" w:cs="Times New Roman" w:eastAsia="Times New Roman" w:hAnsi="Times New Roman"/>
                <w:rtl w:val="0"/>
              </w:rPr>
              <w:t xml:space="preserve"> (Decreto Supremo </w:t>
            </w:r>
            <w:commentRangeStart w:id="297"/>
            <w:r w:rsidDel="00000000" w:rsidR="00000000" w:rsidRPr="00000000">
              <w:rPr>
                <w:rFonts w:ascii="Times New Roman" w:cs="Times New Roman" w:eastAsia="Times New Roman" w:hAnsi="Times New Roman"/>
                <w:rtl w:val="0"/>
              </w:rPr>
              <w:t xml:space="preserve">N.º </w:t>
            </w:r>
            <w:commentRangeEnd w:id="297"/>
            <w:r>
              <w:rPr>
                <w:rStyle w:val="CommentReference"/>
              </w:rPr>
              <w:commentReference w:id="297"/>
            </w:r>
            <w:r w:rsidDel="00000000" w:rsidR="00000000" w:rsidRPr="00000000">
              <w:rPr>
                <w:rFonts w:ascii="Times New Roman" w:cs="Times New Roman" w:eastAsia="Times New Roman" w:hAnsi="Times New Roman"/>
                <w:rtl w:val="0"/>
              </w:rPr>
              <w:t xml:space="preserve">115-2025-PCM, 2025); la disponibilidad del acompañamiento en un canal conversacional ya validado por el mercado peruano.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precalificación conversacional a solicitud del empresario, previa al trámite formal y construida sobre datos transaccionales propios del ecosistema BBVA (cuenta corriente, Openpay, QR Empresas, ventas por POS). Convierte la oferta preaprobada que hoy el banco presenta a algunos clientes en una evaluación preliminar que el cliente Pyme puede pedir, y ningún competidor sin esa base de clientes empresariales puede replicarla con la misma profundidad.</w:t>
            </w:r>
          </w:p>
        </w:tc>
      </w:tr>
    </w:tbl>
    <w:p w:rsidR="00000000" w:rsidDel="00000000" w:rsidP="00000000" w:rsidRDefault="00000000" w:rsidRPr="00000000">
      <w:pPr>
        <w:spacing w:after="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Elaboración propia con base en Kim y Mauborgne (2005) y en las fuentes citadas en la sección 5.2.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Tasa de originación digital Pyme </w:t>
      </w:r>
      <w:r w:rsidDel="00000000" w:rsidR="00000000" w:rsidRPr="00000000">
        <w:rPr>
          <w:rFonts w:ascii="Times New Roman" w:cs="Times New Roman" w:eastAsia="Times New Roman" w:hAnsi="Times New Roman"/>
          <w:rtl w:val="0"/>
        </w:rPr>
        <w:t xml:space="preserve">(línea base pública aproximada de 33 %, meta propuesta de 60 % en dieciocho meses)</w:t>
      </w:r>
      <w:r w:rsidDel="00000000" w:rsidR="00000000" w:rsidRPr="00000000">
        <w:rPr>
          <w:rFonts w:ascii="Times New Roman" w:cs="Times New Roman" w:eastAsia="Times New Roman" w:hAnsi="Times New Roman"/>
          <w:rtl w:val="0"/>
        </w:rPr>
        <w:t xml:space="preserve"> y tiempo de ciclo de la ruta asistida, hoy sin línea base pública y que el propio agente permitiría instrumentar por primera vez, conforme a la </w:t>
      </w:r>
      <w:commentRangeStart w:id="243"/>
      <w:r w:rsidDel="00000000" w:rsidR="00000000" w:rsidRPr="00000000">
        <w:rPr>
          <w:rFonts w:ascii="Times New Roman" w:cs="Times New Roman" w:eastAsia="Times New Roman" w:hAnsi="Times New Roman"/>
          <w:rtl w:val="0"/>
        </w:rPr>
        <w:t xml:space="preserve">Tabla 23</w:t>
      </w:r>
      <w:commentRangeEnd w:id="243"/>
      <w:r>
        <w:rPr>
          <w:rStyle w:val="CommentReference"/>
        </w:rPr>
        <w:commentReference w:id="243"/>
      </w:r>
      <w:r w:rsidDel="00000000" w:rsidR="00000000" w:rsidRPr="00000000">
        <w:rPr>
          <w:rFonts w:ascii="Times New Roman" w:cs="Times New Roman" w:eastAsia="Times New Roman" w:hAnsi="Times New Roman"/>
          <w:rtl w:val="0"/>
        </w:rPr>
        <w:t xml:space="preserve">. La meta de 60 % es una meta de estiramiento propuesta por el equipo y pendiente de validación con la entidad. El único ritmo de avance publicado por el banco para un indicador cercano, la participación digital en la facturación total del segmento High Value Pymes, pasó de 18 % a 28 % entre 2024 y 2025 (Banco BBVA Perú, 2026b, p. 25), es decir, unos diez puntos porcentuales por año. Alcanzar 60 % en dieciocho meses exige cerca de dieciocho puntos por año, </w:t>
      </w:r>
      <w:commentRangeStart w:id="272"/>
      <w:r w:rsidDel="00000000" w:rsidR="00000000" w:rsidRPr="00000000">
        <w:rPr>
          <w:rFonts w:ascii="Times New Roman" w:cs="Times New Roman" w:eastAsia="Times New Roman" w:hAnsi="Times New Roman"/>
          <w:rtl w:val="0"/>
        </w:rPr>
        <w:t xml:space="preserve">lo que supone que el agente propuesto casi duplique ese ritmo y triplique el de unos seis puntos por año que estima la Tabla 23 para la propia tasa de originación digital Pyme.</w:t>
      </w:r>
      <w:commentRangeEnd w:id="272"/>
      <w:r>
        <w:rPr>
          <w:rStyle w:val="CommentReference"/>
        </w:rPr>
        <w:commentReference w:id="272"/>
      </w:r>
      <w:r w:rsidDel="00000000" w:rsidR="00000000" w:rsidRPr="00000000">
        <w:rPr>
          <w:rFonts w:ascii="Times New Roman" w:cs="Times New Roman" w:eastAsia="Times New Roman" w:hAnsi="Times New Roman"/>
          <w:rtl w:val="0"/>
        </w:rPr>
        <w:t xml:space="preserve"> Como ambos indicadores no son idénticos, la comparación se usa solo como referencia de orden de magnitud.</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4" w:name="_TocE3_4"/>
      <w:bookmarkEnd w:id="304"/>
      <w:r w:rsidDel="00000000" w:rsidR="00000000" w:rsidRPr="00000000">
        <w:rPr>
          <w:rFonts w:ascii="Times New Roman" w:cs="Times New Roman" w:eastAsia="Times New Roman" w:hAnsi="Times New Roman"/>
          <w:b w:val="1"/>
          <w:bCs w:val="1"/>
          <w:sz w:val="22"/>
          <w:szCs w:val="22"/>
          <w:rtl w:val="0"/>
        </w:rPr>
        <w:t xml:space="preserve">Hipótesis de iniciativa para DC2: agente de investigación asistida de reclamos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Extensión del asistente Blue Buddy hacia un agente de investigación de casos para reclamos por operaciones no reconocidas.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Blue Buddy, el asistente de IA generativa de la red de atención de BBVA Perú, alcanzó una adopción de 90 % durante el segundo trimestre de 2026. Ese avance se produjo tras incorporar un flujo integral de reclamos que permite visualizar el ciclo de vida completo de los casos de los últimos seis meses, desde el motivo de la queja y el estado del proceso hasta el veredicto final del banco y su documentación asociada (Banco BBVA Perú, 2026a, p. 4). En el ámbito de reclamos, su función es de consulta: muestra el caso al asesor, pero no lo investiga. La hipótesis propone extender esa capacidad a un agente que cruce automáticamente las trazas transaccionales, las señales de comportamiento y el historial de casos similares entre los sistemas de fraude, operaciones y atención. El agente produciría un expediente estructurado con una recomendación preliminar: proceder con el abono provisional o escalar el caso a revisión especializada. Con ello, el analista humano dejaría de ejecutar manualmente la "revisión de las trazas de la operación y consulta de su ciclo de vida mediante las herramientas internas" que hoy describe la capa de soporte no visible del service blueprint (Tabla 16) y pasaría a validar una propuesta ya construida. Esto ataca de forma directa el dolor D7, es decir, el tiempo promedio ponderado de absolución de 11.29 días frente al promedio general de la entidad de 8.02 días. La decisión humana final se mantiene, dado que el reglamento de la SBS exige que la entidad sustente la procedencia del reclamo (SBS, 2022).</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En el segmento de disputas y contracargos, la automatización con IA permite reducir la recopilación de evidencia de veinte o treinta minutos a menos de dos, y llevar la resolución de casos simples de semanas a horas, resolviendo de forma autónoma entre 70 % y 80 % de los casos cuando los hechos son claros </w:t>
      </w:r>
      <w:r w:rsidDel="00000000" w:rsidR="00000000" w:rsidRPr="00000000">
        <w:rPr>
          <w:rFonts w:ascii="Times New Roman" w:cs="Times New Roman" w:eastAsia="Times New Roman" w:hAnsi="Times New Roman"/>
          <w:i w:val="1"/>
          <w:iCs w:val="1"/>
          <w:rtl w:val="0"/>
        </w:rPr>
        <w:t xml:space="preserve">(Backbase, 2026)</w:t>
      </w:r>
      <w:r w:rsidDel="00000000" w:rsidR="00000000" w:rsidRPr="00000000">
        <w:rPr>
          <w:rFonts w:ascii="Times New Roman" w:cs="Times New Roman" w:eastAsia="Times New Roman" w:hAnsi="Times New Roman"/>
          <w:rtl w:val="0"/>
        </w:rPr>
        <w:t xml:space="preserve">. Otra fuente reporta hasta 60 % de reducción en la carga de trabajo del analista y 40 % de reducción en el tiempo total de procesamiento de la disputa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Ambas cifras provienen de mercados con volúmenes de disputas muy superiores al de BBVA Perú y no constituyen una proyección propia de la entidad; se emplean como referencia del orden de magnitud alcanzable, no como meta comprometida. En el propio BBVA Perú existe evidencia local del mismo orden de magnitud. En 2025, la resolución de reclamos en el primer contacto del cliente, aplicada en el segmento High Value Individuals, se tradujo en una reducción de 80 % de los reclamos monetarios (Banco BBVA Perú, 2026b, p. 25). Blue Buddy, la base sobre la que se construiría el agente, había gestionado a mayo de 2026 más de 30,000 consultas de los equipos de atención con niveles de resolución cercanos a 80 % (López, 2026). A escala de grupo, la estrategia The Eight incluye un frente de operaciones y procesos orientado a la automatización extrema y al rediseño de procesos clave de principio a fin con IA, con el fin de reducir tiempos de respuesta y minimizar errores en el back-office (BBVA, 2025b).</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La exposición sancionatoria por este tipo de reclamos es un problema de todo el sector: el 90 % de las sanciones de Indecopi por esta materia recayó en el sistema financiero entre 2021 y marzo de 2025 (Andina, 2025), y BBVA fue identificado entre las cinco entidades con mayor número de infracciones (Alarcón, 2023). En la revisión de fuentes </w:t>
      </w:r>
      <w:commentRangeStart w:id="261"/>
      <w:r w:rsidDel="00000000" w:rsidR="00000000" w:rsidRPr="00000000">
        <w:rPr>
          <w:rFonts w:ascii="Times New Roman" w:cs="Times New Roman" w:eastAsia="Times New Roman" w:hAnsi="Times New Roman"/>
          <w:rtl w:val="0"/>
        </w:rPr>
        <w:t xml:space="preserve">realizada para este informe</w:t>
      </w:r>
      <w:commentRangeEnd w:id="261"/>
      <w:r>
        <w:rPr>
          <w:rStyle w:val="CommentReference"/>
        </w:rPr>
        <w:commentReference w:id="261"/>
      </w:r>
      <w:r w:rsidDel="00000000" w:rsidR="00000000" w:rsidRPr="00000000">
        <w:rPr>
          <w:rFonts w:ascii="Times New Roman" w:cs="Times New Roman" w:eastAsia="Times New Roman" w:hAnsi="Times New Roman"/>
          <w:rtl w:val="0"/>
        </w:rPr>
        <w:t xml:space="preserve"> no se encontró que algún competidor peruano haya hecho pública una mejora sustantiva en el tiempo de resolución de este tipo específico de reclamo. Convertir un centro de costo regulatorio en una ventaja de experiencia, es decir, ser la entidad que resuelve de forma consistente más cerca de su propio promedio general que del plazo regulatorio máximo, es un atributo que, </w:t>
      </w:r>
      <w:commentRangeStart w:id="259"/>
      <w:r w:rsidDel="00000000" w:rsidR="00000000" w:rsidRPr="00000000">
        <w:rPr>
          <w:rFonts w:ascii="Times New Roman" w:cs="Times New Roman" w:eastAsia="Times New Roman" w:hAnsi="Times New Roman"/>
          <w:rtl w:val="0"/>
        </w:rPr>
        <w:t xml:space="preserve">hasta la fecha de elaboración de este informe</w:t>
      </w:r>
      <w:commentRangeEnd w:id="259"/>
      <w:r>
        <w:rPr>
          <w:rStyle w:val="CommentReference"/>
        </w:rPr>
        <w:commentReference w:id="259"/>
      </w:r>
      <w:r w:rsidDel="00000000" w:rsidR="00000000" w:rsidRPr="00000000">
        <w:rPr>
          <w:rFonts w:ascii="Times New Roman" w:cs="Times New Roman" w:eastAsia="Times New Roman" w:hAnsi="Times New Roman"/>
          <w:rtl w:val="0"/>
        </w:rPr>
        <w:t xml:space="preserve">, ninguna entidad del mercado peruano reclama públicamente para sí.</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1"/>
      <w:r w:rsidDel="00000000" w:rsidR="00000000" w:rsidRPr="00000000">
        <w:rPr>
          <w:rFonts w:ascii="Times New Roman" w:cs="Times New Roman" w:eastAsia="Times New Roman" w:hAnsi="Times New Roman"/>
          <w:b w:val="1"/>
          <w:bCs w:val="1"/>
          <w:rtl w:val="0"/>
        </w:rPr>
        <w:t xml:space="preserve">Tabla 27</w:t>
      </w:r>
      <w:commentRangeEnd w:id="231"/>
      <w:r>
        <w:rPr>
          <w:rStyle w:val="CommentReference"/>
        </w:rPr>
        <w:commentReference w:id="231"/>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investigación asistida de reclamos</w:t>
      </w:r>
      <w:r w:rsidDel="00000000" w:rsidR="00000000" w:rsidRPr="00000000">
        <w:rPr>
          <w:rFonts w:ascii="Times New Roman" w:cs="Times New Roman" w:eastAsia="Times New Roman" w:hAnsi="Times New Roman"/>
          <w:rtl w:val="0"/>
        </w:rPr>
      </w:r>
    </w:p>
    <w:tbl>
      <w:tblPr>
        <w:tblStyle w:val="Table28"/>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revisión manual y secuencial de trazas transaccionales dispersas entre los sistemas de fraude, operaciones y atención al cliente durante la etapa de investigación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brecha de información entre el cliente, que hoy puede consultar el estado de su reclamo en la web del banco (Banco BBVA Perú, s. f.-h), y el asesor, que en Blue Buddy visualiza el ciclo de vida completo del caso (Banco BBVA Perú, 2026a, p. 4); la intervención humana de primer nivel en los reclamos de bajo riesgo y hechos claramente verificables.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trazabilidad del caso para el cliente, extendiendo a la interacción con él la lógica del flujo de reclamos de Blue Buddy, validada internamente con una adopción de 90 % (Banco BBVA Perú, 2026a, p. 4); la proximidad del tiempo de resolución de esta materia (11.29 días) al promedio general de la entidad (8.02 días).</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expediente de caso generado automáticamente por el agente, con recomendación explicable y veedor humano obligatorio antes de la resolución final, como resguardo prudencial frente al estándar de supervisión humana que la SBS exige para decisiones basadas en IA (Ramírez Huancayo, 2026), aplicado aquí por prudencia aunque la norma referida rige directamente decisiones de crédito.</w:t>
            </w:r>
          </w:p>
        </w:tc>
      </w:tr>
    </w:tbl>
    <w:p w:rsidR="00000000" w:rsidDel="00000000" w:rsidP="00000000" w:rsidRDefault="00000000" w:rsidRPr="00000000">
      <w:pPr>
        <w:spacing w:after="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Elaboración propia con base en Kim y Mauborgne (2005) y en las fuentes citadas en la sección 5.3.</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Tiempo promedio de absolución </w:t>
      </w:r>
      <w:r w:rsidDel="00000000" w:rsidR="00000000" w:rsidRPr="00000000">
        <w:rPr>
          <w:rFonts w:ascii="Times New Roman" w:cs="Times New Roman" w:eastAsia="Times New Roman" w:hAnsi="Times New Roman"/>
          <w:rtl w:val="0"/>
        </w:rPr>
        <w:t xml:space="preserve">(línea base 11.29 días, meta: cerrar la brecha frente al promedio general de la entidad, que fue de 8.02 días en el mismo periodo)</w:t>
      </w:r>
      <w:r w:rsidDel="00000000" w:rsidR="00000000" w:rsidRPr="00000000">
        <w:rPr>
          <w:rFonts w:ascii="Times New Roman" w:cs="Times New Roman" w:eastAsia="Times New Roman" w:hAnsi="Times New Roman"/>
          <w:rtl w:val="0"/>
        </w:rPr>
        <w:t xml:space="preserve"> e incidencia de reclamos de la materia por cada cien mil operaciones, conforme a la </w:t>
      </w:r>
      <w:commentRangeStart w:id="244"/>
      <w:r w:rsidDel="00000000" w:rsidR="00000000" w:rsidRPr="00000000">
        <w:rPr>
          <w:rFonts w:ascii="Times New Roman" w:cs="Times New Roman" w:eastAsia="Times New Roman" w:hAnsi="Times New Roman"/>
          <w:rtl w:val="0"/>
        </w:rPr>
        <w:t xml:space="preserve">Tabla 24</w:t>
      </w:r>
      <w:commentRangeEnd w:id="244"/>
      <w:r>
        <w:rPr>
          <w:rStyle w:val="CommentReference"/>
        </w:rPr>
        <w:commentReference w:id="244"/>
      </w:r>
      <w:r w:rsidDel="00000000" w:rsidR="00000000" w:rsidRPr="00000000">
        <w:rPr>
          <w:rFonts w:ascii="Times New Roman" w:cs="Times New Roman" w:eastAsia="Times New Roman" w:hAnsi="Times New Roman"/>
          <w:rtl w:val="0"/>
        </w:rPr>
        <w:t xml:space="preserve">. Como ambos promedios varían entre periodos (en julio y agosto de 2026 fueron de 26.37 y 20.36 días, respectivamente), la meta propuesta por el equipo se expresa como la eliminación de la brecha relativa entre ambos, que fue de 1.41 veces en el 2T2026 y de 1.30 veces en julio-agosto de 2026 (cálculo propio con base en Banco BBVA Perú, 2026c a 2026g), y no como una cifra absoluta de días. La meta está pendiente de validación con la entidad; su factibilidad se apoya en un precedente interno, pues la resolución en el primer contacto ya redujo en 80 % los reclamos monetarios de un segmento del banco (Banco BBVA Perú, 2026b, p. 25).</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313"/>
      <w:r>
        <w:rPr>
          <w:rFonts w:ascii="Times New Roman" w:cs="Times New Roman" w:eastAsia="Times New Roman" w:hAnsi="Times New Roman"/>
        </w:rPr>
        <w:t xml:space="preserve">La Figura 3 compara el tiempo promedio de absolución de los reclamos por operaciones no reconocidas con el del conjunto de reclamos de la entidad. Entre el segundo trimestre y julio-agosto de 2026 ambos promedios se alargaron, pero la razón entre ellos bajó de 1.41 a 1.30 veces. Esa es la variación que sustenta fijar la meta como razón y no como una cifra absoluta de días.</w:t>
      </w:r>
      <w:commentRangeEnd w:id="313"/>
      <w:r>
        <w:rPr>
          <w:rStyle w:val="CommentReference"/>
        </w:rPr>
        <w:commentReference w:id="313"/>
      </w:r>
    </w:p>
    <w:p w:rsidR="00000000" w:rsidDel="00000000" w:rsidP="00000000" w:rsidRDefault="00000000" w:rsidRPr="00000000">
      <w:pPr>
        <w:ind w:left="708.6614173228347" w:firstLine="0"/>
        <w:rPr>
          <w:rFonts w:ascii="Times New Roman" w:cs="Times New Roman" w:eastAsia="Times New Roman" w:hAnsi="Times New Roman"/>
          <w:b w:val="1"/>
          <w:bCs w:val="1"/>
          <w:color w:val="072146"/>
        </w:rPr>
      </w:pPr>
      <w:commentRangeStart w:id="315"/>
      <w:r w:rsidDel="00000000" w:rsidR="00000000" w:rsidRPr="00000000">
        <w:rPr>
          <w:rFonts w:ascii="Times New Roman" w:cs="Times New Roman" w:eastAsia="Times New Roman" w:hAnsi="Times New Roman"/>
          <w:b w:val="1"/>
          <w:bCs w:val="1"/>
          <w:color w:val="072146"/>
          <w:rtl w:val="0"/>
        </w:rPr>
        <w:t xml:space="preserve">Figura 3</w:t>
      </w:r>
      <w:commentRangeEnd w:id="315"/>
      <w:r>
        <w:rPr>
          <w:rStyle w:val="CommentReference"/>
        </w:rPr>
        <w:commentReference w:id="315"/>
      </w:r>
    </w:p>
    <w:p w:rsidR="00000000" w:rsidDel="00000000" w:rsidP="00000000" w:rsidRDefault="00000000" w:rsidRPr="0000000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Tiempo promedio de absolución de reclamos por operaciones no reconocidas frente al promedio general de la entidad</w:t>
      </w:r>
    </w:p>
    <w:p w:rsidR="00000000" w:rsidDel="00000000" w:rsidP="00000000" w:rsidRDefault="00000000" w:rsidRPr="00000000">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631566"/>
            <wp:effectExtent b="0" l="0" r="0" t="0"/>
            <wp:docPr id="9003" name="figure3.png"/>
            <a:graphic>
              <a:graphicData uri="http://schemas.openxmlformats.org/drawingml/2006/picture">
                <pic:pic>
                  <pic:nvPicPr>
                    <pic:cNvPr id="0" name="figure3.png"/>
                    <pic:cNvPicPr preferRelativeResize="0"/>
                  </pic:nvPicPr>
                  <pic:blipFill>
                    <a:blip r:embed="rIdFig3"/>
                    <a:srcRect b="0" l="0" r="0" t="0"/>
                    <a:stretch>
                      <a:fillRect/>
                    </a:stretch>
                  </pic:blipFill>
                  <pic:spPr>
                    <a:xfrm>
                      <a:off x="0" y="0"/>
                      <a:ext cx="5348023" cy="2631566"/>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Promedios ponderados por el número de reclamos absueltos, en días. La razón es el cociente entre ambos promedios. Elaboración propia con base en Banco BBVA Perú (2026c a 2026g).</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5" w:name="_TocE3_5"/>
      <w:bookmarkEnd w:id="305"/>
      <w:r w:rsidDel="00000000" w:rsidR="00000000" w:rsidRPr="00000000">
        <w:rPr>
          <w:rFonts w:ascii="Times New Roman" w:cs="Times New Roman" w:eastAsia="Times New Roman" w:hAnsi="Times New Roman"/>
          <w:b w:val="1"/>
          <w:bCs w:val="1"/>
          <w:sz w:val="22"/>
          <w:szCs w:val="22"/>
          <w:rtl w:val="0"/>
        </w:rPr>
        <w:t xml:space="preserve">Hipótesis de iniciativa para DC3: agente de verificación progresiva en la contratación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 la hipótesis.</w:t>
      </w:r>
      <w:r w:rsidDel="00000000" w:rsidR="00000000" w:rsidRPr="00000000">
        <w:rPr>
          <w:rFonts w:ascii="Times New Roman" w:cs="Times New Roman" w:eastAsia="Times New Roman" w:hAnsi="Times New Roman"/>
          <w:rtl w:val="0"/>
        </w:rPr>
        <w:t xml:space="preserve"> Agente conversacional de contratación con verificación de identidad progresiva y asíncrona, integrado al proceso 100 % digital ya lanzado por BBVA Perú a inicios de 2026.</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Formulación.</w:t>
      </w:r>
      <w:r w:rsidDel="00000000" w:rsidR="00000000" w:rsidRPr="00000000">
        <w:rPr>
          <w:rFonts w:ascii="Times New Roman" w:cs="Times New Roman" w:eastAsia="Times New Roman" w:hAnsi="Times New Roman"/>
          <w:rtl w:val="0"/>
        </w:rPr>
        <w:t xml:space="preserve"> El proceso íntegramente digital </w:t>
      </w:r>
      <w:commentRangeStart w:id="257"/>
      <w:r w:rsidDel="00000000" w:rsidR="00000000" w:rsidRPr="00000000">
        <w:rPr>
          <w:rFonts w:ascii="Times New Roman" w:cs="Times New Roman" w:eastAsia="Times New Roman" w:hAnsi="Times New Roman"/>
          <w:rtl w:val="0"/>
        </w:rPr>
        <w:t xml:space="preserve">descrito en el Anexo A</w:t>
      </w:r>
      <w:commentRangeEnd w:id="257"/>
      <w:r>
        <w:rPr>
          <w:rStyle w:val="CommentReference"/>
        </w:rPr>
        <w:commentReference w:id="257"/>
      </w:r>
      <w:r w:rsidDel="00000000" w:rsidR="00000000" w:rsidRPr="00000000">
        <w:rPr>
          <w:rFonts w:ascii="Times New Roman" w:cs="Times New Roman" w:eastAsia="Times New Roman" w:hAnsi="Times New Roman"/>
          <w:rtl w:val="0"/>
        </w:rPr>
        <w:t xml:space="preserve"> permite a una persona que aún no es cliente contratar en menos de cinco minutos (A. Moquillaza, comunicación personal, 11 de setiembre de 2026), pero su alcance está acotado por diseño. La apertura desde la App está disponible solo para nuevos clientes mayores de 18 años, peruanos con DNI y sin productos en el banco, y por ahora solo permite abrir la Cuenta Digital BBVA en soles (Banco BBVA Perú, s. f.-i). Fuera de ese perfil, el flujo se interrumpe y deriva a oficina física (A. Moquillaza, comunicación personal, 11 de </w:t>
      </w:r>
      <w:r w:rsidDel="00000000" w:rsidR="00000000" w:rsidRPr="00000000">
        <w:rPr>
          <w:rFonts w:ascii="Times New Roman" w:cs="Times New Roman" w:eastAsia="Times New Roman" w:hAnsi="Times New Roman"/>
          <w:rtl w:val="0"/>
        </w:rPr>
        <w:t xml:space="preserve">setiembre</w:t>
      </w:r>
      <w:r w:rsidDel="00000000" w:rsidR="00000000" w:rsidRPr="00000000">
        <w:rPr>
          <w:rFonts w:ascii="Times New Roman" w:cs="Times New Roman" w:eastAsia="Times New Roman" w:hAnsi="Times New Roman"/>
          <w:rtl w:val="0"/>
        </w:rPr>
        <w:t xml:space="preserve"> de 2026). En el caso de un menor de edad, el propio banco indica que el padre, la madre o el tutor legal debe presentarse físicamente en la agencia con su DNI y el del menor (Banco BBVA Perú, s. f.-j).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regulación no exige esa presencialidad en todos los casos. Para las cuentas básicas, la Resolución SBS </w:t>
      </w:r>
      <w:commentRangeStart w:id="298"/>
      <w:r w:rsidDel="00000000" w:rsidR="00000000" w:rsidRPr="00000000">
        <w:rPr>
          <w:rFonts w:ascii="Times New Roman" w:cs="Times New Roman" w:eastAsia="Times New Roman" w:hAnsi="Times New Roman"/>
          <w:rtl w:val="0"/>
        </w:rPr>
        <w:t xml:space="preserve">N.º </w:t>
      </w:r>
      <w:commentRangeEnd w:id="298"/>
      <w:r>
        <w:rPr>
          <w:rStyle w:val="CommentReference"/>
        </w:rPr>
        <w:commentReference w:id="298"/>
      </w:r>
      <w:r w:rsidDel="00000000" w:rsidR="00000000" w:rsidRPr="00000000">
        <w:rPr>
          <w:rFonts w:ascii="Times New Roman" w:cs="Times New Roman" w:eastAsia="Times New Roman" w:hAnsi="Times New Roman"/>
          <w:rtl w:val="0"/>
        </w:rPr>
        <w:t xml:space="preserve">00908-2025 admite que las personas extranjeras se identifiquen con carné de extranjería, carné de identidad, pasaporte u otro documento legalmente reconocido. También permite que la entidad verifique la información a través de RENIEC, Migraciones, el Ministerio de Relaciones Exteriores o cualquier otra modalidad que deje constancia, incluso con posterioridad a la apertura. La presentación física del </w:t>
      </w:r>
      <w:commentRangeStart w:id="278"/>
      <w:r w:rsidDel="00000000" w:rsidR="00000000" w:rsidRPr="00000000">
        <w:rPr>
          <w:rFonts w:ascii="Times New Roman" w:cs="Times New Roman" w:eastAsia="Times New Roman" w:hAnsi="Times New Roman"/>
          <w:rtl w:val="0"/>
        </w:rPr>
        <w:t xml:space="preserve">documento solo es exigible</w:t>
      </w:r>
      <w:commentRangeEnd w:id="278"/>
      <w:r>
        <w:rPr>
          <w:rStyle w:val="CommentReference"/>
        </w:rPr>
        <w:commentReference w:id="278"/>
      </w:r>
      <w:r w:rsidDel="00000000" w:rsidR="00000000" w:rsidRPr="00000000">
        <w:rPr>
          <w:rFonts w:ascii="Times New Roman" w:cs="Times New Roman" w:eastAsia="Times New Roman" w:hAnsi="Times New Roman"/>
          <w:rtl w:val="0"/>
        </w:rPr>
        <w:t xml:space="preserve"> cuando la contratación es presencial </w:t>
      </w:r>
      <w:commentRangeStart w:id="287"/>
      <w:r w:rsidDel="00000000" w:rsidR="00000000" w:rsidRPr="00000000">
        <w:rPr>
          <w:rFonts w:ascii="Times New Roman" w:cs="Times New Roman" w:eastAsia="Times New Roman" w:hAnsi="Times New Roman"/>
          <w:rtl w:val="0"/>
        </w:rPr>
        <w:t xml:space="preserve">(SBS, 2025b)</w:t>
      </w:r>
      <w:commentRangeEnd w:id="287"/>
      <w:r>
        <w:rPr>
          <w:rStyle w:val="CommentReference"/>
        </w:rPr>
        <w:commentReference w:id="287"/>
      </w:r>
      <w:r w:rsidDel="00000000" w:rsidR="00000000" w:rsidRPr="00000000">
        <w:rPr>
          <w:rFonts w:ascii="Times New Roman" w:cs="Times New Roman" w:eastAsia="Times New Roman" w:hAnsi="Times New Roman"/>
          <w:rtl w:val="0"/>
        </w:rPr>
        <w:t xml:space="preserve">. Esa cuenta opera con límites de 0.6 UIT por transacción, 1.9 UIT de saldo y 2.8 UIT de transacciones mensuales </w:t>
      </w:r>
      <w:commentRangeStart w:id="288"/>
      <w:r w:rsidDel="00000000" w:rsidR="00000000" w:rsidRPr="00000000">
        <w:rPr>
          <w:rFonts w:ascii="Times New Roman" w:cs="Times New Roman" w:eastAsia="Times New Roman" w:hAnsi="Times New Roman"/>
          <w:rtl w:val="0"/>
        </w:rPr>
        <w:t xml:space="preserve">(SBS, 2026)</w:t>
      </w:r>
      <w:commentRangeEnd w:id="288"/>
      <w:r>
        <w:rPr>
          <w:rStyle w:val="CommentReference"/>
        </w:rPr>
        <w:commentReference w:id="28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hipótesis plantea que el agente conversacional, en lugar de interrumpir el flujo, gestione la verificación adicional de forma progresiva y asíncrona dentro del mismo canal. Por ejemplo, podría abrir una cuenta básica con los límites regulatorios mientras la verificación ante Migraciones se completa en segundo plano. En el caso de un menor, podría solicitar la autorización del tutor sin cerrar la conversación, lo que requiere validar previamente el alcance legal con las áreas legal y de cumplimiento del banco. El diseño debe considerar las necesidades diferenciadas de niñas, niños y adolescentes (Decreto Supremo </w:t>
      </w:r>
      <w:commentRangeStart w:id="299"/>
      <w:r w:rsidDel="00000000" w:rsidR="00000000" w:rsidRPr="00000000">
        <w:rPr>
          <w:rFonts w:ascii="Times New Roman" w:cs="Times New Roman" w:eastAsia="Times New Roman" w:hAnsi="Times New Roman"/>
          <w:rtl w:val="0"/>
        </w:rPr>
        <w:t xml:space="preserve">N.º </w:t>
      </w:r>
      <w:commentRangeEnd w:id="299"/>
      <w:r>
        <w:rPr>
          <w:rStyle w:val="CommentReference"/>
        </w:rPr>
        <w:commentReference w:id="299"/>
      </w:r>
      <w:r w:rsidDel="00000000" w:rsidR="00000000" w:rsidRPr="00000000">
        <w:rPr>
          <w:rFonts w:ascii="Times New Roman" w:cs="Times New Roman" w:eastAsia="Times New Roman" w:hAnsi="Times New Roman"/>
          <w:rtl w:val="0"/>
        </w:rPr>
        <w:t xml:space="preserve">115-2025-PCM, 2025, art. 12). La verificación biométrica que emplee el agente no está entre los usos prohibidos, al tener como único fin autenticar la identidad digital (art. 23.1, literal e).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confirmarse la hipótesis, una parte del 67 % de aperturas de cuenta que hoy requiere algún tipo de asistencia podría completarse íntegramente en el canal digital. Esto ataca dos dolores integrados en DC3: el dolor D9, la penetración digital de 33 % en cuentas al 2T2026 frente a 35 % al cierre de 2025 (Banco BBVA Perú, 2025, p. 3; 2026a, p. 3), y el dolor D11, la interrupción del flujo ante perfiles no contemplados.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Sustento de mercado.</w:t>
      </w:r>
      <w:r w:rsidDel="00000000" w:rsidR="00000000" w:rsidRPr="00000000">
        <w:rPr>
          <w:rFonts w:ascii="Times New Roman" w:cs="Times New Roman" w:eastAsia="Times New Roman" w:hAnsi="Times New Roman"/>
          <w:rtl w:val="0"/>
        </w:rPr>
        <w:t xml:space="preserve"> La automatización conversacional del onboarding bancario reduce el abandono de solicitudes hasta en 18 % y disminuye la carga manual de verificación de identidad </w:t>
      </w:r>
      <w:r w:rsidDel="00000000" w:rsidR="00000000" w:rsidRPr="00000000">
        <w:rPr>
          <w:rFonts w:ascii="Times New Roman" w:cs="Times New Roman" w:eastAsia="Times New Roman" w:hAnsi="Times New Roman"/>
          <w:i w:val="1"/>
          <w:iCs w:val="1"/>
          <w:rtl w:val="0"/>
        </w:rPr>
        <w:t xml:space="preserve">(Kore.ai, 2026)</w:t>
      </w:r>
      <w:r w:rsidDel="00000000" w:rsidR="00000000" w:rsidRPr="00000000">
        <w:rPr>
          <w:rFonts w:ascii="Times New Roman" w:cs="Times New Roman" w:eastAsia="Times New Roman" w:hAnsi="Times New Roman"/>
          <w:rtl w:val="0"/>
        </w:rPr>
        <w:t xml:space="preserve">. En el Grupo BBVA, la captación digital ya es el canal mayoritario: en 2025 el grupo incorporó 11.5 millones de nuevos clientes, de los cuales 66 % se unió a través de canales digitales (BBVA, 2026c). En BBVA Perú, el flujo 100 % digital de la cuenta digital permite a los nuevos clientes abrir una cuenta en cuatro minutos (Banco BBVA Perú, 2026b, p. 25), y la estrategia The Eight prevé que Blue evolucione hacia un asistente que ejecute operaciones las 24 horas en modo conversacional (BBVA, 2025b). En Perú, Mibanco ya opera un agente de IA agéntica sobre WhatsApp capaz de abrir cuentas de ahorro de forma autónoma, con el 80 % de sus usuarios siendo clientes nuevos sin cuenta previa y un tiempo promedio de dos minutos por transacción </w:t>
      </w:r>
      <w:r w:rsidDel="00000000" w:rsidR="00000000" w:rsidRPr="00000000">
        <w:rPr>
          <w:rFonts w:ascii="Times New Roman" w:cs="Times New Roman" w:eastAsia="Times New Roman" w:hAnsi="Times New Roman"/>
          <w:i w:val="1"/>
          <w:iCs w:val="1"/>
          <w:rtl w:val="0"/>
        </w:rPr>
        <w:t xml:space="preserve">(PressPerú, 2026)</w:t>
      </w:r>
      <w:r w:rsidDel="00000000" w:rsidR="00000000" w:rsidRPr="00000000">
        <w:rPr>
          <w:rFonts w:ascii="Times New Roman" w:cs="Times New Roman" w:eastAsia="Times New Roman" w:hAnsi="Times New Roman"/>
          <w:rtl w:val="0"/>
        </w:rPr>
        <w:t xml:space="preserve">; el BCP, por su parte, reporta que su voicebot redujo la tasa de abandono de llamadas de aproximadamente 50 % a menos de 10 % y el tiempo de respuesta de dos minutos a menos de quince segundos, aunque circunscrito a consultas informativas, con una segunda fase transaccional aún pendiente </w:t>
      </w:r>
      <w:r w:rsidDel="00000000" w:rsidR="00000000" w:rsidRPr="00000000">
        <w:rPr>
          <w:rFonts w:ascii="Times New Roman" w:cs="Times New Roman" w:eastAsia="Times New Roman" w:hAnsi="Times New Roman"/>
          <w:i w:val="1"/>
          <w:iCs w:val="1"/>
          <w:rtl w:val="0"/>
        </w:rPr>
        <w:t xml:space="preserve">(Mestanza Arquiñigo, 2024)</w:t>
      </w:r>
      <w:r w:rsidDel="00000000" w:rsidR="00000000" w:rsidRPr="00000000">
        <w:rPr>
          <w:rFonts w:ascii="Times New Roman" w:cs="Times New Roman" w:eastAsia="Times New Roman" w:hAnsi="Times New Roman"/>
          <w:rtl w:val="0"/>
        </w:rPr>
        <w:t xml:space="preserve">. A escala global, la tendencia no se limita a agentes bancarios transaccionales: en setiembre de 2026, Revolut lanzó en España y el resto de Europa un asistente conversacional de IA (Air) capaz de gestionar gastos, suscripciones, inversiones y beneficios de fidelización dentro de una misma conversación </w:t>
      </w:r>
      <w:r w:rsidDel="00000000" w:rsidR="00000000" w:rsidRPr="00000000">
        <w:rPr>
          <w:rFonts w:ascii="Times New Roman" w:cs="Times New Roman" w:eastAsia="Times New Roman" w:hAnsi="Times New Roman"/>
          <w:i w:val="1"/>
          <w:iCs w:val="1"/>
          <w:rtl w:val="0"/>
        </w:rPr>
        <w:t xml:space="preserve">(Europa Press, 2026)</w:t>
      </w:r>
      <w:r w:rsidDel="00000000" w:rsidR="00000000" w:rsidRPr="00000000">
        <w:rPr>
          <w:rFonts w:ascii="Times New Roman" w:cs="Times New Roman" w:eastAsia="Times New Roman" w:hAnsi="Times New Roman"/>
          <w:rtl w:val="0"/>
        </w:rPr>
        <w:t xml:space="preserve">, lo que confirma que el mercado se desplaza hacia agentes de alcance amplio dentro de la experiencia financiera del usuario y no solo hacia bots de consulta puntual.</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es océano azul y no una imitación.</w:t>
      </w:r>
      <w:r w:rsidDel="00000000" w:rsidR="00000000" w:rsidRPr="00000000">
        <w:rPr>
          <w:rFonts w:ascii="Times New Roman" w:cs="Times New Roman" w:eastAsia="Times New Roman" w:hAnsi="Times New Roman"/>
          <w:rtl w:val="0"/>
        </w:rPr>
        <w:t xml:space="preserve"> Que Mibanco y el BCP ya operen agentes conversacionales confirma que el canal conversacional en sí mismo es hoy un atributo de océano rojo: todo banco relevante del sistema se moverá hacia él. Lo que no aparece en la oferta pública de los competidores revisados es la contratación digital para los perfiles que hoy quedan fuera. Interbank indica que los titulares de carné de extranjería o de Permiso Temporal de Permanencia deben acudir a sus tiendas para obtener la tarjeta digital (Interbank, s. f.). Yape exige a quien se registra con carné de extranjería o pasaporte contar con una tarjeta de débito BCP (Yape, s. f.). Scotiabank solo permite abrir su Cuenta Kids en agencia y con el acompañamiento del tutor (Scotiabank Perú, s. f.). Resolver esos perfiles sin derivación presencial es el atributo puntual que esta hipótesis propone crear. Es también lo que convierte una función ya comoditizada, conversar con un agente, en una ventaja específica y medible sobre la parte del 67 % de aperturas de cuenta que hoy requiere asistencia. La revisión no abarcó a todas las entidades del sistema, por lo que esta afirmación se limita a los competidores citados. </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Vínculo con el catálogo de servicios de TI.</w:t>
      </w:r>
      <w:r w:rsidDel="00000000" w:rsidR="00000000" w:rsidRPr="00000000">
        <w:rPr>
          <w:rFonts w:ascii="Times New Roman" w:cs="Times New Roman" w:eastAsia="Times New Roman" w:hAnsi="Times New Roman"/>
          <w:rtl w:val="0"/>
        </w:rPr>
        <w:t xml:space="preserve"> Bajo el marco de capacidades de negocio y servicios de TI trabajado en el curso, el proceso "Contratación de productos por canal digital", </w:t>
      </w:r>
      <w:commentRangeStart w:id="266"/>
      <w:r w:rsidDel="00000000" w:rsidR="00000000" w:rsidRPr="00000000">
        <w:rPr>
          <w:rFonts w:ascii="Times New Roman" w:cs="Times New Roman" w:eastAsia="Times New Roman" w:hAnsi="Times New Roman"/>
          <w:rtl w:val="0"/>
        </w:rPr>
        <w:t xml:space="preserve">que el equipo prioriza a partir de este avance</w:t>
      </w:r>
      <w:commentRangeEnd w:id="266"/>
      <w:r>
        <w:rPr>
          <w:rStyle w:val="CommentReference"/>
        </w:rPr>
        <w:commentReference w:id="266"/>
      </w:r>
      <w:r w:rsidDel="00000000" w:rsidR="00000000" w:rsidRPr="00000000">
        <w:rPr>
          <w:rFonts w:ascii="Times New Roman" w:cs="Times New Roman" w:eastAsia="Times New Roman" w:hAnsi="Times New Roman"/>
          <w:rtl w:val="0"/>
        </w:rPr>
        <w:t xml:space="preserve">, puede modelarse como la capacidad de negocio en la que se manifiesta el dolor DC3. Por ello, el agente conversacional propuesto debe registrarse como un servicio de TI explícito y no como una funcionalidad aislada. Eso implica un dueño de servicio definido, un nivel de disponibilidad comprometido y un lugar propio dentro del catálogo de servicios de BBVA Perú, en línea con la práctica de gestión del catálogo de servicios de ITIL 4. </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2"/>
      <w:r w:rsidDel="00000000" w:rsidR="00000000" w:rsidRPr="00000000">
        <w:rPr>
          <w:rFonts w:ascii="Times New Roman" w:cs="Times New Roman" w:eastAsia="Times New Roman" w:hAnsi="Times New Roman"/>
          <w:b w:val="1"/>
          <w:bCs w:val="1"/>
          <w:rtl w:val="0"/>
        </w:rPr>
        <w:t xml:space="preserve">Tabla 28</w:t>
      </w:r>
      <w:commentRangeEnd w:id="232"/>
      <w:r>
        <w:rPr>
          <w:rStyle w:val="CommentReference"/>
        </w:rPr>
        <w:commentReference w:id="232"/>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ERRC: agente de verificación progresiva en la contratación digital</w:t>
      </w:r>
      <w:r w:rsidDel="00000000" w:rsidR="00000000" w:rsidRPr="00000000">
        <w:rPr>
          <w:rFonts w:ascii="Times New Roman" w:cs="Times New Roman" w:eastAsia="Times New Roman" w:hAnsi="Times New Roman"/>
          <w:rtl w:val="0"/>
        </w:rPr>
      </w:r>
    </w:p>
    <w:tbl>
      <w:tblPr>
        <w:tblStyle w:val="Table29"/>
        <w:tblW w:w="9000.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605"/>
        <w:gridCol w:w="7395"/>
        <w:tblGridChange w:id="0">
          <w:tblGrid>
            <w:gridCol w:w="1605"/>
            <w:gridCol w:w="739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Acción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Descripción</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interrupción total del flujo digital y la derivación obligatoria a oficina física ante perfiles de solicitante no contemplados por la regla de elegibilidad del flujo (menores de edad y solicitantes sin DNI peruano).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Reducir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proporción de aperturas de cuenta que hoy requieren algún tipo de asistencia (67 %, complemento de la penetración digital de 33 %); los pasos de verificación redundantes para solicitantes con historial previo en el ecosistema BBVA.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cobertura del proceso 100 % digital ya lanzado en 2026, extendiéndolo a los perfiles hoy excluidos dentro del marco normativo aplicable a cada caso, empezando por la cuenta básica que la Resolución SBS </w:t>
            </w:r>
            <w:commentRangeStart w:id="300"/>
            <w:r w:rsidDel="00000000" w:rsidR="00000000" w:rsidRPr="00000000">
              <w:rPr>
                <w:rFonts w:ascii="Times New Roman" w:cs="Times New Roman" w:eastAsia="Times New Roman" w:hAnsi="Times New Roman"/>
                <w:rtl w:val="0"/>
              </w:rPr>
              <w:t xml:space="preserve">N.º </w:t>
            </w:r>
            <w:commentRangeEnd w:id="300"/>
            <w:r>
              <w:rPr>
                <w:rStyle w:val="CommentReference"/>
              </w:rPr>
              <w:commentReference w:id="300"/>
            </w:r>
            <w:r w:rsidDel="00000000" w:rsidR="00000000" w:rsidRPr="00000000">
              <w:rPr>
                <w:rFonts w:ascii="Times New Roman" w:cs="Times New Roman" w:eastAsia="Times New Roman" w:hAnsi="Times New Roman"/>
                <w:rtl w:val="0"/>
              </w:rPr>
              <w:t xml:space="preserve">00908-2025 habilita para extranjeros con verificación posterior a la apertura; la trazabilidad del estado de verificación para el solicitante durante el proceso asíncrono.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Crear</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verificación de identidad progresiva y asíncrona dentro del propio canal conversacional, que no cierra ni deriva la conversación mientras se completa un requisito adicional. Ninguno de los competidores revisados ofrece públicamente este atributo para este tipo de perfiles </w:t>
            </w:r>
            <w:commentRangeStart w:id="260"/>
            <w:r w:rsidDel="00000000" w:rsidR="00000000" w:rsidRPr="00000000">
              <w:rPr>
                <w:rFonts w:ascii="Times New Roman" w:cs="Times New Roman" w:eastAsia="Times New Roman" w:hAnsi="Times New Roman"/>
                <w:rtl w:val="0"/>
              </w:rPr>
              <w:t xml:space="preserve">a la fecha de elaboración de este informe</w:t>
            </w:r>
            <w:commentRangeEnd w:id="260"/>
            <w:r>
              <w:rPr>
                <w:rStyle w:val="CommentReference"/>
              </w:rPr>
              <w:commentReference w:id="260"/>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pPr>
        <w:spacing w:after="200" w:lineRule="auto" w: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Elaboración propia con base en Kim y Mauborgne (2005) y en las fuentes citadas en la sección 5.4.</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 de éxito esperado.</w:t>
      </w:r>
      <w:r w:rsidDel="00000000" w:rsidR="00000000" w:rsidRPr="00000000">
        <w:rPr>
          <w:rFonts w:ascii="Times New Roman" w:cs="Times New Roman" w:eastAsia="Times New Roman" w:hAnsi="Times New Roman"/>
          <w:rtl w:val="0"/>
        </w:rPr>
        <w:t xml:space="preserve"> Penetración digital en cuentas </w:t>
      </w:r>
      <w:sdt>
        <w:sdtPr>
          <w:id w:val="2140119072"/>
          <w:tag w:val="goog_rdk_1"/>
        </w:sdtPr>
        <w:sdtContent>
          <w:commentRangeStart w:id="227"/>
        </w:sdtContent>
      </w:sdt>
      <w:r w:rsidDel="00000000" w:rsidR="00000000" w:rsidRPr="00000000">
        <w:rPr>
          <w:rFonts w:ascii="Times New Roman" w:cs="Times New Roman" w:eastAsia="Times New Roman" w:hAnsi="Times New Roman"/>
          <w:rtl w:val="0"/>
        </w:rPr>
        <w:t xml:space="preserve">(línea base 33 %, meta 55 % en dieciocho meses)</w:t>
      </w:r>
      <w:commentRangeEnd w:id="227"/>
      <w:r w:rsidDel="00000000" w:rsidR="00000000" w:rsidRPr="00000000">
        <w:rPr>
          <w:rFonts w:ascii="Times New Roman" w:cs="Times New Roman" w:eastAsia="Times New Roman" w:hAnsi="Times New Roman"/>
        </w:rPr>
        <w:commentReference w:id="227"/>
      </w:r>
      <w:r w:rsidDel="00000000" w:rsidR="00000000" w:rsidRPr="00000000">
        <w:rPr>
          <w:rFonts w:ascii="Times New Roman" w:cs="Times New Roman" w:eastAsia="Times New Roman" w:hAnsi="Times New Roman"/>
          <w:rtl w:val="0"/>
        </w:rPr>
        <w:t xml:space="preserve"> y tasa de derivación a canal asistido, hoy sin línea base pública y que el propio agente permitiría instrumentar por primera vez, conforme a la </w:t>
      </w:r>
      <w:commentRangeStart w:id="246"/>
      <w:r w:rsidDel="00000000" w:rsidR="00000000" w:rsidRPr="00000000">
        <w:rPr>
          <w:rFonts w:ascii="Times New Roman" w:cs="Times New Roman" w:eastAsia="Times New Roman" w:hAnsi="Times New Roman"/>
          <w:rtl w:val="0"/>
        </w:rPr>
        <w:t xml:space="preserve">Tabla 25</w:t>
      </w:r>
      <w:commentRangeEnd w:id="246"/>
      <w:r>
        <w:rPr>
          <w:rStyle w:val="CommentReference"/>
        </w:rPr>
        <w:commentReference w:id="246"/>
      </w:r>
      <w:r w:rsidDel="00000000" w:rsidR="00000000" w:rsidRPr="00000000">
        <w:rPr>
          <w:rFonts w:ascii="Times New Roman" w:cs="Times New Roman" w:eastAsia="Times New Roman" w:hAnsi="Times New Roman"/>
          <w:rtl w:val="0"/>
        </w:rPr>
        <w:t xml:space="preserve">. La meta de 55 % es una propuesta del equipo pendiente de validación con la entidad. Como referencia de factibilidad, el Grupo BBVA incorporó en 2025 el 66 % de sus nuevos clientes por canales digitales (BBVA, 2026c); esa cifra mide captación de clientes y no ventas de cuentas, por lo que no es directamente comparable con la penetración digital en cuentas de BBVA Perú, pero muestra que niveles superiores a 55 % ya se alcanzan dentro del grupo.</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6" w:name="_TocE3_6"/>
      <w:bookmarkEnd w:id="306"/>
      <w:r w:rsidDel="00000000" w:rsidR="00000000" w:rsidRPr="00000000">
        <w:rPr>
          <w:rFonts w:ascii="Times New Roman" w:cs="Times New Roman" w:eastAsia="Times New Roman" w:hAnsi="Times New Roman"/>
          <w:b w:val="1"/>
          <w:bCs w:val="1"/>
          <w:sz w:val="22"/>
          <w:szCs w:val="22"/>
          <w:rtl w:val="0"/>
        </w:rPr>
        <w:t xml:space="preserve">Síntesis de las hipótesis de iniciativa</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commentRangeStart w:id="233"/>
      <w:r w:rsidDel="00000000" w:rsidR="00000000" w:rsidRPr="00000000">
        <w:rPr>
          <w:rFonts w:ascii="Times New Roman" w:cs="Times New Roman" w:eastAsia="Times New Roman" w:hAnsi="Times New Roman"/>
          <w:rtl w:val="0"/>
        </w:rPr>
        <w:t xml:space="preserve">Tabla 29</w:t>
      </w:r>
      <w:commentRangeEnd w:id="233"/>
      <w:r>
        <w:rPr>
          <w:rStyle w:val="CommentReference"/>
        </w:rPr>
        <w:commentReference w:id="233"/>
      </w:r>
      <w:r w:rsidDel="00000000" w:rsidR="00000000" w:rsidRPr="00000000">
        <w:rPr>
          <w:rFonts w:ascii="Times New Roman" w:cs="Times New Roman" w:eastAsia="Times New Roman" w:hAnsi="Times New Roman"/>
          <w:rtl w:val="0"/>
        </w:rPr>
        <w:t xml:space="preserve"> sintetiza las tres hipótesis, su vínculo con los objetivos estratégicos ya establecidos en la </w:t>
      </w:r>
      <w:commentRangeStart w:id="249"/>
      <w:r w:rsidDel="00000000" w:rsidR="00000000" w:rsidRPr="00000000">
        <w:rPr>
          <w:rFonts w:ascii="Times New Roman" w:cs="Times New Roman" w:eastAsia="Times New Roman" w:hAnsi="Times New Roman"/>
          <w:rtl w:val="0"/>
        </w:rPr>
        <w:t xml:space="preserve">Tabla 22 (sección 4.2)</w:t>
      </w:r>
      <w:commentRangeEnd w:id="249"/>
      <w:r>
        <w:rPr>
          <w:rStyle w:val="CommentReference"/>
        </w:rPr>
        <w:commentReference w:id="249"/>
      </w:r>
      <w:r w:rsidDel="00000000" w:rsidR="00000000" w:rsidRPr="00000000">
        <w:rPr>
          <w:rFonts w:ascii="Times New Roman" w:cs="Times New Roman" w:eastAsia="Times New Roman" w:hAnsi="Times New Roman"/>
          <w:rtl w:val="0"/>
        </w:rPr>
        <w:t xml:space="preserve"> y la tecnología habilitante propuesta en cada caso.</w:t>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4"/>
      <w:r w:rsidDel="00000000" w:rsidR="00000000" w:rsidRPr="00000000">
        <w:rPr>
          <w:rFonts w:ascii="Times New Roman" w:cs="Times New Roman" w:eastAsia="Times New Roman" w:hAnsi="Times New Roman"/>
          <w:b w:val="1"/>
          <w:bCs w:val="1"/>
          <w:rtl w:val="0"/>
        </w:rPr>
        <w:t xml:space="preserve">Tabla 29</w:t>
      </w:r>
      <w:commentRangeEnd w:id="234"/>
      <w:r>
        <w:rPr>
          <w:rStyle w:val="CommentReference"/>
        </w:rPr>
        <w:commentReference w:id="234"/>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Síntesis de hipótesis de iniciativa y su alineamiento estratégico</w:t>
      </w:r>
      <w:r w:rsidDel="00000000" w:rsidR="00000000" w:rsidRPr="00000000">
        <w:rPr>
          <w:rFonts w:ascii="Times New Roman" w:cs="Times New Roman" w:eastAsia="Times New Roman" w:hAnsi="Times New Roman"/>
          <w:rtl w:val="0"/>
        </w:rPr>
      </w:r>
    </w:p>
    <w:tbl>
      <w:tblPr>
        <w:tblStyle w:val="Table30"/>
        <w:tblW w:w="901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1005"/>
        <w:gridCol w:w="2835"/>
        <w:gridCol w:w="3660"/>
        <w:gridCol w:w="1515"/>
        <w:tblGridChange w:id="0">
          <w:tblGrid>
            <w:gridCol w:w="1005"/>
            <w:gridCol w:w="2835"/>
            <w:gridCol w:w="3660"/>
            <w:gridCol w:w="1515"/>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Dolor crítico</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Hipótesis de iniciativa</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Tecnología habilitante</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sdt>
              <w:sdtPr>
                <w:id w:val="1572516521"/>
                <w:tag w:val="goog_rdk_2"/>
              </w:sdtPr>
              <w:sdtContent>
                <w:commentRangeStart w:id="228"/>
              </w:sdtContent>
            </w:sdt>
            <w:r w:rsidDel="00000000" w:rsidR="00000000" w:rsidRPr="00000000">
              <w:rPr>
                <w:rFonts w:ascii="Times New Roman" w:cs="Times New Roman" w:eastAsia="Times New Roman" w:hAnsi="Times New Roman"/>
                <w:b w:val="1"/>
                <w:bCs w:val="1"/>
                <w:color w:val="ffffff"/>
                <w:rtl w:val="0"/>
              </w:rPr>
              <w:t xml:space="preserve">Objetivos estratégicos vinculados</w:t>
            </w:r>
            <w:commentRangeEnd w:id="228"/>
            <w:r w:rsidDel="00000000" w:rsidR="00000000" w:rsidRPr="00000000">
              <w:rPr>
                <w:rFonts w:ascii="Times New Roman" w:cs="Times New Roman" w:eastAsia="Times New Roman" w:hAnsi="Times New Roman"/>
              </w:rPr>
              <w:commentReference w:id="228"/>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DC1</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precalificación y acompañamiento conversacional del crédito Pyme</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sobre datos transaccionales propios (procesamiento de lenguaje natural + analítica del ecosistema BBVA)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 OE4, OE5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DC2</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Extensión de Blue Buddy a agente de investigación de casos de reclamos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de orquestación multisistema con recomendación explicable y validación humana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 OE5, OE6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DC3 (priorizado)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conversacional con verificación de identidad progresiva y asíncrona</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de IA conversacional integrado al flujo 100 % digital ya desplegado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 OE4, OE5</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 </w:t>
      </w:r>
      <w:commentRangeStart w:id="250"/>
      <w:r w:rsidDel="00000000" w:rsidR="00000000" w:rsidRPr="00000000">
        <w:rPr>
          <w:rFonts w:ascii="Times New Roman" w:cs="Times New Roman" w:eastAsia="Times New Roman" w:hAnsi="Times New Roman"/>
          <w:rtl w:val="0"/>
        </w:rPr>
        <w:t xml:space="preserve">Tabla 22 (sección 4.2)</w:t>
      </w:r>
      <w:commentRangeEnd w:id="250"/>
      <w:r>
        <w:rPr>
          <w:rStyle w:val="CommentReference"/>
        </w:rPr>
        <w:commentReference w:id="250"/>
      </w:r>
      <w:r w:rsidDel="00000000" w:rsidR="00000000" w:rsidRPr="00000000">
        <w:rPr>
          <w:rFonts w:ascii="Times New Roman" w:cs="Times New Roman" w:eastAsia="Times New Roman" w:hAnsi="Times New Roman"/>
          <w:rtl w:val="0"/>
        </w:rPr>
        <w:t xml:space="preserve"> y en las hipótesis desarrolladas en las secciones 5.2 a 5.4.</w:t>
      </w:r>
    </w:p>
    <w:p w:rsidR="00000000" w:rsidDel="00000000" w:rsidP="00000000" w:rsidRDefault="00000000" w:rsidRPr="00000000">
      <w:pPr>
        <w:spacing w:after="22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Cobertura del OE2.</w:t>
      </w:r>
      <w:r w:rsidDel="00000000" w:rsidR="00000000" w:rsidRPr="00000000">
        <w:rPr>
          <w:rFonts w:ascii="Times New Roman" w:cs="Times New Roman" w:eastAsia="Times New Roman" w:hAnsi="Times New Roman"/>
          <w:rtl w:val="0"/>
        </w:rPr>
        <w:t xml:space="preserve"> Ninguna de las tres hipótesis se vincula de forma directa con el OE2 (Impulsar la sostenibilidad como motor de crecimiento), y la ausencia es deliberada. Los indicadores que la </w:t>
      </w:r>
      <w:commentRangeStart w:id="251"/>
      <w:r w:rsidDel="00000000" w:rsidR="00000000" w:rsidRPr="00000000">
        <w:rPr>
          <w:rFonts w:ascii="Times New Roman" w:cs="Times New Roman" w:eastAsia="Times New Roman" w:hAnsi="Times New Roman"/>
          <w:rtl w:val="0"/>
        </w:rPr>
        <w:t xml:space="preserve">Tabla 10 (sección 2.1)</w:t>
      </w:r>
      <w:commentRangeEnd w:id="251"/>
      <w:r>
        <w:rPr>
          <w:rStyle w:val="CommentReference"/>
        </w:rPr>
        <w:commentReference w:id="251"/>
      </w:r>
      <w:r w:rsidDel="00000000" w:rsidR="00000000" w:rsidRPr="00000000">
        <w:rPr>
          <w:rFonts w:ascii="Times New Roman" w:cs="Times New Roman" w:eastAsia="Times New Roman" w:hAnsi="Times New Roman"/>
          <w:rtl w:val="0"/>
        </w:rPr>
        <w:t xml:space="preserve"> asigna a ese objetivo (negocio sostenible movilizado, cartera elegible, tiempo de evaluación y calidad del dato ESG) no se modifican con ninguna de las iniciativas propuestas, por lo que declarar un vínculo directo introduciría una trazabilidad que no podría medirse. Sí existe una contribución indirecta en la dimensión social de la sostenibilidad: dentro del crecimiento inclusivo, BBVA Perú prioriza la línea de empoderamiento económico, que comprende la generación de empleo y el fortalecimiento del emprendimiento y la bancarización (Banco BBVA Perú, 2026a, p. 10). A ella aportarían la hipótesis del DC1, al ampliar el acceso a crédito de microempresas que hoy no cuentan con una oferta preaprobada, y la del DC3, al permitir la contratación digital a perfiles que hoy quedan fuera del flujo. Esa contribución se reportará como beneficio complementario en el business case, sin convertirla en indicador de éxito de las iniciativas.</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267"/>
      <w:r w:rsidDel="00000000" w:rsidR="00000000" w:rsidRPr="00000000">
        <w:rPr>
          <w:rFonts w:ascii="Times New Roman" w:cs="Times New Roman" w:eastAsia="Times New Roman" w:hAnsi="Times New Roman"/>
          <w:b w:val="1"/>
          <w:bCs w:val="1"/>
          <w:rtl w:val="0"/>
        </w:rPr>
        <w:t xml:space="preserve">Priorización para los siguientes avances.</w:t>
      </w:r>
      <w:commentRangeEnd w:id="267"/>
      <w:r>
        <w:rPr>
          <w:rStyle w:val="CommentReference"/>
        </w:rPr>
        <w:commentReference w:id="267"/>
      </w:r>
      <w:r w:rsidDel="00000000" w:rsidR="00000000" w:rsidRPr="00000000">
        <w:rPr>
          <w:rFonts w:ascii="Times New Roman" w:cs="Times New Roman" w:eastAsia="Times New Roman" w:hAnsi="Times New Roman"/>
          <w:rtl w:val="0"/>
        </w:rPr>
        <w:t xml:space="preserve"> Conforme a lo señalado en la sección 5.1, aunque las tres hipótesis de la </w:t>
      </w:r>
      <w:commentRangeStart w:id="235"/>
      <w:r w:rsidDel="00000000" w:rsidR="00000000" w:rsidRPr="00000000">
        <w:rPr>
          <w:rFonts w:ascii="Times New Roman" w:cs="Times New Roman" w:eastAsia="Times New Roman" w:hAnsi="Times New Roman"/>
          <w:rtl w:val="0"/>
        </w:rPr>
        <w:t xml:space="preserve">Tabla 29</w:t>
      </w:r>
      <w:commentRangeEnd w:id="235"/>
      <w:r>
        <w:rPr>
          <w:rStyle w:val="CommentReference"/>
        </w:rPr>
        <w:commentReference w:id="235"/>
      </w:r>
      <w:r w:rsidDel="00000000" w:rsidR="00000000" w:rsidRPr="00000000">
        <w:rPr>
          <w:rFonts w:ascii="Times New Roman" w:cs="Times New Roman" w:eastAsia="Times New Roman" w:hAnsi="Times New Roman"/>
          <w:rtl w:val="0"/>
        </w:rPr>
        <w:t xml:space="preserve"> </w:t>
      </w:r>
      <w:commentRangeStart w:id="268"/>
      <w:r w:rsidDel="00000000" w:rsidR="00000000" w:rsidRPr="00000000">
        <w:rPr>
          <w:rFonts w:ascii="Times New Roman" w:cs="Times New Roman" w:eastAsia="Times New Roman" w:hAnsi="Times New Roman"/>
          <w:rtl w:val="0"/>
        </w:rPr>
        <w:t xml:space="preserve">se desarrollan en este informe</w:t>
      </w:r>
      <w:commentRangeEnd w:id="268"/>
      <w:r>
        <w:rPr>
          <w:rStyle w:val="CommentReference"/>
        </w:rPr>
        <w:commentReference w:id="268"/>
      </w:r>
      <w:r w:rsidDel="00000000" w:rsidR="00000000" w:rsidRPr="00000000">
        <w:rPr>
          <w:rFonts w:ascii="Times New Roman" w:cs="Times New Roman" w:eastAsia="Times New Roman" w:hAnsi="Times New Roman"/>
          <w:rtl w:val="0"/>
        </w:rPr>
        <w:t xml:space="preserve"> con el mismo nivel de rigor, </w:t>
      </w:r>
      <w:commentRangeStart w:id="269"/>
      <w:r w:rsidDel="00000000" w:rsidR="00000000" w:rsidRPr="00000000">
        <w:rPr>
          <w:rFonts w:ascii="Times New Roman" w:cs="Times New Roman" w:eastAsia="Times New Roman" w:hAnsi="Times New Roman"/>
          <w:rtl w:val="0"/>
        </w:rPr>
        <w:t xml:space="preserve">el equipo prioriza a partir de este avance el desarrollo</w:t>
      </w:r>
      <w:commentRangeEnd w:id="269"/>
      <w:r>
        <w:rPr>
          <w:rStyle w:val="CommentReference"/>
        </w:rPr>
        <w:commentReference w:id="269"/>
      </w:r>
      <w:r w:rsidDel="00000000" w:rsidR="00000000" w:rsidRPr="00000000">
        <w:rPr>
          <w:rFonts w:ascii="Times New Roman" w:cs="Times New Roman" w:eastAsia="Times New Roman" w:hAnsi="Times New Roman"/>
          <w:rtl w:val="0"/>
        </w:rPr>
        <w:t xml:space="preserve"> de la iniciativa vinculada a DC3, en tanto la contratación de productos por canal digital ha sido seleccionada como el proceso de negocio ancla del proyecto. Las hipótesis de DC1 y DC2 permanecen vigentes como parte del </w:t>
      </w:r>
      <w:commentRangeStart w:id="271"/>
      <w:r w:rsidDel="00000000" w:rsidR="00000000" w:rsidRPr="00000000">
        <w:rPr>
          <w:rFonts w:ascii="Times New Roman" w:cs="Times New Roman" w:eastAsia="Times New Roman" w:hAnsi="Times New Roman"/>
          <w:rtl w:val="0"/>
        </w:rPr>
        <w:t xml:space="preserve">alcance ya sustentado en este informe</w:t>
      </w:r>
      <w:commentRangeEnd w:id="271"/>
      <w:r>
        <w:rPr>
          <w:rStyle w:val="CommentReference"/>
        </w:rPr>
        <w:commentReference w:id="27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tres hipótesis comparten un mismo principio de diseño: ninguna reemplaza la decisión humana en el punto donde la regulación o el riesgo reputacional lo exige (la aprobación crediticia final, la procedencia del reclamo y la validación de identidad de un menor de edad), sino que reduce el trabajo manual previo a esa decisión. Esta arquitectura responde, en primer lugar, al principio de supervisión humana del Reglamento de la Ley </w:t>
      </w:r>
      <w:commentRangeStart w:id="301"/>
      <w:r w:rsidDel="00000000" w:rsidR="00000000" w:rsidRPr="00000000">
        <w:rPr>
          <w:rFonts w:ascii="Times New Roman" w:cs="Times New Roman" w:eastAsia="Times New Roman" w:hAnsi="Times New Roman"/>
          <w:rtl w:val="0"/>
        </w:rPr>
        <w:t xml:space="preserve">N.º </w:t>
      </w:r>
      <w:commentRangeEnd w:id="301"/>
      <w:r>
        <w:rPr>
          <w:rStyle w:val="CommentReference"/>
        </w:rPr>
        <w:commentReference w:id="301"/>
      </w:r>
      <w:r w:rsidDel="00000000" w:rsidR="00000000" w:rsidRPr="00000000">
        <w:rPr>
          <w:rFonts w:ascii="Times New Roman" w:cs="Times New Roman" w:eastAsia="Times New Roman" w:hAnsi="Times New Roman"/>
          <w:rtl w:val="0"/>
        </w:rPr>
        <w:t xml:space="preserve">31814, según el cual la intervención humana debe poder corregir, modificar o detener el funcionamiento de los sistemas de IA (art. 7, literal h). En los sistemas de riesgo alto del sector financiero, esa supervisión debe recaer en personal capacitado para invalidar sus decisiones (art. 31.4) (Decreto Supremo </w:t>
      </w:r>
      <w:commentRangeStart w:id="302"/>
      <w:r w:rsidDel="00000000" w:rsidR="00000000" w:rsidRPr="00000000">
        <w:rPr>
          <w:rFonts w:ascii="Times New Roman" w:cs="Times New Roman" w:eastAsia="Times New Roman" w:hAnsi="Times New Roman"/>
          <w:rtl w:val="0"/>
        </w:rPr>
        <w:t xml:space="preserve">N.º </w:t>
      </w:r>
      <w:commentRangeEnd w:id="302"/>
      <w:r>
        <w:rPr>
          <w:rStyle w:val="CommentReference"/>
        </w:rPr>
        <w:commentReference w:id="302"/>
      </w:r>
      <w:r w:rsidDel="00000000" w:rsidR="00000000" w:rsidRPr="00000000">
        <w:rPr>
          <w:rFonts w:ascii="Times New Roman" w:cs="Times New Roman" w:eastAsia="Times New Roman" w:hAnsi="Times New Roman"/>
          <w:rtl w:val="0"/>
        </w:rPr>
        <w:t xml:space="preserve">115-2025-PCM, 2025). Responde también a la necesidad de que la iniciativa resulte defendible ante el jurado y, eventualmente, ante el propio banco.</w:t>
      </w:r>
    </w:p>
    <w:p w:rsidR="00000000" w:rsidDel="00000000" w:rsidP="00000000" w:rsidRDefault="00000000" w:rsidRPr="00000000">
      <w:pPr>
        <w:spacing w:after="200" w:before="0" w:line="360" w:lineRule="auto"/>
        <w:jc w:val="both"/>
        <w:rPr>
          <w:rFonts w:ascii="Times New Roman" w:cs="Times New Roman" w:eastAsia="Times New Roman" w:hAnsi="Times New Roman"/>
        </w:rPr>
      </w:pPr>
      <w:commentRangeStart w:id="314"/>
      <w:r>
        <w:rPr>
          <w:rFonts w:ascii="Times New Roman" w:cs="Times New Roman" w:eastAsia="Times New Roman" w:hAnsi="Times New Roman"/>
        </w:rPr>
        <w:t xml:space="preserve">La Figura 4 relaciona la exigencia de las metas propuestas para DC1 y DC3 con el ritmo que cada indicador mostró antes de las iniciativas. La meta de originación digital Pyme requiere unos dieciocho puntos por año, el triple del ritmo estimado en la Tabla 23 y casi el doble del que registró la facturación digital de High Value Pymes. La de penetración digital en cuentas exige cerca de quince puntos por año, cuando el indicador retrocedió entre el cierre de 2025 y el 2T2026. Ambas son metas de estiramiento y su validación con la entidad sigue pendiente.</w:t>
      </w:r>
      <w:commentRangeEnd w:id="314"/>
      <w:r>
        <w:rPr>
          <w:rStyle w:val="CommentReference"/>
        </w:rPr>
        <w:commentReference w:id="314"/>
      </w:r>
    </w:p>
    <w:p w:rsidR="00000000" w:rsidDel="00000000" w:rsidP="00000000" w:rsidRDefault="00000000" w:rsidRPr="00000000">
      <w:pPr>
        <w:ind w:left="708.6614173228347" w:firstLine="0"/>
        <w:rPr>
          <w:rFonts w:ascii="Times New Roman" w:cs="Times New Roman" w:eastAsia="Times New Roman" w:hAnsi="Times New Roman"/>
          <w:b w:val="1"/>
          <w:bCs w:val="1"/>
          <w:color w:val="072146"/>
        </w:rPr>
      </w:pPr>
      <w:commentRangeStart w:id="316"/>
      <w:r w:rsidDel="00000000" w:rsidR="00000000" w:rsidRPr="00000000">
        <w:rPr>
          <w:rFonts w:ascii="Times New Roman" w:cs="Times New Roman" w:eastAsia="Times New Roman" w:hAnsi="Times New Roman"/>
          <w:b w:val="1"/>
          <w:bCs w:val="1"/>
          <w:color w:val="072146"/>
          <w:rtl w:val="0"/>
        </w:rPr>
        <w:t xml:space="preserve">Figura 4</w:t>
      </w:r>
      <w:commentRangeEnd w:id="316"/>
      <w:r>
        <w:rPr>
          <w:rStyle w:val="CommentReference"/>
        </w:rPr>
        <w:commentReference w:id="316"/>
      </w:r>
    </w:p>
    <w:p w:rsidR="00000000" w:rsidDel="00000000" w:rsidP="00000000" w:rsidRDefault="00000000" w:rsidRPr="00000000">
      <w:pPr>
        <w:spacing w:after="100" w:lineRule="auto"/>
        <w:ind w:left="708.661417322834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Exigencia anual de las metas de DC1 y DC3 frente al ritmo observado antes de las iniciativas</w:t>
      </w:r>
    </w:p>
    <w:p w:rsidR="00000000" w:rsidDel="00000000" w:rsidP="00000000" w:rsidRDefault="00000000" w:rsidRPr="00000000">
      <w:pPr>
        <w:spacing w:after="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48023" cy="2886234"/>
            <wp:effectExtent b="0" l="0" r="0" t="0"/>
            <wp:docPr id="9004" name="figure4.png"/>
            <a:graphic>
              <a:graphicData uri="http://schemas.openxmlformats.org/drawingml/2006/picture">
                <pic:pic>
                  <pic:nvPicPr>
                    <pic:cNvPr id="0" name="figure4.png"/>
                    <pic:cNvPicPr preferRelativeResize="0"/>
                  </pic:nvPicPr>
                  <pic:blipFill>
                    <a:blip r:embed="rIdFig4"/>
                    <a:srcRect b="0" l="0" r="0" t="0"/>
                    <a:stretch>
                      <a:fillRect/>
                    </a:stretch>
                  </pic:blipFill>
                  <pic:spPr>
                    <a:xfrm>
                      <a:off x="0" y="0"/>
                      <a:ext cx="5348023" cy="2886234"/>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before="40" w:lineRule="auto"/>
        <w:ind w:left="708.661417322834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Ritmo requerido: (meta − línea base) ÷ 1.5 años. Ritmo observado: variación entre el cierre de 2025 y el 2T2026, multiplicada por dos (cálculo propio con base en Reusche, 2026; BBVA, 2026e; Banco BBVA Perú, 2025 y 2026a, p. 3). Referencia: Banco BBVA Perú (2026b, p. 25).</w:t>
      </w:r>
    </w:p>
    <w:p w:rsidR="00000000" w:rsidDel="00000000" w:rsidP="00000000" w:rsidRDefault="00000000" w:rsidRPr="00000000">
      <w:pPr>
        <w:pStyle w:val="Heading1"/>
        <w:numPr>
          <w:ilvl w:val="0"/>
          <w:numId w:val="1"/>
        </w:numPr>
        <w:ind w:left="566.9291338582675" w:hanging="360"/>
        <w:rPr>
          <w:rFonts w:ascii="Times New Roman" w:cs="Times New Roman" w:eastAsia="Times New Roman" w:hAnsi="Times New Roman"/>
          <w:b w:val="1"/>
          <w:bCs w:val="1"/>
          <w:sz w:val="22"/>
          <w:szCs w:val="22"/>
        </w:rPr>
      </w:pPr>
      <w:bookmarkStart w:id="307" w:name="_TocE3_7"/>
      <w:bookmarkEnd w:id="307"/>
      <w:commentRangeStart w:id="312"/>
      <w:r w:rsidDel="00000000" w:rsidR="00000000" w:rsidRPr="00000000">
        <w:rPr>
          <w:rFonts w:ascii="Times New Roman" w:cs="Times New Roman" w:eastAsia="Times New Roman" w:hAnsi="Times New Roman"/>
          <w:b w:val="1"/>
          <w:bCs w:val="1"/>
          <w:sz w:val="22"/>
          <w:szCs w:val="22"/>
          <w:rtl w:val="0"/>
        </w:rPr>
        <w:t xml:space="preserve">Descripción detallada de los puntos de dolor As Is</w:t>
      </w:r>
      <w:commentRangeEnd w:id="312"/>
      <w:r>
        <w:rPr>
          <w:rStyle w:val="CommentReference"/>
        </w:rPr>
        <w:commentReference w:id="312"/>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sección describe, para cada uno de los tres dolores críticos, la situación As Is del proceso: actores involucrados, sistemas utilizados, canales de atención, actividades manuales, tiempos promedio, errores frecuentes, costos asociados e indicadores actuales. La descripción reutiliza la evidencia ya consignada en los mapas de las secciones 3.3 a 3.5 y en las </w:t>
      </w:r>
      <w:commentRangeStart w:id="240"/>
      <w:r w:rsidDel="00000000" w:rsidR="00000000" w:rsidRPr="00000000">
        <w:rPr>
          <w:rFonts w:ascii="Times New Roman" w:cs="Times New Roman" w:eastAsia="Times New Roman" w:hAnsi="Times New Roman"/>
          <w:rtl w:val="0"/>
        </w:rPr>
        <w:t xml:space="preserve">Tablas 23 a 25;</w:t>
      </w:r>
      <w:commentRangeEnd w:id="240"/>
      <w:r>
        <w:rPr>
          <w:rStyle w:val="CommentReference"/>
        </w:rPr>
        <w:commentReference w:id="240"/>
      </w:r>
      <w:r w:rsidDel="00000000" w:rsidR="00000000" w:rsidRPr="00000000">
        <w:rPr>
          <w:rFonts w:ascii="Times New Roman" w:cs="Times New Roman" w:eastAsia="Times New Roman" w:hAnsi="Times New Roman"/>
          <w:rtl w:val="0"/>
        </w:rPr>
        <w:t xml:space="preserve"> no se introduce ninguna cifra nueva sin fuente. Donde el equipo no encontró una fuente pública, el campo se marca de forma explícita como </w:t>
      </w:r>
      <w:r w:rsidDel="00000000" w:rsidR="00000000" w:rsidRPr="00000000">
        <w:rPr>
          <w:rFonts w:ascii="Times New Roman" w:cs="Times New Roman" w:eastAsia="Times New Roman" w:hAnsi="Times New Roman"/>
          <w:i w:val="1"/>
          <w:iCs w:val="1"/>
          <w:rtl w:val="0"/>
        </w:rPr>
        <w:t xml:space="preserve">NO HAY FUENTES EN INTERNET DISPONIBLES</w:t>
      </w:r>
      <w:r w:rsidDel="00000000" w:rsidR="00000000" w:rsidRPr="00000000">
        <w:rPr>
          <w:rFonts w:ascii="Times New Roman" w:cs="Times New Roman" w:eastAsia="Times New Roman" w:hAnsi="Times New Roman"/>
          <w:rtl w:val="0"/>
        </w:rPr>
        <w:t xml:space="preserve">, conforme al criterio de evidencia declarado en la sección 3.1.</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8" w:name="_TocE3_8"/>
      <w:bookmarkEnd w:id="308"/>
      <w:r w:rsidDel="00000000" w:rsidR="00000000" w:rsidRPr="00000000">
        <w:rPr>
          <w:rFonts w:ascii="Times New Roman" w:cs="Times New Roman" w:eastAsia="Times New Roman" w:hAnsi="Times New Roman"/>
          <w:b w:val="1"/>
          <w:bCs w:val="1"/>
          <w:sz w:val="22"/>
          <w:szCs w:val="22"/>
          <w:rtl w:val="0"/>
        </w:rPr>
        <w:t xml:space="preserve">Descripción As Is del dolor crítico DC1: originación de crédito Pyme</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6"/>
      <w:r w:rsidDel="00000000" w:rsidR="00000000" w:rsidRPr="00000000">
        <w:rPr>
          <w:rFonts w:ascii="Times New Roman" w:cs="Times New Roman" w:eastAsia="Times New Roman" w:hAnsi="Times New Roman"/>
          <w:b w:val="1"/>
          <w:bCs w:val="1"/>
          <w:rtl w:val="0"/>
        </w:rPr>
        <w:t xml:space="preserve">Tabla 30</w:t>
      </w:r>
      <w:commentRangeEnd w:id="236"/>
      <w:r>
        <w:rPr>
          <w:rStyle w:val="CommentReference"/>
        </w:rPr>
        <w:commentReference w:id="236"/>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DC1</w:t>
      </w:r>
      <w:r w:rsidDel="00000000" w:rsidR="00000000" w:rsidRPr="00000000">
        <w:rPr>
          <w:rFonts w:ascii="Times New Roman" w:cs="Times New Roman" w:eastAsia="Times New Roman" w:hAnsi="Times New Roman"/>
          <w:rtl w:val="0"/>
        </w:rPr>
      </w:r>
    </w:p>
    <w:tbl>
      <w:tblPr>
        <w:tblStyle w:val="Table31"/>
        <w:tblW w:w="904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50"/>
        <w:tblGridChange w:id="0">
          <w:tblGrid>
            <w:gridCol w:w="2295"/>
            <w:gridCol w:w="675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Empresario Pyme (persona natural con negocio o persona jurídica); apoderados y avalistas; Ejecutivo Banca Negocios (ruta asistida); motor de decisión y analista de riesgo; personal de formalización. </w:t>
            </w:r>
            <w:commentRangeStart w:id="275"/>
            <w:r w:rsidDel="00000000" w:rsidR="00000000" w:rsidRPr="00000000">
              <w:rPr>
                <w:rFonts w:ascii="Times New Roman" w:cs="Times New Roman" w:eastAsia="Times New Roman" w:hAnsi="Times New Roman"/>
                <w:rtl w:val="0"/>
              </w:rPr>
              <w:t xml:space="preserve">Tabla 15;</w:t>
            </w:r>
            <w:commentRangeEnd w:id="275"/>
            <w:r>
              <w:rPr>
                <w:rStyle w:val="CommentReference"/>
              </w:rPr>
              <w:commentReference w:id="275"/>
            </w:r>
            <w:r w:rsidDel="00000000" w:rsidR="00000000" w:rsidRPr="00000000">
              <w:rPr>
                <w:rFonts w:ascii="Times New Roman" w:cs="Times New Roman" w:eastAsia="Times New Roman" w:hAnsi="Times New Roman"/>
                <w:rtl w:val="0"/>
              </w:rPr>
              <w:t xml:space="preserve"> Banco BBVA Perú (s. f.-k).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 Mi Negocio (App BBVA), App BBVA Empresas 2.0 y BBVA Net Cash; motor de decisión y ofertas preaprobadas; centrales de riesgo; plataforma ADA; Openpay, QR Empresas y POS. Tabla 15; Banco BBVA Perú (s. f.-b, s. f.-c, s. f.-g).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(App BBVA, App BBVA Empresas 2.0, Net Cash), solo con </w:t>
            </w:r>
            <w:commentRangeStart w:id="276"/>
            <w:r w:rsidDel="00000000" w:rsidR="00000000" w:rsidRPr="00000000">
              <w:rPr>
                <w:rFonts w:ascii="Times New Roman" w:cs="Times New Roman" w:eastAsia="Times New Roman" w:hAnsi="Times New Roman"/>
                <w:rtl w:val="0"/>
              </w:rPr>
              <w:t xml:space="preserve">oferta preaprobada</w:t>
            </w:r>
            <w:commentRangeEnd w:id="276"/>
            <w:r>
              <w:rPr>
                <w:rStyle w:val="CommentReference"/>
              </w:rPr>
              <w:commentReference w:id="276"/>
            </w:r>
            <w:r w:rsidDel="00000000" w:rsidR="00000000" w:rsidRPr="00000000">
              <w:rPr>
                <w:rFonts w:ascii="Times New Roman" w:cs="Times New Roman" w:eastAsia="Times New Roman" w:hAnsi="Times New Roman"/>
                <w:rtl w:val="0"/>
              </w:rPr>
              <w:t xml:space="preserve">; asistido (oficina); telefónico (Línea Negocios). Tabla 15; Banco BBVA Perú (s. f.-e, s. f.-k).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en oficina de pagos de IGV o Renta y estados financieros de no más de tres meses (Banco BBVA Perú, s. f.-f); verificación de información financiera no estructurada (Melo, 2026); firma y formalización presencial (Tabla 15).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digital: 3 minutos en promedio (Reusche, 2026). Ruta asistida: sin plazo publicado; el banco solo indica que se comunicará con el cliente (Banco BBVA Perú, s. f.-k). Ciclo completo: NO HAY FUENTES EN INTERNET DISPONIBLES.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Préstamo digital de una sola vez, restricción de 45 días tras otro crédito, </w:t>
            </w:r>
            <w:commentRangeStart w:id="277"/>
            <w:r w:rsidDel="00000000" w:rsidR="00000000" w:rsidRPr="00000000">
              <w:rPr>
                <w:rFonts w:ascii="Times New Roman" w:cs="Times New Roman" w:eastAsia="Times New Roman" w:hAnsi="Times New Roman"/>
                <w:rtl w:val="0"/>
              </w:rPr>
              <w:t xml:space="preserve">oferta preaprobada</w:t>
            </w:r>
            <w:commentRangeEnd w:id="277"/>
            <w:r>
              <w:rPr>
                <w:rStyle w:val="CommentReference"/>
              </w:rPr>
              <w:commentReference w:id="277"/>
            </w:r>
            <w:r w:rsidDel="00000000" w:rsidR="00000000" w:rsidRPr="00000000">
              <w:rPr>
                <w:rFonts w:ascii="Times New Roman" w:cs="Times New Roman" w:eastAsia="Times New Roman" w:hAnsi="Times New Roman"/>
                <w:rtl w:val="0"/>
              </w:rPr>
              <w:t xml:space="preserve"> obligatoria y reporte positivo en la central de riesgos (Banco BBVA Perú, s. f.-c, s. f.-d, s. f.-e, s. f.-f). Sectorial: solo 1 de cada 4 mypes accede a crédito (Melo,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cliente: tasas de 10 % a 75 % en soles y comisión de S/ 8.5 por envío de información (Banco BBVA Perú, s. f.-f). Referencial, EE. UU.: ahorro de hasta USD 1,500 por préstamo automatizado (Freddie Mac, 2025, citado en Stealth Agents, 2026).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Créditos digitales: un tercio del otorgamiento; portafolio que transacciona digitalmente: 75 %; principalidad: 48 % (Reusche, 2026). Clientes Pyme digitales: 74 % (BBVA, 2026b). NPS Pyme: 33.6 frente a 52.57 en retail (Banco BBVA Perú, 2026b). </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2"/>
      <w:r w:rsidDel="00000000" w:rsidR="00000000" w:rsidRPr="00000000">
        <w:rPr>
          <w:rFonts w:ascii="Times New Roman" w:cs="Times New Roman" w:eastAsia="Times New Roman" w:hAnsi="Times New Roman"/>
          <w:rtl w:val="0"/>
        </w:rPr>
        <w:t xml:space="preserve">sección 3.1</w:t>
      </w:r>
      <w:commentRangeEnd w:id="252"/>
      <w:r>
        <w:rPr>
          <w:rStyle w:val="CommentReference"/>
        </w:rPr>
        <w:commentReference w:id="25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09" w:name="_TocE3_9"/>
      <w:bookmarkEnd w:id="309"/>
      <w:r w:rsidDel="00000000" w:rsidR="00000000" w:rsidRPr="00000000">
        <w:rPr>
          <w:rFonts w:ascii="Times New Roman" w:cs="Times New Roman" w:eastAsia="Times New Roman" w:hAnsi="Times New Roman"/>
          <w:b w:val="1"/>
          <w:bCs w:val="1"/>
          <w:sz w:val="22"/>
          <w:szCs w:val="22"/>
          <w:rtl w:val="0"/>
        </w:rPr>
        <w:t xml:space="preserve">Descripción As Is del dolor crítico DC2: operaciones no reconocidas</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7"/>
      <w:r w:rsidDel="00000000" w:rsidR="00000000" w:rsidRPr="00000000">
        <w:rPr>
          <w:rFonts w:ascii="Times New Roman" w:cs="Times New Roman" w:eastAsia="Times New Roman" w:hAnsi="Times New Roman"/>
          <w:b w:val="1"/>
          <w:bCs w:val="1"/>
          <w:rtl w:val="0"/>
        </w:rPr>
        <w:t xml:space="preserve">Tabla 31</w:t>
      </w:r>
      <w:commentRangeEnd w:id="237"/>
      <w:r>
        <w:rPr>
          <w:rStyle w:val="CommentReference"/>
        </w:rPr>
        <w:commentReference w:id="237"/>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DC2</w:t>
      </w:r>
      <w:r w:rsidDel="00000000" w:rsidR="00000000" w:rsidRPr="00000000">
        <w:rPr>
          <w:rFonts w:ascii="Times New Roman" w:cs="Times New Roman" w:eastAsia="Times New Roman" w:hAnsi="Times New Roman"/>
          <w:rtl w:val="0"/>
        </w:rPr>
      </w:r>
    </w:p>
    <w:tbl>
      <w:tblPr>
        <w:tblStyle w:val="Table32"/>
        <w:tblW w:w="907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780"/>
        <w:tblGridChange w:id="0">
          <w:tblGrid>
            <w:gridCol w:w="2295"/>
            <w:gridCol w:w="678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reclamante; asesor telefónico, de oficina o canal digital de registro; analista del área de fraude; analista de operaciones; área de atención al cliente; SBS e Indecopi como receptores del reporte regulatorio.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monitoreo transaccional y reglas antifraude; Blue Buddy, con flujo de reclamos que muestra el ciclo de vida del caso y 90 % de adopción (Banco BBVA Perú, 2026a, p. 4); sistema de gestión de reclamos; herramientas de identidades, monitoreo y respuesta a incidentes; plataforma ADA.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(alerta y registro del reclamo), contact center y oficina; consulta web del estado del caso (Banco BBVA Perú, s. f.-h); resultado mediante carta de respuesta. Tabla 16.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y tipificación del reclamo; análisis del caso y "revisión de las trazas de la operación y consulta de su ciclo de vida mediante las herramientas internas" (explícitamente manual, Tabla 16); coordinación entre las áreas de fraude, operaciones y atención (sección 3.4); decisión sobre procedencia y ejecución del abono o rechazo. Tabla 16.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2T2026: 11.29 días en operaciones no reconocidas frente a 8.02 del total de reclamos. Jul.-ago. 2026: 26.37 y 20.36 días. Plazo regulatorio: 15 días hábiles, prorrogable. Cálculo propio con base en Banco BBVA Perú (2026c a 2026g); SBS (2022, arts. 7.1 y 7.3). </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tipos de error operativo específicos de BBVA Perú en este proceso.</w:t>
            </w:r>
            <w:r w:rsidDel="00000000" w:rsidR="00000000" w:rsidRPr="00000000">
              <w:rPr>
                <w:rFonts w:ascii="Times New Roman" w:cs="Times New Roman" w:eastAsia="Times New Roman" w:hAnsi="Times New Roman"/>
                <w:rtl w:val="0"/>
              </w:rPr>
              <w:t xml:space="preserve"> Evidencia propia de BBVA Perú: la proporción de reclamos de esta materia resueltos a favor del usuario pasó de 21.63 % en el 2T2026 a 84.1 % en julio-agosto de 2026 (cálculo propio con base en Banco BBVA Perú, 2026c a 2026g); los reportes mensuales no publican la causa de esa variación ni la tipología del error operativo.</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operativo propio de BBVA Perú por caso: NO HAY FUENTES EN INTERNET DISPONIBLES.</w:t>
            </w:r>
            <w:r w:rsidDel="00000000" w:rsidR="00000000" w:rsidRPr="00000000">
              <w:rPr>
                <w:rFonts w:ascii="Times New Roman" w:cs="Times New Roman" w:eastAsia="Times New Roman" w:hAnsi="Times New Roman"/>
                <w:rtl w:val="0"/>
              </w:rPr>
              <w:t xml:space="preserve"> Cifra sectorial, no desagregada por entidad: 3,978.8 UIT en multas del Indecopi entre 2021 y marzo de 2025, de las cuales el 90 % (2,601 sanciones) recayó en el sistema financiero (Andina, 2025).</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2T2026: 13,959 reclamos absueltos (20 % del total), 21.63 % a favor del usuario y 3.03 por cada cien mil operaciones. Jul.-ago. 2026: 5,857 absueltos, 84.1 % a favor del usuario. Cálculo propio con base en Banco BBVA Perú (2026c a 2026g); detalle en la </w:t>
            </w:r>
            <w:commentRangeStart w:id="245"/>
            <w:r w:rsidDel="00000000" w:rsidR="00000000" w:rsidRPr="00000000">
              <w:rPr>
                <w:rFonts w:ascii="Times New Roman" w:cs="Times New Roman" w:eastAsia="Times New Roman" w:hAnsi="Times New Roman"/>
                <w:rtl w:val="0"/>
              </w:rPr>
              <w:t xml:space="preserve">Tabla 24</w:t>
            </w:r>
            <w:commentRangeEnd w:id="245"/>
            <w:r>
              <w:rPr>
                <w:rStyle w:val="CommentReference"/>
              </w:rPr>
              <w:commentReference w:id="245"/>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3"/>
      <w:r w:rsidDel="00000000" w:rsidR="00000000" w:rsidRPr="00000000">
        <w:rPr>
          <w:rFonts w:ascii="Times New Roman" w:cs="Times New Roman" w:eastAsia="Times New Roman" w:hAnsi="Times New Roman"/>
          <w:rtl w:val="0"/>
        </w:rPr>
        <w:t xml:space="preserve">sección 3.1</w:t>
      </w:r>
      <w:commentRangeEnd w:id="253"/>
      <w:r>
        <w:rPr>
          <w:rStyle w:val="CommentReference"/>
        </w:rPr>
        <w:commentReference w:id="25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pStyle w:val="Heading2"/>
        <w:numPr>
          <w:ilvl w:val="1"/>
          <w:numId w:val="1"/>
        </w:numPr>
        <w:spacing w:before="200" w:lineRule="auto"/>
        <w:ind w:left="1440" w:hanging="360"/>
        <w:rPr>
          <w:rFonts w:ascii="Times New Roman" w:cs="Times New Roman" w:eastAsia="Times New Roman" w:hAnsi="Times New Roman"/>
          <w:b w:val="1"/>
          <w:bCs w:val="1"/>
          <w:sz w:val="22"/>
          <w:szCs w:val="22"/>
        </w:rPr>
      </w:pPr>
      <w:bookmarkStart w:id="310" w:name="_TocE3_10"/>
      <w:bookmarkEnd w:id="310"/>
      <w:r w:rsidDel="00000000" w:rsidR="00000000" w:rsidRPr="00000000">
        <w:rPr>
          <w:rFonts w:ascii="Times New Roman" w:cs="Times New Roman" w:eastAsia="Times New Roman" w:hAnsi="Times New Roman"/>
          <w:b w:val="1"/>
          <w:bCs w:val="1"/>
          <w:sz w:val="22"/>
          <w:szCs w:val="22"/>
          <w:rtl w:val="0"/>
        </w:rPr>
        <w:t xml:space="preserve">Descripción As Is del dolor crítico DC3: contratación por canal digital</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0" w:before="200" w:line="360" w:lineRule="auto"/>
        <w:rPr>
          <w:rFonts w:ascii="Times New Roman" w:cs="Times New Roman" w:eastAsia="Times New Roman" w:hAnsi="Times New Roman"/>
        </w:rPr>
      </w:pPr>
      <w:commentRangeStart w:id="238"/>
      <w:r w:rsidDel="00000000" w:rsidR="00000000" w:rsidRPr="00000000">
        <w:rPr>
          <w:rFonts w:ascii="Times New Roman" w:cs="Times New Roman" w:eastAsia="Times New Roman" w:hAnsi="Times New Roman"/>
          <w:b w:val="1"/>
          <w:bCs w:val="1"/>
          <w:rtl w:val="0"/>
        </w:rPr>
        <w:t xml:space="preserve">Tabla 32</w:t>
      </w:r>
      <w:commentRangeEnd w:id="238"/>
      <w:r>
        <w:rPr>
          <w:rStyle w:val="CommentReference"/>
        </w:rPr>
        <w:commentReference w:id="238"/>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0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Descripción As Is del DC3</w:t>
      </w:r>
      <w:r w:rsidDel="00000000" w:rsidR="00000000" w:rsidRPr="00000000">
        <w:rPr>
          <w:rFonts w:ascii="Times New Roman" w:cs="Times New Roman" w:eastAsia="Times New Roman" w:hAnsi="Times New Roman"/>
          <w:rtl w:val="0"/>
        </w:rPr>
      </w:r>
    </w:p>
    <w:tbl>
      <w:tblPr>
        <w:tblStyle w:val="Table33"/>
        <w:tblW w:w="9105.0" w:type="dxa"/>
        <w:jc w:val="left"/>
        <w:tblBorders>
          <w:top w:color="8496b0" w:space="0" w:sz="4" w:val="single"/>
          <w:left w:color="8496b0" w:space="0" w:sz="4" w:val="single"/>
          <w:bottom w:color="8496b0" w:space="0" w:sz="4" w:val="single"/>
          <w:right w:color="8496b0" w:space="0" w:sz="4" w:val="single"/>
          <w:insideH w:color="b4c6e7" w:space="0" w:sz="4" w:val="single"/>
          <w:insideV w:color="b4c6e7" w:space="0" w:sz="4" w:val="single"/>
        </w:tblBorders>
        <w:tblLayout w:type="fixed"/>
        <w:tblLook w:val="0000"/>
      </w:tblPr>
      <w:tblGrid>
        <w:gridCol w:w="2295"/>
        <w:gridCol w:w="6810"/>
        <w:tblGridChange w:id="0">
          <w:tblGrid>
            <w:gridCol w:w="2295"/>
            <w:gridCol w:w="6810"/>
          </w:tblGrid>
        </w:tblGridChange>
      </w:tblGrid>
      <w:tr>
        <w:trPr>
          <w:cantSplit w:val="0"/>
          <w:tblHeader w:val="1"/>
        </w:trPr>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Dimensión</w:t>
            </w:r>
            <w:r w:rsidDel="00000000" w:rsidR="00000000" w:rsidRPr="00000000">
              <w:rPr>
                <w:rFonts w:ascii="Times New Roman" w:cs="Times New Roman" w:eastAsia="Times New Roman" w:hAnsi="Times New Roman"/>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90.0" w:type="dxa"/>
              <w:bottom w:w="60.0" w:type="dxa"/>
              <w:right w:w="90.0" w:type="dxa"/>
            </w:tcMar>
            <w:vAlign w:val="center"/>
          </w:tcPr>
          <w:p w:rsidR="00000000" w:rsidDel="00000000" w:rsidP="00000000" w:rsidRDefault="00000000" w:rsidRPr="000000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Situación As Is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involucrados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o no cliente interesado en contratar un producto; asistente Blue Buddy; personal de oficina que atiende los casos derivados. </w:t>
            </w:r>
            <w:commentRangeStart w:id="256"/>
            <w:r w:rsidDel="00000000" w:rsidR="00000000" w:rsidRPr="00000000">
              <w:rPr>
                <w:rFonts w:ascii="Times New Roman" w:cs="Times New Roman" w:eastAsia="Times New Roman" w:hAnsi="Times New Roman"/>
                <w:rtl w:val="0"/>
              </w:rPr>
              <w:t xml:space="preserve">Tabla 17; Anexo A.</w:t>
            </w:r>
            <w:commentRangeEnd w:id="256"/>
            <w:r>
              <w:rPr>
                <w:rStyle w:val="CommentReference"/>
              </w:rPr>
              <w:commentReference w:id="256"/>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utilizados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web, simuladores, flujo digital de contratación —incluido el proceso íntegramente digital para no clientes lanzado a inicios de 2026—, cajeros, agentes, Plin y QR. Tabla 17; A. Moquillaza, comunicación personal, 11 de setiembre de 2026.</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atención</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BBVA (85 % de las operaciones monetarias), web, publicidad, oficina, contact center. Tabla 17; Banco BBVA Perú (2026a, p. 3).</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Actividades manuales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Derivación a oficina física cuando el sistema detiene el recorrido ante perfiles </w:t>
            </w:r>
            <w:commentRangeStart w:id="274"/>
            <w:r w:rsidDel="00000000" w:rsidR="00000000" w:rsidRPr="00000000">
              <w:rPr>
                <w:rFonts w:ascii="Times New Roman" w:cs="Times New Roman" w:eastAsia="Times New Roman" w:hAnsi="Times New Roman"/>
                <w:rtl w:val="0"/>
              </w:rPr>
              <w:t xml:space="preserve">no contemplados: usuarios</w:t>
            </w:r>
            <w:commentRangeEnd w:id="274"/>
            <w:r>
              <w:rPr>
                <w:rStyle w:val="CommentReference"/>
              </w:rPr>
              <w:commentReference w:id="274"/>
            </w:r>
            <w:r w:rsidDel="00000000" w:rsidR="00000000" w:rsidRPr="00000000">
              <w:rPr>
                <w:rFonts w:ascii="Times New Roman" w:cs="Times New Roman" w:eastAsia="Times New Roman" w:hAnsi="Times New Roman"/>
                <w:rtl w:val="0"/>
              </w:rPr>
              <w:t xml:space="preserve"> menores de edad o con carné de extranjería; formalización presencial de esos casos. A. Moquillaza, comunicación personal, 11 de setiembre de 2026. Para extranjeros, el banco describe la ruta presencial como una secuencia de pasos: acercarse a la entidad, pasar por la entrevista, llenar formularios, hacer un depósito inicial si es requisito y esperar la activación de la cuenta (Banco BBVA Perú, </w:t>
            </w:r>
            <w:commentRangeStart w:id="307"/>
            <w:r w:rsidDel="00000000" w:rsidR="00000000" w:rsidRPr="00000000">
              <w:rPr>
                <w:rFonts w:ascii="Times New Roman" w:cs="Times New Roman" w:eastAsia="Times New Roman" w:hAnsi="Times New Roman"/>
                <w:rtl w:val="0"/>
              </w:rPr>
              <w:t xml:space="preserve">s. f.-l</w:t>
            </w:r>
            <w:commentRangeEnd w:id="307"/>
            <w:r>
              <w:rPr>
                <w:rStyle w:val="CommentReference"/>
              </w:rPr>
              <w:commentReference w:id="307"/>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Tiempos promedio</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100 % digital para no clientes: menos de 5 minutos. Apertura de la cuenta digital para nuevos clientes: cuatro minutos (Banco BBVA Perú, 2026b, p. 25). A. Moquillaza, comunicación personal, 11 de setiembre de 2026. </w:t>
            </w:r>
            <w:r w:rsidDel="00000000" w:rsidR="00000000" w:rsidRPr="00000000">
              <w:rPr>
                <w:rFonts w:ascii="Times New Roman" w:cs="Times New Roman" w:eastAsia="Times New Roman" w:hAnsi="Times New Roman"/>
                <w:rtl w:val="0"/>
              </w:rPr>
              <w:t xml:space="preserve">Tiempo de la ruta derivada a oficina: NO HAY FUENTES EN INTERNET DISPONIBLES.</w:t>
            </w:r>
            <w:r w:rsidDel="00000000" w:rsidR="00000000" w:rsidRPr="00000000">
              <w:rPr>
                <w:rFonts w:ascii="Times New Roman" w:cs="Times New Roman" w:eastAsia="Times New Roman" w:hAnsi="Times New Roman"/>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frecuentes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la tasa de abandono o error propia de BBVA Perú en este flujo; así consignado en la </w:t>
            </w:r>
            <w:commentRangeStart w:id="247"/>
            <w:r w:rsidDel="00000000" w:rsidR="00000000" w:rsidRPr="00000000">
              <w:rPr>
                <w:rFonts w:ascii="Times New Roman" w:cs="Times New Roman" w:eastAsia="Times New Roman" w:hAnsi="Times New Roman"/>
                <w:rtl w:val="0"/>
              </w:rPr>
              <w:t xml:space="preserve">Tabla 25</w:t>
            </w:r>
            <w:commentRangeEnd w:id="247"/>
            <w:r>
              <w:rPr>
                <w:rStyle w:val="CommentReference"/>
              </w:rPr>
              <w:commentReference w:id="247"/>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Evidencia propia indirecta: el banco indica que la apertura digital puede completarse en pocos minutos «siempre que la validación de identidad sea exitosa» (Banco BBVA Perú, </w:t>
            </w:r>
            <w:commentRangeStart w:id="309"/>
            <w:r w:rsidDel="00000000" w:rsidR="00000000" w:rsidRPr="00000000">
              <w:rPr>
                <w:rFonts w:ascii="Times New Roman" w:cs="Times New Roman" w:eastAsia="Times New Roman" w:hAnsi="Times New Roman"/>
                <w:rtl w:val="0"/>
              </w:rPr>
              <w:t xml:space="preserve">s. f.-m</w:t>
            </w:r>
            <w:commentRangeEnd w:id="309"/>
            <w:r>
              <w:rPr>
                <w:rStyle w:val="CommentReference"/>
              </w:rPr>
              <w:commentReference w:id="309"/>
            </w:r>
            <w:r w:rsidDel="00000000" w:rsidR="00000000" w:rsidRPr="00000000">
              <w:rPr>
                <w:rFonts w:ascii="Times New Roman" w:cs="Times New Roman" w:eastAsia="Times New Roman" w:hAnsi="Times New Roman"/>
                <w:rtl w:val="0"/>
              </w:rPr>
              <w:t xml:space="preserve">), lo que identifica esa validación como punto crítico del flujo, sin que se publique su tasa de falla.</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Costos asociados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FUENTES EN INTERNET DISPONIBLES sobre el costo de adquisición por canal en BBVA Perú; así consignado en la </w:t>
            </w:r>
            <w:commentRangeStart w:id="248"/>
            <w:r w:rsidDel="00000000" w:rsidR="00000000" w:rsidRPr="00000000">
              <w:rPr>
                <w:rFonts w:ascii="Times New Roman" w:cs="Times New Roman" w:eastAsia="Times New Roman" w:hAnsi="Times New Roman"/>
                <w:rtl w:val="0"/>
              </w:rPr>
              <w:t xml:space="preserve">Tabla 25</w:t>
            </w:r>
            <w:commentRangeEnd w:id="248"/>
            <w:r>
              <w:rPr>
                <w:rStyle w:val="CommentReference"/>
              </w:rPr>
              <w:commentReference w:id="248"/>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Referencia propia de la entidad, cualitativa y de 2019: BBVA Perú estimó que, sin su transformación digital, habría tenido que abrir 40 agencias más, con los costos que ello implica, para captar al millón de clientes de los tres años previos, y que los canales digitales registraban índices de recomendación neta casi del doble que los canales tradicionales (BBVA, 2019).</w:t>
            </w:r>
          </w:p>
        </w:tc>
      </w:tr>
      <w:tr>
        <w:trPr>
          <w:cantSplit w:val="0"/>
          <w:tblHeader w:val="0"/>
        </w:trPr>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actuales</w:t>
            </w:r>
          </w:p>
        </w:tc>
        <w:tc>
          <w:tcPr>
            <w:tcBorders>
              <w:top w:color="b4c6e7" w:space="0" w:sz="4" w:val="single"/>
              <w:left w:color="b4c6e7" w:space="0" w:sz="4" w:val="single"/>
              <w:bottom w:color="b4c6e7" w:space="0" w:sz="4" w:val="single"/>
              <w:right w:color="b4c6e7" w:space="0" w:sz="4" w:val="single"/>
            </w:tcBorders>
            <w:tcMar>
              <w:top w:w="60.0" w:type="dxa"/>
              <w:left w:w="90.0" w:type="dxa"/>
              <w:bottom w:w="60.0" w:type="dxa"/>
              <w:right w:w="90.0" w:type="dxa"/>
            </w:tcMar>
            <w:vAlign w:val="center"/>
          </w:tcPr>
          <w:p w:rsidR="00000000" w:rsidDel="00000000" w:rsidP="00000000" w:rsidRDefault="00000000" w:rsidRPr="000000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Penetración digital: 33 % en cuentas, 50 % en tarjetas de crédito, 54 % en préstamos de consumo y 93 % en cambio de moneda al 2T2026, con retroceso frente al cierre de 2025 en tres de los cuatro productos. Ventas digitales totales: 79.57 %. Banco BBVA Perú (2025, 2026a, p. 3); </w:t>
            </w:r>
            <w:commentRangeStart w:id="242"/>
            <w:r w:rsidDel="00000000" w:rsidR="00000000" w:rsidRPr="00000000">
              <w:rPr>
                <w:rFonts w:ascii="Times New Roman" w:cs="Times New Roman" w:eastAsia="Times New Roman" w:hAnsi="Times New Roman"/>
                <w:rtl w:val="0"/>
              </w:rPr>
              <w:t xml:space="preserve">detalle por producto en la Tabla 25 y en la sección 3.5</w:t>
            </w:r>
            <w:commentRangeEnd w:id="242"/>
            <w:r>
              <w:rPr>
                <w:rStyle w:val="CommentReference"/>
              </w:rPr>
              <w:commentReference w:id="242"/>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pPr>
        <w:spacing w:after="220" w:before="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w:t>
      </w:r>
      <w:r w:rsidDel="00000000" w:rsidR="00000000" w:rsidRPr="00000000">
        <w:rPr>
          <w:rFonts w:ascii="Times New Roman" w:cs="Times New Roman" w:eastAsia="Times New Roman" w:hAnsi="Times New Roman"/>
          <w:rtl w:val="0"/>
        </w:rPr>
        <w:t xml:space="preserve">Elaboración propia con base en las fuentes citadas en cada celda; los vacíos de información se declaran de forma explícita conforme al criterio de evidencia de la </w:t>
      </w:r>
      <w:commentRangeStart w:id="254"/>
      <w:r w:rsidDel="00000000" w:rsidR="00000000" w:rsidRPr="00000000">
        <w:rPr>
          <w:rFonts w:ascii="Times New Roman" w:cs="Times New Roman" w:eastAsia="Times New Roman" w:hAnsi="Times New Roman"/>
          <w:rtl w:val="0"/>
        </w:rPr>
        <w:t xml:space="preserve">sección 3.1</w:t>
      </w:r>
      <w:commentRangeEnd w:id="254"/>
      <w:r>
        <w:rPr>
          <w:rStyle w:val="CommentReference"/>
        </w:rPr>
        <w:commentReference w:id="25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dolores, DC1 y DC3 comparten el mismo tipo de vacío: ninguno cuenta con línea base pública de tiempos ni de costos para su ruta asistida o derivada, porque esa información corresponde a gestión interna que la entidad no publica en sus reportes al mercado —la misma limitación ya declarada en la </w:t>
      </w:r>
      <w:commentRangeStart w:id="255"/>
      <w:r w:rsidDel="00000000" w:rsidR="00000000" w:rsidRPr="00000000">
        <w:rPr>
          <w:rFonts w:ascii="Times New Roman" w:cs="Times New Roman" w:eastAsia="Times New Roman" w:hAnsi="Times New Roman"/>
          <w:rtl w:val="0"/>
        </w:rPr>
        <w:t xml:space="preserve">sección 4.4</w:t>
      </w:r>
      <w:commentRangeEnd w:id="255"/>
      <w:r>
        <w:rPr>
          <w:rStyle w:val="CommentReference"/>
        </w:rPr>
        <w:commentReference w:id="255"/>
      </w:r>
      <w:r w:rsidDel="00000000" w:rsidR="00000000" w:rsidRPr="00000000">
        <w:rPr>
          <w:rFonts w:ascii="Times New Roman" w:cs="Times New Roman" w:eastAsia="Times New Roman" w:hAnsi="Times New Roman"/>
          <w:rtl w:val="0"/>
        </w:rPr>
        <w:t xml:space="preserve">—. DC2 es el único de los tres dolores críticos que cuenta con una línea base pública completa de tiempos e indicadores de volumen, por derivar de un reporte regulatorio de periodicidad mensual. Esta asimetría en la disponibilidad de evidencia debe considerarse al momento de definir el orden de implementación de las tres iniciativas: la hipótesis del DC2 es la que puede medirse desde el primer día sin depender de un levantamiento interno previo. No obstante esta asimetría, el equipo ha decidido concentrar el desarrollo de la iniciativa </w:t>
      </w:r>
      <w:commentRangeStart w:id="265"/>
      <w:r w:rsidDel="00000000" w:rsidR="00000000" w:rsidRPr="00000000">
        <w:rPr>
          <w:rFonts w:ascii="Times New Roman" w:cs="Times New Roman" w:eastAsia="Times New Roman" w:hAnsi="Times New Roman"/>
          <w:rtl w:val="0"/>
        </w:rPr>
        <w:t xml:space="preserve">a partir de este avance en el dolor DC3</w:t>
      </w:r>
      <w:commentRangeEnd w:id="265"/>
      <w:r>
        <w:rPr>
          <w:rStyle w:val="CommentReference"/>
        </w:rPr>
        <w:commentReference w:id="265"/>
      </w:r>
      <w:r w:rsidDel="00000000" w:rsidR="00000000" w:rsidRPr="00000000">
        <w:rPr>
          <w:rFonts w:ascii="Times New Roman" w:cs="Times New Roman" w:eastAsia="Times New Roman" w:hAnsi="Times New Roman"/>
          <w:rtl w:val="0"/>
        </w:rPr>
        <w:t xml:space="preserve">, conforme a los motivos de disponibilidad de información expuestos en la sección 5.1; el primer objetivo de la fase de implementación será cerrar precisamente el vacío de línea base señalado en el párrafo anterior, mediante levantamiento interno o mediante instrumentación directa del propio agente conversacional propuesto en la sección 5.4.</w:t>
      </w:r>
    </w:p>
    <w:p w:rsidR="00000000" w:rsidDel="00000000" w:rsidP="00000000" w:rsidRDefault="00000000" w:rsidRPr="00000000" w14:paraId="00000189">
      <w:pPr>
        <w:pStyle w:val="Heading1"/>
        <w:numPr>
          <w:ilvl w:val="0"/>
          <w:numId w:val="1"/>
        </w:numPr>
        <w:ind w:left="566.9291338582675" w:hanging="360"/>
        <w:rPr>
          <w:rFonts w:ascii="Times New Roman" w:cs="Times New Roman" w:eastAsia="Times New Roman" w:hAnsi="Times New Roman"/>
          <w:b w:val="1"/>
          <w:bCs w:val="1"/>
          <w:sz w:val="22"/>
          <w:szCs w:val="22"/>
        </w:rPr>
      </w:pPr>
      <w:bookmarkStart w:colFirst="0" w:colLast="0" w:name="_uipuv34bifbe" w:id="14"/>
      <w:bookmarkEnd w:id="14"/>
      <w:commentRangeStart w:id="196"/>
      <w:commentRangeStart w:id="317"/>
      <w:r w:rsidDel="00000000" w:rsidR="00000000" w:rsidRPr="00000000">
        <w:rPr>
          <w:rFonts w:ascii="Times New Roman" w:cs="Times New Roman" w:eastAsia="Times New Roman" w:hAnsi="Times New Roman"/>
          <w:b w:val="1"/>
          <w:bCs w:val="1"/>
          <w:sz w:val="22"/>
          <w:szCs w:val="22"/>
          <w:rtl w:val="0"/>
        </w:rPr>
        <w:t xml:space="preserve">Referencias bibliográficas</w:t>
      </w:r>
      <w:commentRangeEnd w:id="317"/>
      <w:r>
        <w:rPr>
          <w:rStyle w:val="CommentReference"/>
        </w:rPr>
        <w:commentReference w:id="317"/>
      </w:r>
      <w:commentRangeEnd w:id="196"/>
      <w:r>
        <w:rPr>
          <w:rStyle w:val="CommentReference"/>
        </w:rPr>
        <w:commentReference w:id="196"/>
      </w:r>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Alarcón, L. (2023, 27 de agosto). Robos digitales: las millonarias multas a los bancos por consumos no reconocidos. Ojo Público. </w:t>
      </w:r>
      <w:hyperlink r:id="rIdM1014">
        <w:r w:rsidDel="00000000" w:rsidR="00000000" w:rsidRPr="00000000">
          <w:rPr>
            <w:rFonts w:ascii="Times New Roman" w:cs="Times New Roman" w:eastAsia="Times New Roman" w:hAnsi="Times New Roman"/>
            <w:color w:val="1155cc"/>
            <w:u w:val="single"/>
            <w:rtl w:val="0"/>
          </w:rPr>
          <w:t xml:space="preserve">https://ojo-publico.com/4559/las-millonarias-multas-los-bancos-por-consumos-no-reconocidos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Andina. (2025, 16 de abril). Indecopi: sistema financiero concentra 90 % de sanciones por operaciones no reconocidas. </w:t>
      </w:r>
      <w:r w:rsidDel="00000000" w:rsidR="00000000" w:rsidRPr="00000000">
        <w:rPr>
          <w:rFonts w:ascii="Times New Roman" w:cs="Times New Roman" w:eastAsia="Times New Roman" w:hAnsi="Times New Roman"/>
          <w:i w:val="1"/>
          <w:iCs w:val="1"/>
          <w:rtl w:val="0"/>
        </w:rPr>
        <w:t xml:space="preserve">Agencia Peruana de Noticias Andina</w:t>
      </w:r>
      <w:r w:rsidDel="00000000" w:rsidR="00000000" w:rsidRPr="00000000">
        <w:rPr>
          <w:rFonts w:ascii="Times New Roman" w:cs="Times New Roman" w:eastAsia="Times New Roman" w:hAnsi="Times New Roman"/>
          <w:i w:val="0"/>
          <w:iCs w:val="0"/>
          <w:rtl w:val="0"/>
        </w:rPr>
        <w:t xml:space="preserve">. </w:t>
      </w:r>
      <w:hyperlink r:id="rIdM1013">
        <w:r w:rsidDel="00000000" w:rsidR="00000000" w:rsidRPr="00000000">
          <w:rPr>
            <w:rFonts w:ascii="Times New Roman" w:cs="Times New Roman" w:eastAsia="Times New Roman" w:hAnsi="Times New Roman"/>
            <w:i w:val="0"/>
            <w:iCs w:val="0"/>
            <w:color w:val="1155cc"/>
            <w:u w:val="single"/>
            <w:rtl w:val="0"/>
          </w:rPr>
          <w:t xml:space="preserve">https://andina.pe/agencia/noticia-indecopi-sistema-financiero-concentra-90-sanciones-operaciones-no-reconocidas-1026373.aspx</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Backbase. (2026, 26 de mayo). AI banking dispute resolution automation. </w:t>
      </w:r>
      <w:hyperlink r:id="rIdM2049">
        <w:r w:rsidDel="00000000" w:rsidR="00000000" w:rsidRPr="00000000">
          <w:rPr>
            <w:rFonts w:ascii="Times New Roman" w:cs="Times New Roman" w:eastAsia="Times New Roman" w:hAnsi="Times New Roman"/>
            <w:color w:val="1155cc"/>
            <w:u w:val="single"/>
            <w:rtl w:val="0"/>
          </w:rPr>
          <w:t xml:space="preserve">https://www.backbase.com/blog/ai-banking-dispute-resolution-automation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(s. f.-a). Cuenta de ahorros. Recuperado el 12 de setiembre de 2026, de </w:t>
      </w:r>
      <w:hyperlink r:id="rIdM1017">
        <w:r w:rsidDel="00000000" w:rsidR="00000000" w:rsidRPr="00000000">
          <w:rPr>
            <w:rFonts w:ascii="Times New Roman" w:cs="Times New Roman" w:eastAsia="Times New Roman" w:hAnsi="Times New Roman"/>
            <w:color w:val="1155cc"/>
            <w:u w:val="single"/>
            <w:rtl w:val="0"/>
          </w:rPr>
          <w:t xml:space="preserve">https://www.bbva.pe/personas/productos/cuentas/ahorro.html</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(s. f.-b). Fast Cash. Recuperado el 12 de setiembre de 2026, de </w:t>
      </w:r>
      <w:hyperlink r:id="rIdM1016">
        <w:r w:rsidDel="00000000" w:rsidR="00000000" w:rsidRPr="00000000">
          <w:rPr>
            <w:rFonts w:ascii="Times New Roman" w:cs="Times New Roman" w:eastAsia="Times New Roman" w:hAnsi="Times New Roman"/>
            <w:color w:val="1155cc"/>
            <w:u w:val="single"/>
            <w:rtl w:val="0"/>
          </w:rPr>
          <w:t xml:space="preserve">https://www.bbva.pe/pymes/productos/financiamiento/fast-cash.html</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(s. f.-c). Préstamo digital negocio. Recuperado el 12 de setiembre de 2026, de </w:t>
      </w:r>
      <w:hyperlink r:id="rIdM1019">
        <w:r w:rsidDel="00000000" w:rsidR="00000000" w:rsidRPr="00000000">
          <w:rPr>
            <w:rFonts w:ascii="Times New Roman" w:cs="Times New Roman" w:eastAsia="Times New Roman" w:hAnsi="Times New Roman"/>
            <w:color w:val="1155cc"/>
            <w:u w:val="single"/>
            <w:rtl w:val="0"/>
          </w:rPr>
          <w:t xml:space="preserve">https://www.bbva.pe/pymes/productos/financiamiento/prestamo-digital-negocio.html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f.-d). Línea de Préstamo Digital. Recuperado el 26 de setiembre de 2026, de </w:t>
      </w:r>
      <w:hyperlink r:id="rIdM2051">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https://www.bbva.pe/empresas/productos/financiamiento/prestamos-comerciales/linea-de-prestamo-digital.html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f.-e). Línea Préstamo Digital Persona Jurídica. Recuperado el 26 de setiembre de 2026, de </w:t>
      </w:r>
      <w:hyperlink r:id="rIdM2056">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https://www.bbva.pe/empresas/productos/financiamiento/prestamos-comerciales/linea-prestamo-digital-persona-juridica.html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f.-f). Préstamos Comerciales Negocios y Empresas. Recuperado el 26 de setiembre de 2026, de </w:t>
      </w:r>
      <w:hyperlink r:id="rIdM2055">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https://www.bbva.pe/empresas/productos/financiamiento/prestamos-comerciales/negocios-empresas.html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f.-g). Anticipo POS. Recuperado el 26 de setiembre de 2026, de </w:t>
      </w:r>
      <w:hyperlink r:id="rIdM2058">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https://www.bbva.pe/empresas/productos/financiamiento/prestamos-comerciales/anticipo-pos.html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f.-h). Estado de tu caso. Recuperado el 26 de setiembre de 2026, de </w:t>
      </w:r>
      <w:hyperlink r:id="rIdM2057">
        <w:r w:rsidDel="00000000" w:rsidR="00000000" w:rsidRPr="00000000">
          <w:rPr>
            <w:rFonts w:ascii="Times New Roman" w:cs="Times New Roman" w:eastAsia="Times New Roman" w:hAnsi="Times New Roman"/>
            <w:color w:val="1155cc"/>
            <w:u w:val="single"/>
            <w:rtl w:val="0"/>
          </w:rPr>
          <w:t xml:space="preserve">https://www.bbva.pe/personas/sos-cliente/consulta-de-reclamos.html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f.-i). Abrir Cuenta digital desde App. Recuperado el 26 de setiembre de 2026, de </w:t>
      </w:r>
      <w:hyperlink r:id="rIdM2023">
        <w:r w:rsidDel="00000000" w:rsidR="00000000" w:rsidRPr="00000000">
          <w:rPr>
            <w:rFonts w:ascii="Times New Roman" w:cs="Times New Roman" w:eastAsia="Times New Roman" w:hAnsi="Times New Roman"/>
            <w:color w:val="1155cc"/>
            <w:u w:val="single"/>
            <w:rtl w:val="0"/>
          </w:rPr>
          <w:t xml:space="preserve">https://www.bbva.pe/personas/productos/cuentas/ahorro/cuenta-digital/abrir-cuenta-app.html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f.-j). Preguntas frecuentes sobre cuentas de ahorro. Recuperado el 26 de setiembre de 2026, de </w:t>
      </w:r>
      <w:hyperlink r:id="rIdM2028">
        <w:r w:rsidDel="00000000" w:rsidR="00000000" w:rsidRPr="00000000">
          <w:rPr>
            <w:rFonts w:ascii="Times New Roman" w:cs="Times New Roman" w:eastAsia="Times New Roman" w:hAnsi="Times New Roman"/>
            <w:color w:val="1155cc"/>
            <w:u w:val="single"/>
            <w:rtl w:val="0"/>
          </w:rPr>
          <w:t xml:space="preserve">https://www.bbva.pe/personas/productos/cuentas/ahorro/preguntas-frecuentes-sobre-cuentas-de-ahorro.html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(s. f.-k). Línea de Préstamo Comercial Negocios. Recuperado el 26 de setiembre de 2026, de </w:t>
      </w:r>
      <w:hyperlink r:id="rIdM2026">
        <w:r w:rsidDel="00000000" w:rsidR="00000000" w:rsidRPr="00000000">
          <w:rPr>
            <w:rFonts w:ascii="Times New Roman" w:cs="Times New Roman" w:eastAsia="Times New Roman" w:hAnsi="Times New Roman"/>
            <w:color w:val="1155cc"/>
            <w:u w:val="single"/>
            <w:rtl w:val="0"/>
          </w:rPr>
          <w:t xml:space="preserve">https://www.bbva.pe/empresas/productos/financiamiento/prestamos-comerciales/linea-negocios.html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308"/>
      <w:r w:rsidDel="00000000" w:rsidR="00000000" w:rsidRPr="00000000">
        <w:rPr>
          <w:rFonts w:ascii="Times New Roman" w:cs="Times New Roman" w:eastAsia="Times New Roman" w:hAnsi="Times New Roman"/>
          <w:rtl w:val="0"/>
        </w:rPr>
        <w:t xml:space="preserve">s. f.-l</w:t>
      </w:r>
      <w:commentRangeEnd w:id="308"/>
      <w:r>
        <w:rPr>
          <w:rStyle w:val="CommentReference"/>
        </w:rPr>
        <w:commentReference w:id="308"/>
      </w:r>
      <w:r w:rsidDel="00000000" w:rsidR="00000000" w:rsidRPr="00000000">
        <w:rPr>
          <w:rFonts w:ascii="Times New Roman" w:cs="Times New Roman" w:eastAsia="Times New Roman" w:hAnsi="Times New Roman"/>
          <w:rtl w:val="0"/>
        </w:rPr>
        <w:t xml:space="preserve">). Cuentas bancarias para ciudadanos extranjeros. Recuperado el 26 de setiembre de 2026, de </w:t>
      </w:r>
      <w:hyperlink r:id="rIdM2031">
        <w:r w:rsidDel="00000000" w:rsidR="00000000" w:rsidRPr="00000000">
          <w:rPr>
            <w:rFonts w:ascii="Times New Roman" w:cs="Times New Roman" w:eastAsia="Times New Roman" w:hAnsi="Times New Roman"/>
            <w:color w:val="1155cc"/>
            <w:u w:val="single"/>
            <w:rtl w:val="0"/>
          </w:rPr>
          <w:t xml:space="preserve">https://www.bbva.pe/blog/mis-finanzas/ahorro/cuentas-bancarias-para-ciudadanos-extranjeros.html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w:t>
      </w:r>
      <w:commentRangeStart w:id="310"/>
      <w:r w:rsidDel="00000000" w:rsidR="00000000" w:rsidRPr="00000000">
        <w:rPr>
          <w:rFonts w:ascii="Times New Roman" w:cs="Times New Roman" w:eastAsia="Times New Roman" w:hAnsi="Times New Roman"/>
          <w:rtl w:val="0"/>
        </w:rPr>
        <w:t xml:space="preserve">s. f.-m</w:t>
      </w:r>
      <w:commentRangeEnd w:id="310"/>
      <w:r>
        <w:rPr>
          <w:rStyle w:val="CommentReference"/>
        </w:rPr>
        <w:commentReference w:id="310"/>
      </w:r>
      <w:r w:rsidDel="00000000" w:rsidR="00000000" w:rsidRPr="00000000">
        <w:rPr>
          <w:rFonts w:ascii="Times New Roman" w:cs="Times New Roman" w:eastAsia="Times New Roman" w:hAnsi="Times New Roman"/>
          <w:rtl w:val="0"/>
        </w:rPr>
        <w:t xml:space="preserve">). Abrir cuenta joven BBVA paso a paso. Recuperado el 26 de setiembre de 2026, de </w:t>
      </w:r>
      <w:hyperlink r:id="rIdM2030">
        <w:r w:rsidDel="00000000" w:rsidR="00000000" w:rsidRPr="00000000">
          <w:rPr>
            <w:rFonts w:ascii="Times New Roman" w:cs="Times New Roman" w:eastAsia="Times New Roman" w:hAnsi="Times New Roman"/>
            <w:color w:val="1155cc"/>
            <w:u w:val="single"/>
            <w:rtl w:val="0"/>
          </w:rPr>
          <w:t xml:space="preserve">https://www.bbva.pe/blog/mis-finanzas/ahorro/abrir-cuenta-joven-bbva-peru.html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(2025). Informe de gerencia: Cuarto trimestre 2025. </w:t>
      </w:r>
      <w:hyperlink r:id="rIdM1018">
        <w:r w:rsidDel="00000000" w:rsidR="00000000" w:rsidRPr="00000000">
          <w:rPr>
            <w:rFonts w:ascii="Times New Roman" w:cs="Times New Roman" w:eastAsia="Times New Roman" w:hAnsi="Times New Roman"/>
            <w:color w:val="1155cc"/>
            <w:u w:val="single"/>
            <w:rtl w:val="0"/>
          </w:rPr>
          <w:t xml:space="preserve">https://www.bbva.pe/content/dam/public-web/peru/documents/personas/investor-relations/BBVA_Peru_Informe_de_Gestion_4Q25.pdf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Banco BBVA Perú. (2026a). </w:t>
      </w:r>
      <w:commentRangeStart w:id="208"/>
      <w:r w:rsidDel="00000000" w:rsidR="00000000" w:rsidRPr="00000000">
        <w:rPr>
          <w:rFonts w:ascii="Times New Roman" w:cs="Times New Roman" w:eastAsia="Times New Roman" w:hAnsi="Times New Roman"/>
          <w:i w:val="1"/>
          <w:iCs w:val="1"/>
          <w:rtl w:val="0"/>
        </w:rPr>
        <w:t xml:space="preserve">Informe de gerencia: Segundo trimestre 2026</w:t>
      </w:r>
      <w:commentRangeEnd w:id="208"/>
      <w:r>
        <w:rPr>
          <w:rStyle w:val="CommentReference"/>
        </w:rPr>
        <w:commentReference w:id="208"/>
      </w:r>
      <w:r w:rsidDel="00000000" w:rsidR="00000000" w:rsidRPr="00000000">
        <w:rPr>
          <w:rFonts w:ascii="Times New Roman" w:cs="Times New Roman" w:eastAsia="Times New Roman" w:hAnsi="Times New Roman"/>
          <w:i w:val="0"/>
          <w:iCs w:val="0"/>
          <w:rtl w:val="0"/>
        </w:rPr>
        <w:t xml:space="preserve">. </w:t>
      </w:r>
      <w:hyperlink r:id="rIdM1021">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https://www.bbva.pe/content/dam/public-web/peru/documents/prefooter/informacion-financiera/informacion-anual/2026/informe-de-gestion-2T2026.pdf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Banco BBVA Perú. (2026b). </w:t>
      </w:r>
      <w:r w:rsidDel="00000000" w:rsidR="00000000" w:rsidRPr="00000000">
        <w:rPr>
          <w:rFonts w:ascii="Times New Roman" w:cs="Times New Roman" w:eastAsia="Times New Roman" w:hAnsi="Times New Roman"/>
          <w:i w:val="1"/>
          <w:iCs w:val="1"/>
          <w:rtl w:val="0"/>
        </w:rPr>
        <w:t xml:space="preserve">Memoria anual 2025: ¿Avanzamos? Informe integrado</w:t>
      </w:r>
      <w:r w:rsidDel="00000000" w:rsidR="00000000" w:rsidRPr="00000000">
        <w:rPr>
          <w:rFonts w:ascii="Times New Roman" w:cs="Times New Roman" w:eastAsia="Times New Roman" w:hAnsi="Times New Roman"/>
          <w:i w:val="0"/>
          <w:iCs w:val="0"/>
          <w:rtl w:val="0"/>
        </w:rPr>
        <w:t xml:space="preserve">. </w:t>
      </w:r>
      <w:hyperlink r:id="rIdM1020">
        <w:r w:rsidDel="00000000" w:rsidR="00000000" w:rsidRPr="00000000">
          <w:rPr>
            <w:rFonts w:ascii="Times New Roman" w:cs="Times New Roman" w:eastAsia="Times New Roman" w:hAnsi="Times New Roman"/>
            <w:i w:val="0"/>
            <w:iCs w:val="0"/>
            <w:color w:val="1155cc"/>
            <w:u w:val="single"/>
            <w:rtl w:val="0"/>
          </w:rPr>
          <w:t xml:space="preserve">https://www.bbva.pe/content/dam/public-web/peru/documents/personas/investor-relations/vii-Memoria-Anual-2025.pdf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(2026c, abril). Información de reclamos atendidos: Periodo del 1 al 30 de abril de 2026. </w:t>
      </w:r>
      <w:hyperlink r:id="rIdM1023">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https://www.bbva.pe/content/dam/public-web/peru/documents/personas/informacion-reclamos-atendidos-abril-2026.pdf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(2026d, mayo). Información de reclamos atendidos: Periodo del 1 al 31 de mayo de 2026. </w:t>
      </w:r>
      <w:hyperlink r:id="rIdM1022">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https://www.bbva.pe/content/dam/public-web/peru/documents/personas/Informacion_de_Reclamos_Atendidos_Mayo_2026.pdf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Banco BBVA Perú. (2026e, junio). Información de reclamos atendidos: Periodo del 1 al 30 de junio de 2026. </w:t>
      </w:r>
      <w:hyperlink r:id="rIdM1001">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https://www.bbva.pe/content/dam/public-web/peru/documents/personas/Informacion_de_Reclamos_atendidos_Junio2026.pdf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(2026f, julio). Información de reclamos atendidos: Periodo del 1 al 31 de julio de 2026. </w:t>
      </w:r>
      <w:hyperlink r:id="rIdM2011">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https://www.bbva.pe/content/dam/public-web/peru/documents/personas/Informacion_de_Reclamos_Atendidos_Julio_2026.pdf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Banco BBVA Perú. (2026g, agosto). Información de reclamos atendidos: Periodo del 1 al 31 de agosto de 2026. </w:t>
      </w:r>
      <w:hyperlink r:id="rIdM2014">
        <w:r w:rsidDel="00000000" w:rsidR="00000000" w:rsidRPr="00000000">
          <w:rPr>
            <w:rFonts w:ascii="Times New Roman" w:cs="Times New Roman" w:eastAsia="Times New Roman" w:hAnsi="Times New Roman"/>
            <w:color w:val="1155cc"/>
            <w:u w:val="single"/>
            <w:rtl w:val="0"/>
          </w:rPr>
          <w:t xml:space="preserve">https://www.bbva.pe/content/dam/public-web/peru/documents/personas/Informacion_de_Reclamos_Atendidos_Agosto2026.pdf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(2019, 14 de noviembre). Las ventajas que ofrecen los canales digitales para BBVA y sus clientes. </w:t>
      </w:r>
      <w:hyperlink r:id="rIdM2013">
        <w:r w:rsidDel="00000000" w:rsidR="00000000" w:rsidRPr="00000000">
          <w:rPr>
            <w:rFonts w:ascii="Times New Roman" w:cs="Times New Roman" w:eastAsia="Times New Roman" w:hAnsi="Times New Roman"/>
            <w:color w:val="1155cc"/>
            <w:u w:val="single"/>
            <w:rtl w:val="0"/>
          </w:rPr>
          <w:t xml:space="preserve">https://www.bbva.com/es/pe/innovacion/las-ventajas-que-ofrecen-los-canales-digitales-para-bbva-y-sus-clientes/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07"/>
      <w:r w:rsidDel="00000000" w:rsidR="00000000" w:rsidRPr="00000000">
        <w:rPr>
          <w:rFonts w:ascii="Times New Roman" w:cs="Times New Roman" w:eastAsia="Times New Roman" w:hAnsi="Times New Roman"/>
          <w:i w:val="0"/>
          <w:iCs w:val="0"/>
          <w:rtl w:val="0"/>
        </w:rPr>
        <w:t xml:space="preserve">BBVA. (2025a, 30 de abril)</w:t>
      </w:r>
      <w:commentRangeEnd w:id="207"/>
      <w:r>
        <w:rPr>
          <w:rStyle w:val="CommentReference"/>
        </w:rPr>
        <w:commentReference w:id="207"/>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Prioridades estratégicas</w:t>
      </w:r>
      <w:r w:rsidDel="00000000" w:rsidR="00000000" w:rsidRPr="00000000">
        <w:rPr>
          <w:rFonts w:ascii="Times New Roman" w:cs="Times New Roman" w:eastAsia="Times New Roman" w:hAnsi="Times New Roman"/>
          <w:i w:val="0"/>
          <w:iCs w:val="0"/>
          <w:rtl w:val="0"/>
        </w:rPr>
        <w:t xml:space="preserve">. </w:t>
      </w:r>
      <w:hyperlink r:id="rIdM1003">
        <w:r w:rsidDel="00000000" w:rsidR="00000000" w:rsidRPr="00000000">
          <w:rPr>
            <w:rFonts w:ascii="Times New Roman" w:cs="Times New Roman" w:eastAsia="Times New Roman" w:hAnsi="Times New Roman"/>
            <w:i w:val="0"/>
            <w:iCs w:val="0"/>
            <w:color w:val="1155cc"/>
            <w:u w:val="single"/>
            <w:rtl w:val="0"/>
          </w:rPr>
          <w:t xml:space="preserve">https://accionistaseinversores.bbva.com/grupo-bbva/estrategia-la-transformacion-en-bbva/prioridades-estrategicas/</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(2025b, 12 de diciembre). BBVA impulsa ‘The Eight’, su estrategia para transformar la experiencia financiera con IA. </w:t>
      </w:r>
      <w:hyperlink r:id="rIdM2016">
        <w:r w:rsidDel="00000000" w:rsidR="00000000" w:rsidRPr="00000000">
          <w:rPr>
            <w:rFonts w:ascii="Times New Roman" w:cs="Times New Roman" w:eastAsia="Times New Roman" w:hAnsi="Times New Roman"/>
            <w:color w:val="1155cc"/>
            <w:u w:val="single"/>
            <w:rtl w:val="0"/>
          </w:rPr>
          <w:t xml:space="preserve">https://www.bbva.com/es/innovacion/bbva-impulsa-the-eight-su-estrategia-para-transformar-la-experiencia-financiera-con-ia/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BBVA. (2026a, 12 de enero). </w:t>
      </w:r>
      <w:r w:rsidDel="00000000" w:rsidR="00000000" w:rsidRPr="00000000">
        <w:rPr>
          <w:rFonts w:ascii="Times New Roman" w:cs="Times New Roman" w:eastAsia="Times New Roman" w:hAnsi="Times New Roman"/>
          <w:i w:val="1"/>
          <w:iCs w:val="1"/>
          <w:rtl w:val="0"/>
        </w:rPr>
        <w:t xml:space="preserve">BBVA completes its global move to the cloud with a single data and artificial intelligence platform</w:t>
      </w:r>
      <w:r w:rsidDel="00000000" w:rsidR="00000000" w:rsidRPr="00000000">
        <w:rPr>
          <w:rFonts w:ascii="Times New Roman" w:cs="Times New Roman" w:eastAsia="Times New Roman" w:hAnsi="Times New Roman"/>
          <w:i w:val="0"/>
          <w:iCs w:val="0"/>
          <w:rtl w:val="0"/>
        </w:rPr>
        <w:t xml:space="preserve">. </w:t>
      </w:r>
      <w:hyperlink r:id="rIdM1002">
        <w:r w:rsidDel="00000000" w:rsidR="00000000" w:rsidRPr="00000000">
          <w:rPr>
            <w:rFonts w:ascii="Times New Roman" w:cs="Times New Roman" w:eastAsia="Times New Roman" w:hAnsi="Times New Roman"/>
            <w:i w:val="0"/>
            <w:iCs w:val="0"/>
            <w:color w:val="1155cc"/>
            <w:u w:val="single"/>
            <w:rtl w:val="0"/>
          </w:rPr>
          <w:t xml:space="preserve">https://www.bbva.com/en/innovation/bbva-completes-its-global-move-to-the-cloud-with-a-single-data-and-artificial-intelligence-platform/</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BBVA. (2026b, 5 de marzo). </w:t>
      </w:r>
      <w:r w:rsidDel="00000000" w:rsidR="00000000" w:rsidRPr="00000000">
        <w:rPr>
          <w:rFonts w:ascii="Times New Roman" w:cs="Times New Roman" w:eastAsia="Times New Roman" w:hAnsi="Times New Roman"/>
          <w:i w:val="1"/>
          <w:iCs w:val="1"/>
          <w:rtl w:val="0"/>
        </w:rPr>
        <w:t xml:space="preserve">La app BBVA Empresas 2.0 crece 141 % y acelera la digitalización de las pymes</w:t>
      </w:r>
      <w:r w:rsidDel="00000000" w:rsidR="00000000" w:rsidRPr="00000000">
        <w:rPr>
          <w:rFonts w:ascii="Times New Roman" w:cs="Times New Roman" w:eastAsia="Times New Roman" w:hAnsi="Times New Roman"/>
          <w:i w:val="0"/>
          <w:iCs w:val="0"/>
          <w:rtl w:val="0"/>
        </w:rPr>
        <w:t xml:space="preserve">. </w:t>
      </w:r>
      <w:hyperlink r:id="rIdM1005">
        <w:r w:rsidDel="00000000" w:rsidR="00000000" w:rsidRPr="00000000">
          <w:rPr>
            <w:rFonts w:ascii="Times New Roman" w:cs="Times New Roman" w:eastAsia="Times New Roman" w:hAnsi="Times New Roman"/>
            <w:i w:val="0"/>
            <w:iCs w:val="0"/>
            <w:color w:val="1155cc"/>
            <w:u w:val="single"/>
            <w:rtl w:val="0"/>
          </w:rPr>
          <w:t xml:space="preserve">https://www.bbva.com/es/pe/empresas/la-app-bbva-empresas-2-0-crece-141-y-acelera-la-digitalizacion-de-las-pymes/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(2026c, 5 de febrero). BBVA bate récord de beneficios en 2025 con €10.511 millones y repartirá un dividendo de más de €5.200 millones [Nota de prensa]. </w:t>
      </w:r>
      <w:hyperlink r:id="rIdM2018">
        <w:r w:rsidDel="00000000" w:rsidR="00000000" w:rsidRPr="00000000">
          <w:rPr>
            <w:rFonts w:ascii="Times New Roman" w:cs="Times New Roman" w:eastAsia="Times New Roman" w:hAnsi="Times New Roman"/>
            <w:color w:val="1155cc"/>
            <w:u w:val="single"/>
            <w:rtl w:val="0"/>
          </w:rPr>
          <w:t xml:space="preserve">https://accionistaseinversores.bbva.com/wp-content/uploads/2026/02/NP-Resultados-BBVA-4T2025_esp.pdf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(2026d, 24 de junio). BBVA México lanzó estrategia de financiamiento digital para 1.1 millones de Pymes por hasta 14 mdp. </w:t>
      </w:r>
      <w:hyperlink r:id="rIdM2017">
        <w:r w:rsidDel="00000000" w:rsidR="00000000" w:rsidRPr="00000000">
          <w:rPr>
            <w:rFonts w:ascii="Times New Roman" w:cs="Times New Roman" w:eastAsia="Times New Roman" w:hAnsi="Times New Roman"/>
            <w:color w:val="1155cc"/>
            <w:u w:val="single"/>
            <w:rtl w:val="0"/>
          </w:rPr>
          <w:t xml:space="preserve">https://www.bbva.com/es/mx/economia-y-finanzas/bbva-mexico-lanzo-estrategia-de-financiamiento-digital-para-1-1-millones-de-pymes-por-hasta-14-mdp/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commentRangeStart w:id="155"/>
      <w:commentRangeStart w:id="202"/>
      <w:r w:rsidDel="00000000" w:rsidR="00000000" w:rsidRPr="00000000">
        <w:rPr>
          <w:rFonts w:ascii="Times New Roman" w:cs="Times New Roman" w:eastAsia="Times New Roman" w:hAnsi="Times New Roman"/>
          <w:i w:val="0"/>
          <w:iCs w:val="0"/>
          <w:rtl w:val="0"/>
        </w:rPr>
        <w:t xml:space="preserve">BBVA. (2026e, 9 de enero)</w:t>
      </w:r>
      <w:commentRangeEnd w:id="202"/>
      <w:r>
        <w:rPr>
          <w:rStyle w:val="CommentReference"/>
        </w:rPr>
        <w:commentReference w:id="202"/>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1"/>
          <w:iCs w:val="1"/>
          <w:rtl w:val="0"/>
        </w:rPr>
        <w:t xml:space="preserve">El sector de las pymes sigue creciendo y fortaleciendo la economía peruana</w:t>
      </w:r>
      <w:commentRangeEnd w:id="155"/>
      <w:r>
        <w:rPr>
          <w:rStyle w:val="CommentReference"/>
          <w:rFonts w:ascii="Times New Roman" w:cs="Times New Roman" w:eastAsia="Times New Roman" w:hAnsi="Times New Roman"/>
        </w:rPr>
        <w:commentReference w:id="155"/>
      </w:r>
      <w:r w:rsidDel="00000000" w:rsidR="00000000" w:rsidRPr="00000000">
        <w:rPr>
          <w:rFonts w:ascii="Times New Roman" w:cs="Times New Roman" w:eastAsia="Times New Roman" w:hAnsi="Times New Roman"/>
          <w:i w:val="0"/>
          <w:iCs w:val="0"/>
          <w:rtl w:val="0"/>
        </w:rPr>
        <w:t xml:space="preserve">. </w:t>
      </w:r>
      <w:hyperlink r:id="rIdM1024">
        <w:r w:rsidDel="00000000" w:rsidR="00000000" w:rsidRPr="00000000">
          <w:rPr>
            <w:rFonts w:ascii="Times New Roman" w:cs="Times New Roman" w:eastAsia="Times New Roman" w:hAnsi="Times New Roman"/>
            <w:i w:val="0"/>
            <w:iCs w:val="0"/>
            <w:color w:val="1155cc"/>
            <w:u w:val="single"/>
            <w:rtl w:val="0"/>
          </w:rPr>
          <w:t xml:space="preserve">https://www.bbva.com/es/pe/empresas/el-sector-de-las-pymes-sigue-creciendo-y-fortaleciendo-la-economia-peruana/</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BBVA Perú. (s. f.). </w:t>
      </w:r>
      <w:r w:rsidDel="00000000" w:rsidR="00000000" w:rsidRPr="00000000">
        <w:rPr>
          <w:rFonts w:ascii="Times New Roman" w:cs="Times New Roman" w:eastAsia="Times New Roman" w:hAnsi="Times New Roman"/>
          <w:i w:val="1"/>
          <w:iCs w:val="1"/>
          <w:rtl w:val="0"/>
        </w:rPr>
        <w:t xml:space="preserve">BBVA Perú: El BBVA te da la bienvenida</w:t>
      </w:r>
      <w:r w:rsidDel="00000000" w:rsidR="00000000" w:rsidRPr="00000000">
        <w:rPr>
          <w:rFonts w:ascii="Times New Roman" w:cs="Times New Roman" w:eastAsia="Times New Roman" w:hAnsi="Times New Roman"/>
          <w:rtl w:val="0"/>
        </w:rPr>
        <w:t xml:space="preserve">.</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0563c1"/>
            <w:u w:val="single"/>
            <w:rtl w:val="0"/>
          </w:rPr>
          <w:t xml:space="preserve">https://www.bbva.pe/personas.html</w:t>
        </w:r>
      </w:hyperlink>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Bitner, M. J., Ostrom, A. L., &amp; Morgan, F. N. (2008). Service blueprinting: A practical technique for service innovation. </w:t>
      </w:r>
      <w:r w:rsidDel="00000000" w:rsidR="00000000" w:rsidRPr="00000000">
        <w:rPr>
          <w:rFonts w:ascii="Times New Roman" w:cs="Times New Roman" w:eastAsia="Times New Roman" w:hAnsi="Times New Roman"/>
          <w:i w:val="1"/>
          <w:iCs w:val="1"/>
          <w:rtl w:val="0"/>
        </w:rPr>
        <w:t xml:space="preserve">California Management Review, 50</w:t>
      </w:r>
      <w:r w:rsidDel="00000000" w:rsidR="00000000" w:rsidRPr="00000000">
        <w:rPr>
          <w:rFonts w:ascii="Times New Roman" w:cs="Times New Roman" w:eastAsia="Times New Roman" w:hAnsi="Times New Roman"/>
          <w:i w:val="0"/>
          <w:iCs w:val="0"/>
          <w:rtl w:val="0"/>
        </w:rPr>
        <w:t xml:space="preserve">(3), 66-94. </w:t>
      </w:r>
      <w:hyperlink r:id="rIdM1004">
        <w:r w:rsidDel="00000000" w:rsidR="00000000" w:rsidRPr="00000000">
          <w:rPr>
            <w:rFonts w:ascii="Times New Roman" w:cs="Times New Roman" w:eastAsia="Times New Roman" w:hAnsi="Times New Roman"/>
            <w:i w:val="0"/>
            <w:iCs w:val="0"/>
            <w:color w:val="1155cc"/>
            <w:u w:val="single"/>
            <w:rtl w:val="0"/>
          </w:rPr>
          <w:t xml:space="preserve">https://doi.org/10.2307/41166446</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Blue Ocean Strategy. (s. f.). Eliminate-Reduce-Raise-Create Grid (ERRC Grid). Recuperado el 15 de setiembre de 2026, de </w:t>
      </w:r>
      <w:hyperlink r:id="rIdM2020">
        <w:r w:rsidDel="00000000" w:rsidR="00000000" w:rsidRPr="00000000">
          <w:rPr>
            <w:rFonts w:ascii="Times New Roman" w:cs="Times New Roman" w:eastAsia="Times New Roman" w:hAnsi="Times New Roman"/>
            <w:color w:val="1155cc"/>
            <w:u w:val="single"/>
            <w:rtl w:val="0"/>
          </w:rPr>
          <w:t xml:space="preserve">https://www.blueoceanstrategy.com/tools/errc-grid/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Decreto Supremo </w:t>
      </w:r>
      <w:commentRangeStart w:id="303"/>
      <w:r w:rsidDel="00000000" w:rsidR="00000000" w:rsidRPr="00000000">
        <w:rPr>
          <w:rFonts w:ascii="Times New Roman" w:cs="Times New Roman" w:eastAsia="Times New Roman" w:hAnsi="Times New Roman"/>
          <w:rtl w:val="0"/>
        </w:rPr>
        <w:t xml:space="preserve">N.º </w:t>
      </w:r>
      <w:commentRangeEnd w:id="303"/>
      <w:r>
        <w:rPr>
          <w:rStyle w:val="CommentReference"/>
        </w:rPr>
        <w:commentReference w:id="303"/>
      </w:r>
      <w:r w:rsidDel="00000000" w:rsidR="00000000" w:rsidRPr="00000000">
        <w:rPr>
          <w:rFonts w:ascii="Times New Roman" w:cs="Times New Roman" w:eastAsia="Times New Roman" w:hAnsi="Times New Roman"/>
          <w:rtl w:val="0"/>
        </w:rPr>
        <w:t xml:space="preserve">115-2025-PCM. (2025, 9 de setiembre). Decreto Supremo que aprueba el Reglamento de la Ley </w:t>
      </w:r>
      <w:commentRangeStart w:id="304"/>
      <w:r w:rsidDel="00000000" w:rsidR="00000000" w:rsidRPr="00000000">
        <w:rPr>
          <w:rFonts w:ascii="Times New Roman" w:cs="Times New Roman" w:eastAsia="Times New Roman" w:hAnsi="Times New Roman"/>
          <w:rtl w:val="0"/>
        </w:rPr>
        <w:t xml:space="preserve">N.º </w:t>
      </w:r>
      <w:commentRangeEnd w:id="304"/>
      <w:r>
        <w:rPr>
          <w:rStyle w:val="CommentReference"/>
        </w:rPr>
        <w:commentReference w:id="304"/>
      </w:r>
      <w:r w:rsidDel="00000000" w:rsidR="00000000" w:rsidRPr="00000000">
        <w:rPr>
          <w:rFonts w:ascii="Times New Roman" w:cs="Times New Roman" w:eastAsia="Times New Roman" w:hAnsi="Times New Roman"/>
          <w:rtl w:val="0"/>
        </w:rPr>
        <w:t xml:space="preserve">31814, Ley que promueve el uso de la inteligencia artificial en favor del desarrollo económico y social del país. Diario Oficial El Peruano. </w:t>
      </w:r>
      <w:hyperlink r:id="rIdM2019">
        <w:r w:rsidDel="00000000" w:rsidR="00000000" w:rsidRPr="00000000">
          <w:rPr>
            <w:rFonts w:ascii="Times New Roman" w:cs="Times New Roman" w:eastAsia="Times New Roman" w:hAnsi="Times New Roman"/>
            <w:color w:val="1155cc"/>
            <w:u w:val="single"/>
            <w:rtl w:val="0"/>
          </w:rPr>
          <w:t xml:space="preserve">https://busquedas.elperuano.pe/dispositivo/NL/2436426-1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Diario Oficial El Peruano. (2023, 28 de agosto). Indecopi impone 1,284 sanciones a bancos por operaciones no reconocidas por clientes. </w:t>
      </w:r>
      <w:r w:rsidDel="00000000" w:rsidR="00000000" w:rsidRPr="00000000">
        <w:rPr>
          <w:rFonts w:ascii="Times New Roman" w:cs="Times New Roman" w:eastAsia="Times New Roman" w:hAnsi="Times New Roman"/>
          <w:i w:val="1"/>
          <w:iCs w:val="1"/>
          <w:rtl w:val="0"/>
        </w:rPr>
        <w:t xml:space="preserve">El Peruano</w:t>
      </w:r>
      <w:r w:rsidDel="00000000" w:rsidR="00000000" w:rsidRPr="00000000">
        <w:rPr>
          <w:rFonts w:ascii="Times New Roman" w:cs="Times New Roman" w:eastAsia="Times New Roman" w:hAnsi="Times New Roman"/>
          <w:i w:val="0"/>
          <w:iCs w:val="0"/>
          <w:rtl w:val="0"/>
        </w:rPr>
        <w:t xml:space="preserve">. </w:t>
      </w:r>
      <w:hyperlink r:id="rIdM1007">
        <w:r w:rsidDel="00000000" w:rsidR="00000000" w:rsidRPr="00000000">
          <w:rPr>
            <w:rFonts w:ascii="Times New Roman" w:cs="Times New Roman" w:eastAsia="Times New Roman" w:hAnsi="Times New Roman"/>
            <w:i w:val="0"/>
            <w:iCs w:val="0"/>
            <w:color w:val="1155cc"/>
            <w:u w:val="single"/>
            <w:rtl w:val="0"/>
          </w:rPr>
          <w:t xml:space="preserve">https://www.elperuano.pe/noticia/221705-indecopi-impone-1284-sanciones-a-bancos-por-operaciones-no-reconocidas-por-clientes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Europa Press. (2026, 1 de setiembre). Revolut lanza Air en España, su nuevo asistente de inteligencia artificial para gestionar las finanzas. Bolsamanía. </w:t>
      </w:r>
      <w:hyperlink r:id="rIdM2001">
        <w:r w:rsidDel="00000000" w:rsidR="00000000" w:rsidRPr="00000000">
          <w:rPr>
            <w:rFonts w:ascii="Times New Roman" w:cs="Times New Roman" w:eastAsia="Times New Roman" w:hAnsi="Times New Roman"/>
            <w:color w:val="1155cc"/>
            <w:u w:val="single"/>
            <w:rtl w:val="0"/>
          </w:rPr>
          <w:t xml:space="preserve">https://www.bolsamania.com/noticias/mercados/economia--revolut-lanza-air-en-espana-su-nuevo-asistente-de-inteligencia-artificial-para-gestionar-las-finanzas--23442762.html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Instituto Nacional de Defensa de la Competencia y de la Protección de la Propiedad Intelectual. (2026, 22 de mayo). Indecopi sanciona a dos bancos y un restaurante en Chimbote por consumos no reconocidos. Gob.pe. </w:t>
      </w:r>
      <w:hyperlink r:id="rIdM1006">
        <w:r w:rsidDel="00000000" w:rsidR="00000000" w:rsidRPr="00000000">
          <w:rPr>
            <w:rFonts w:ascii="Times New Roman" w:cs="Times New Roman" w:eastAsia="Times New Roman" w:hAnsi="Times New Roman"/>
            <w:color w:val="1155cc"/>
            <w:u w:val="single"/>
            <w:rtl w:val="0"/>
          </w:rPr>
          <w:t xml:space="preserve">https://www.gob.pe/institucion/indecopi/noticias/1396052-indecopi-sanciona-a-dos-bancos-y-un-restaurante-en-chimbote-por-consumos-no-reconocidos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Interbank. (s. f.). Tarjeta Digital. Recuperado el 26 de setiembre de 2026, de </w:t>
      </w:r>
      <w:hyperlink r:id="rIdM2003">
        <w:r w:rsidDel="00000000" w:rsidR="00000000" w:rsidRPr="00000000">
          <w:rPr>
            <w:rFonts w:ascii="Times New Roman" w:cs="Times New Roman" w:eastAsia="Times New Roman" w:hAnsi="Times New Roman"/>
            <w:color w:val="1155cc"/>
            <w:u w:val="single"/>
            <w:rtl w:val="0"/>
          </w:rPr>
          <w:t xml:space="preserve">https://interbank.pe/tarjetas/tarjeta-digital/tarjeta-digital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Kim, W. C., &amp; Mauborgne, R. (2005). Blue Ocean Strategy: How to Create Uncontested Market Space and Make the Competition Irrelevant. Harvard Business School Press.</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Kore.ai. (2026, 20 de febrero). AI agents in finance and banking: 12 proven use cases (2026). </w:t>
      </w:r>
      <w:hyperlink r:id="rIdM2002">
        <w:r w:rsidDel="00000000" w:rsidR="00000000" w:rsidRPr="00000000">
          <w:rPr>
            <w:rFonts w:ascii="Times New Roman" w:cs="Times New Roman" w:eastAsia="Times New Roman" w:hAnsi="Times New Roman"/>
            <w:color w:val="1155cc"/>
            <w:u w:val="single"/>
            <w:rtl w:val="0"/>
          </w:rPr>
          <w:t xml:space="preserve">https://www.kore.ai/blog/ai-agents-in-finance-banking-12-proven-use-cases-2026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Lemon, K. N., &amp; Verhoef, P. C. (2016). Understanding customer experience throughout the customer journey. </w:t>
      </w:r>
      <w:r w:rsidDel="00000000" w:rsidR="00000000" w:rsidRPr="00000000">
        <w:rPr>
          <w:rFonts w:ascii="Times New Roman" w:cs="Times New Roman" w:eastAsia="Times New Roman" w:hAnsi="Times New Roman"/>
          <w:i w:val="1"/>
          <w:iCs w:val="1"/>
          <w:rtl w:val="0"/>
        </w:rPr>
        <w:t xml:space="preserve">Journal of Marketing, 80</w:t>
      </w:r>
      <w:r w:rsidDel="00000000" w:rsidR="00000000" w:rsidRPr="00000000">
        <w:rPr>
          <w:rFonts w:ascii="Times New Roman" w:cs="Times New Roman" w:eastAsia="Times New Roman" w:hAnsi="Times New Roman"/>
          <w:i w:val="0"/>
          <w:iCs w:val="0"/>
          <w:rtl w:val="0"/>
        </w:rPr>
        <w:t xml:space="preserve">(6), 69-96. </w:t>
      </w:r>
      <w:hyperlink r:id="rIdM1009">
        <w:r w:rsidDel="00000000" w:rsidR="00000000" w:rsidRPr="00000000">
          <w:rPr>
            <w:rFonts w:ascii="Times New Roman" w:cs="Times New Roman" w:eastAsia="Times New Roman" w:hAnsi="Times New Roman"/>
            <w:i w:val="0"/>
            <w:iCs w:val="0"/>
            <w:color w:val="1155cc"/>
            <w:u w:val="single"/>
            <w:rtl w:val="0"/>
          </w:rPr>
          <w:t xml:space="preserve">https://doi.org/10.1509/jm.15.0420</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López, P. (2026, 25 de mayo). Blue Buddy: la IA generativa que mejora la atención en oficinas bancarias. BBVA. </w:t>
      </w:r>
      <w:hyperlink r:id="rIdM2005">
        <w:r w:rsidDel="00000000" w:rsidR="00000000" w:rsidRPr="00000000">
          <w:rPr>
            <w:rFonts w:ascii="Times New Roman" w:cs="Times New Roman" w:eastAsia="Times New Roman" w:hAnsi="Times New Roman"/>
            <w:color w:val="1155cc"/>
            <w:u w:val="single"/>
            <w:rtl w:val="0"/>
          </w:rPr>
          <w:t xml:space="preserve">https://www.bbva.com/es/pe/innovacion/blue-buddy-la-ia-generativa-que-mejora-la-atencion-en-oficinas-bancarias/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Melo, Y. (2026, 24 de marzo). Solo 1 de cada 4 mypes accede a crédito y paga más por falta de información financiera.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i w:val="0"/>
          <w:iCs w:val="0"/>
          <w:rtl w:val="0"/>
        </w:rPr>
        <w:t xml:space="preserve">. </w:t>
      </w:r>
      <w:hyperlink r:id="rIdM1008">
        <w:r w:rsidDel="00000000" w:rsidR="00000000" w:rsidRPr="00000000">
          <w:rPr>
            <w:rFonts w:ascii="Times New Roman" w:cs="Times New Roman" w:eastAsia="Times New Roman" w:hAnsi="Times New Roman"/>
            <w:i w:val="0"/>
            <w:iCs w:val="0"/>
            <w:color w:val="1155cc"/>
            <w:u w:val="single"/>
            <w:rtl w:val="0"/>
          </w:rPr>
          <w:t xml:space="preserve">https://www.infobae.com/peru/2026/03/24/solo-1-de-cada-4-mypes-accede-a-credito-y-paga-mas-por-falta-de-informacion-financiera/</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Mestanza Arquiñigo, C. (2024, 13 de noviembre). La inteligencia artificial llega al "call center": ¿cómo responde el voicebot bancario y qué será capaz de hacer? El Comercio. </w:t>
      </w:r>
      <w:hyperlink r:id="rIdM2007">
        <w:r w:rsidDel="00000000" w:rsidR="00000000" w:rsidRPr="00000000">
          <w:rPr>
            <w:rFonts w:ascii="Times New Roman" w:cs="Times New Roman" w:eastAsia="Times New Roman" w:hAnsi="Times New Roman"/>
            <w:color w:val="1155cc"/>
            <w:u w:val="single"/>
            <w:rtl w:val="0"/>
          </w:rPr>
          <w:t xml:space="preserve">https://elcomercio.pe/tecnologia/inteligencia-artificial/la-inteligencia-artificial-llega-al-call-center-como-responde-el-voicebot-bancario-y-que-sera-capaz-de-hacer-ia-bancos-sistema-financiero-atencion-al-cliente-noticia/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Osterwalder, A., &amp; Pigneur, Y. (2010). </w:t>
      </w:r>
      <w:r w:rsidDel="00000000" w:rsidR="00000000" w:rsidRPr="00000000">
        <w:rPr>
          <w:rFonts w:ascii="Times New Roman" w:cs="Times New Roman" w:eastAsia="Times New Roman" w:hAnsi="Times New Roman"/>
          <w:i w:val="1"/>
          <w:iCs w:val="1"/>
          <w:rtl w:val="0"/>
        </w:rPr>
        <w:t xml:space="preserve">Business model generation: A handbook for visionaries, game changers, and challengers</w:t>
      </w:r>
      <w:r w:rsidDel="00000000" w:rsidR="00000000" w:rsidRPr="00000000">
        <w:rPr>
          <w:rFonts w:ascii="Times New Roman" w:cs="Times New Roman" w:eastAsia="Times New Roman" w:hAnsi="Times New Roman"/>
          <w:rtl w:val="0"/>
        </w:rPr>
        <w:t xml:space="preserve">. John Wiley &amp; Sons.</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0563c1"/>
            <w:u w:val="single"/>
            <w:rtl w:val="0"/>
          </w:rPr>
          <w:t xml:space="preserve">https://www.wiley.com/en-us/Business%2BModel%2BGeneration%3A%2BA%2BHandbook%2Bfor%2BVisionaries%2C%2BGame%2BChangers%2C%2Band%2BChallengers-p-9780470876411</w:t>
        </w:r>
      </w:hyperlink>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Pombo Nartallo, V. (2025, 7 de marzo). Generative AI: Customer service, SMEs and fraud detection stood out at the BBVA Bot Talent competition. BBVA. </w:t>
      </w:r>
      <w:hyperlink r:id="rIdM2006">
        <w:r w:rsidDel="00000000" w:rsidR="00000000" w:rsidRPr="00000000">
          <w:rPr>
            <w:rFonts w:ascii="Times New Roman" w:cs="Times New Roman" w:eastAsia="Times New Roman" w:hAnsi="Times New Roman"/>
            <w:color w:val="1155cc"/>
            <w:u w:val="single"/>
            <w:rtl w:val="0"/>
          </w:rPr>
          <w:t xml:space="preserve">https://www.bbva.com/en/innovation/generative-ai-customer-service-smes-and-fraud-detection-stood-out-at-the-bbva-bot-talent-competition/</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PressPerú. (2026, 23 de julio). Mibanco lleva la IA agéntica de AWS a WhatsApp para transformar el acceso a las microfinanzas en Perú. </w:t>
      </w:r>
      <w:hyperlink r:id="rIdM2009">
        <w:r w:rsidDel="00000000" w:rsidR="00000000" w:rsidRPr="00000000">
          <w:rPr>
            <w:rFonts w:ascii="Times New Roman" w:cs="Times New Roman" w:eastAsia="Times New Roman" w:hAnsi="Times New Roman"/>
            <w:color w:val="1155cc"/>
            <w:u w:val="single"/>
            <w:rtl w:val="0"/>
          </w:rPr>
          <w:t xml:space="preserve">https://pressperu.com/2026/07/23/mibanco-lleva-la-ia-agentica-de-aws-a-whatsapp-para-transformar-el-acceso-a-las-microfinanzas-en-peru/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Ramírez Huancayo, Z. (2026, 14 de setiembre). Habrá más control a créditos bancarios que se otorguen con IA, ¿qué ganarán clientes? Gestión. </w:t>
      </w:r>
      <w:hyperlink r:id="rIdM2008">
        <w:r w:rsidDel="00000000" w:rsidR="00000000" w:rsidRPr="00000000">
          <w:rPr>
            <w:rFonts w:ascii="Times New Roman" w:cs="Times New Roman" w:eastAsia="Times New Roman" w:hAnsi="Times New Roman"/>
            <w:color w:val="1155cc"/>
            <w:u w:val="single"/>
            <w:rtl w:val="0"/>
          </w:rPr>
          <w:t xml:space="preserve">https://gestion.pe/economia/empresas/habra-mas-control-a-creditos-bancarios-que-se-otorguen-con-ia-que-ganaran-clientes-noticia/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Reusche, I. (2025, 31 de enero). 'Blue', el asistente virtual de BBVA, atiende más de cuatro millones de consultas en Perú. BBVA. </w:t>
      </w:r>
      <w:hyperlink r:id="rIdM2039">
        <w:r w:rsidDel="00000000" w:rsidR="00000000" w:rsidRPr="00000000">
          <w:rPr>
            <w:rFonts w:ascii="Times New Roman" w:cs="Times New Roman" w:eastAsia="Times New Roman" w:hAnsi="Times New Roman"/>
            <w:color w:val="1155cc"/>
            <w:u w:val="single"/>
            <w:rtl w:val="0"/>
          </w:rPr>
          <w:t xml:space="preserve">https://www.bbva.com/es/pe/innovacion/blue-el-asistente-virtual-de-bbva-atiende-mas-de-cuatro-millones-de-consultas-en-peru/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Reusche, I. (2026, 4 de agosto). </w:t>
      </w:r>
      <w:r w:rsidDel="00000000" w:rsidR="00000000" w:rsidRPr="00000000">
        <w:rPr>
          <w:rFonts w:ascii="Times New Roman" w:cs="Times New Roman" w:eastAsia="Times New Roman" w:hAnsi="Times New Roman"/>
          <w:i w:val="1"/>
          <w:iCs w:val="1"/>
          <w:rtl w:val="0"/>
        </w:rPr>
        <w:t xml:space="preserve">BBVA en Perú alcanza una facturación trimestral histórica en el segmento Pymes con 48 % de crecimiento versus 2025</w:t>
      </w:r>
      <w:r w:rsidDel="00000000" w:rsidR="00000000" w:rsidRPr="00000000">
        <w:rPr>
          <w:rFonts w:ascii="Times New Roman" w:cs="Times New Roman" w:eastAsia="Times New Roman" w:hAnsi="Times New Roman"/>
          <w:i w:val="0"/>
          <w:iCs w:val="0"/>
          <w:rtl w:val="0"/>
        </w:rPr>
        <w:t xml:space="preserve">. BBVA. </w:t>
      </w:r>
      <w:hyperlink r:id="rIdM1010">
        <w:r w:rsidDel="00000000" w:rsidR="00000000" w:rsidRPr="00000000">
          <w:rPr>
            <w:rFonts w:ascii="Times New Roman" w:cs="Times New Roman" w:eastAsia="Times New Roman" w:hAnsi="Times New Roman"/>
            <w:i w:val="0"/>
            <w:iCs w:val="0"/>
            <w:color w:val="1155cc"/>
            <w:u w:val="single"/>
            <w:rtl w:val="0"/>
          </w:rPr>
          <w:t xml:space="preserve">https://www.bbva.com/es/pe/empresas/bbva-en-peru-alcanza-una-facturacion-trimestral-historica-en-el-segmento-pymes-con-48-de-crecimiento-versus-2025/</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i w:val="0"/>
          <w:iCs w:val="0"/>
          <w:rtl w:val="0"/>
        </w:rPr>
        <w:t xml:space="preserve">Salazar Herrada, E. (2026, 3 de junio). SBS: Utilidad del sistema financiero alcanza los S/ 17,934 millones y la morosidad vuelve a niveles prepandemia. </w:t>
      </w:r>
      <w:r w:rsidDel="00000000" w:rsidR="00000000" w:rsidRPr="00000000">
        <w:rPr>
          <w:rFonts w:ascii="Times New Roman" w:cs="Times New Roman" w:eastAsia="Times New Roman" w:hAnsi="Times New Roman"/>
          <w:i w:val="1"/>
          <w:iCs w:val="1"/>
          <w:rtl w:val="0"/>
        </w:rPr>
        <w:t xml:space="preserve">Infobae</w:t>
      </w:r>
      <w:r w:rsidDel="00000000" w:rsidR="00000000" w:rsidRPr="00000000">
        <w:rPr>
          <w:rFonts w:ascii="Times New Roman" w:cs="Times New Roman" w:eastAsia="Times New Roman" w:hAnsi="Times New Roman"/>
          <w:i w:val="0"/>
          <w:iCs w:val="0"/>
          <w:rtl w:val="0"/>
        </w:rPr>
        <w:t xml:space="preserve">. </w:t>
      </w:r>
      <w:hyperlink r:id="rIdM1012">
        <w:r w:rsidDel="00000000" w:rsidR="00000000" w:rsidRPr="00000000">
          <w:rPr>
            <w:rFonts w:ascii="Times New Roman" w:cs="Times New Roman" w:eastAsia="Times New Roman" w:hAnsi="Times New Roman"/>
            <w:i w:val="0"/>
            <w:iCs w:val="0"/>
            <w:color w:val="1155cc"/>
            <w:u w:val="single"/>
            <w:rtl w:val="0"/>
          </w:rPr>
          <w:t xml:space="preserve">https://www.infobae.com/peru/2026/06/03/sbs-utilidad-del-sistema-financiero-alcanza-los-s17934-millones-y-la-morosidad-vuelve-a-niveles-prepandemia/</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Scotiabank Perú. (s. f.). Cuenta Kids. Recuperado el 26 de setiembre de 2026, de </w:t>
      </w:r>
      <w:hyperlink r:id="rIdM2041">
        <w:r w:rsidDel="00000000" w:rsidR="00000000" w:rsidRPr="00000000">
          <w:rPr>
            <w:rFonts w:ascii="Times New Roman" w:cs="Times New Roman" w:eastAsia="Times New Roman" w:hAnsi="Times New Roman"/>
            <w:color w:val="1155cc"/>
            <w:u w:val="single"/>
            <w:rtl w:val="0"/>
          </w:rPr>
          <w:t xml:space="preserve">https://www.scotiabank.com.pe/Personas/Ahorros/Cuentas-Bancarias/cuenta-kids-scotiabank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Stealth Agents. (2026, 25 de junio). AI loan underwriting automation stats 2026. </w:t>
      </w:r>
      <w:hyperlink r:id="rIdM2046">
        <w:r w:rsidDel="00000000" w:rsidR="00000000" w:rsidRPr="00000000">
          <w:rPr>
            <w:rFonts w:ascii="Times New Roman" w:cs="Times New Roman" w:eastAsia="Times New Roman" w:hAnsi="Times New Roman"/>
            <w:color w:val="1155cc"/>
            <w:u w:val="single"/>
            <w:rtl w:val="0"/>
          </w:rPr>
          <w:t xml:space="preserve">https://stealthagents.com/research/ai-loan-underwriting-automation-statistics-2026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Sundararajan, R., &amp; Jeenah, U. (2025, 15 de agosto). El fin de la inercia: los agentes de IA y la disrupción en la banca minorista y PyME. McKinsey &amp; Company. </w:t>
      </w:r>
      <w:hyperlink r:id="rIdM2044">
        <w:r w:rsidDel="00000000" w:rsidR="00000000" w:rsidRPr="00000000">
          <w:rPr>
            <w:rFonts w:ascii="Times New Roman" w:cs="Times New Roman" w:eastAsia="Times New Roman" w:hAnsi="Times New Roman"/>
            <w:color w:val="1155cc"/>
            <w:u w:val="single"/>
            <w:rtl w:val="0"/>
          </w:rPr>
          <w:t xml:space="preserve">https://www.mckinsey.com/locations/south-america/latam/hispanoamerica-en-potencia/el-fin-de-la-inercia-los-agentes-de-ia-y-la-disrupcion-en-la-banca-minorista-y-pyme/es-CL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5"/>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End w:id="185"/>
      <w:r>
        <w:rPr>
          <w:rStyle w:val="CommentReference"/>
        </w:rPr>
        <w:commentReference w:id="185"/>
      </w:r>
      <w:r w:rsidDel="00000000" w:rsidR="00000000" w:rsidRPr="00000000">
        <w:rPr>
          <w:rFonts w:ascii="Times New Roman" w:cs="Times New Roman" w:eastAsia="Times New Roman" w:hAnsi="Times New Roman"/>
          <w:rtl w:val="0"/>
        </w:rPr>
        <w:t xml:space="preserve">2020). </w:t>
      </w:r>
      <w:commentRangeStart w:id="188"/>
      <w:r w:rsidDel="00000000" w:rsidR="00000000" w:rsidRPr="00000000">
        <w:rPr>
          <w:rFonts w:ascii="Times New Roman" w:cs="Times New Roman" w:eastAsia="Times New Roman" w:hAnsi="Times New Roman"/>
          <w:i w:val="1"/>
          <w:iCs w:val="1"/>
          <w:rtl w:val="0"/>
        </w:rPr>
        <w:t xml:space="preserve">Resolución SBS N.º </w:t>
      </w:r>
      <w:commentRangeEnd w:id="188"/>
      <w:r>
        <w:rPr>
          <w:rStyle w:val="CommentReference"/>
        </w:rPr>
        <w:commentReference w:id="188"/>
      </w:r>
      <w:r w:rsidDel="00000000" w:rsidR="00000000" w:rsidRPr="00000000">
        <w:rPr>
          <w:rFonts w:ascii="Times New Roman" w:cs="Times New Roman" w:eastAsia="Times New Roman" w:hAnsi="Times New Roman"/>
          <w:i w:val="1"/>
          <w:iCs w:val="1"/>
          <w:rtl w:val="0"/>
        </w:rPr>
        <w:t xml:space="preserve">877-2020. Reglamento para la Gestión de la Continuidad del Negocio</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https://intranet2.sbs.gob.pe/dv_int_cn/1894/v1.0/Adjuntos/877-2020.R.pdf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6"/>
      <w:r w:rsidDel="00000000" w:rsidR="00000000" w:rsidRPr="00000000">
        <w:rPr>
          <w:rFonts w:ascii="Times New Roman" w:cs="Times New Roman" w:eastAsia="Times New Roman" w:hAnsi="Times New Roman"/>
          <w:rtl w:val="0"/>
        </w:rPr>
        <w:t xml:space="preserve">Superintendencia de Banca, Seguros y Administradoras Privadas de Fondos de Pensiones. (</w:t>
      </w:r>
      <w:commentRangeEnd w:id="186"/>
      <w:r>
        <w:rPr>
          <w:rStyle w:val="CommentReference"/>
        </w:rPr>
        <w:commentReference w:id="186"/>
      </w:r>
      <w:r w:rsidDel="00000000" w:rsidR="00000000" w:rsidRPr="00000000">
        <w:rPr>
          <w:rFonts w:ascii="Times New Roman" w:cs="Times New Roman" w:eastAsia="Times New Roman" w:hAnsi="Times New Roman"/>
          <w:rtl w:val="0"/>
        </w:rPr>
        <w:t xml:space="preserve">2021). </w:t>
      </w:r>
      <w:commentRangeStart w:id="189"/>
      <w:r w:rsidDel="00000000" w:rsidR="00000000" w:rsidRPr="00000000">
        <w:rPr>
          <w:rFonts w:ascii="Times New Roman" w:cs="Times New Roman" w:eastAsia="Times New Roman" w:hAnsi="Times New Roman"/>
          <w:i w:val="1"/>
          <w:iCs w:val="1"/>
          <w:rtl w:val="0"/>
        </w:rPr>
        <w:t xml:space="preserve">Resolución SBS N.º </w:t>
      </w:r>
      <w:commentRangeEnd w:id="189"/>
      <w:r>
        <w:rPr>
          <w:rStyle w:val="CommentReference"/>
        </w:rPr>
        <w:commentReference w:id="189"/>
      </w:r>
      <w:r w:rsidDel="00000000" w:rsidR="00000000" w:rsidRPr="00000000">
        <w:rPr>
          <w:rFonts w:ascii="Times New Roman" w:cs="Times New Roman" w:eastAsia="Times New Roman" w:hAnsi="Times New Roman"/>
          <w:i w:val="1"/>
          <w:iCs w:val="1"/>
          <w:rtl w:val="0"/>
        </w:rPr>
        <w:t xml:space="preserve">504-2021. Reglamento para la Gestión de la Seguridad de la Información y la Ciberseguridad.</w:t>
      </w:r>
      <w:hyperlink r:id="rId25">
        <w:r w:rsidDel="00000000" w:rsidR="00000000" w:rsidRPr="00000000">
          <w:rPr>
            <w:rFonts w:ascii="Times New Roman" w:cs="Times New Roman" w:eastAsia="Times New Roman" w:hAnsi="Times New Roman"/>
            <w:i w:val="1"/>
            <w:iCs w:val="1"/>
            <w:rtl w:val="0"/>
          </w:rPr>
          <w:t xml:space="preserve"> </w:t>
        </w:r>
      </w:hyperlink>
      <w:hyperlink r:id="rId26">
        <w:r w:rsidDel="00000000" w:rsidR="00000000" w:rsidRPr="00000000">
          <w:rPr>
            <w:rFonts w:ascii="Times New Roman" w:cs="Times New Roman" w:eastAsia="Times New Roman" w:hAnsi="Times New Roman"/>
            <w:color w:val="0563c1"/>
            <w:u w:val="single"/>
            <w:rtl w:val="0"/>
          </w:rPr>
          <w:t xml:space="preserve">https://intranet2.sbs.gob.pe/dv_int_cn/2046/v2.0/Adjuntos/504-2021.R.pdf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pPr>
        <w:spacing w:after="240" w:before="240" w:lineRule="auto" w:line="360"/>
        <w:ind w:left="708.6614173228347" w:hanging="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Superintendencia de Banca, Seguros y Administradoras Privadas de Fondos de Pensiones. (2022, 28 de diciembre). </w:t>
      </w:r>
      <w:r w:rsidDel="00000000" w:rsidR="00000000" w:rsidRPr="00000000">
        <w:rPr>
          <w:rFonts w:ascii="Times New Roman" w:cs="Times New Roman" w:eastAsia="Times New Roman" w:hAnsi="Times New Roman"/>
          <w:i w:val="1"/>
          <w:iCs w:val="1"/>
          <w:rtl w:val="0"/>
        </w:rPr>
        <w:t xml:space="preserve">Resolución SBS N.º 04036-2022: Reglamento de Gestión de Reclamos y Requerimientos</w:t>
      </w:r>
      <w:r w:rsidDel="00000000" w:rsidR="00000000" w:rsidRPr="00000000">
        <w:rPr>
          <w:rFonts w:ascii="Times New Roman" w:cs="Times New Roman" w:eastAsia="Times New Roman" w:hAnsi="Times New Roman"/>
          <w:rtl w:val="0"/>
        </w:rPr>
        <w:t xml:space="preserve">.</w:t>
      </w:r>
      <w:hyperlink r:id="rIdM1011">
        <w:r w:rsidDel="00000000" w:rsidR="00000000" w:rsidRPr="00000000">
          <w:rPr>
            <w:rFonts w:ascii="Times New Roman" w:cs="Times New Roman" w:eastAsia="Times New Roman" w:hAnsi="Times New Roman"/>
            <w:rtl w:val="0"/>
          </w:rPr>
          <w:t xml:space="preserve"> </w:t>
        </w:r>
      </w:hyperlink>
      <w:hyperlink r:id="rIdM1015">
        <w:r w:rsidDel="00000000" w:rsidR="00000000" w:rsidRPr="00000000">
          <w:rPr>
            <w:rFonts w:ascii="Times New Roman" w:cs="Times New Roman" w:eastAsia="Times New Roman" w:hAnsi="Times New Roman"/>
            <w:color w:val="1155cc"/>
            <w:u w:val="single"/>
            <w:rtl w:val="0"/>
          </w:rPr>
          <w:t xml:space="preserve">https://intranet2.sbs.gob.pe/dv_int_cn/2230/v1.0/Adjuntos/4036-2022.r.pdf</w:t>
        </w:r>
      </w:hyperlink>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187"/>
      <w:r w:rsidDel="00000000" w:rsidR="00000000" w:rsidRPr="00000000">
        <w:rPr>
          <w:rFonts w:ascii="Times New Roman" w:cs="Times New Roman" w:eastAsia="Times New Roman" w:hAnsi="Times New Roman"/>
          <w:rtl w:val="0"/>
        </w:rPr>
        <w:t xml:space="preserve">Superintendencia de Banca, Seguros y Administradoras Privadas de Fondos de </w:t>
      </w:r>
      <w:commentRangeStart w:id="291"/>
      <w:r w:rsidDel="00000000" w:rsidR="00000000" w:rsidRPr="00000000">
        <w:rPr>
          <w:rFonts w:ascii="Times New Roman" w:cs="Times New Roman" w:eastAsia="Times New Roman" w:hAnsi="Times New Roman"/>
          <w:rtl w:val="0"/>
        </w:rPr>
        <w:t xml:space="preserve">Pensiones. (2025a). Resolución SBS N.º 00814-2025</w:t>
      </w:r>
      <w:commentRangeEnd w:id="291"/>
      <w:r>
        <w:rPr>
          <w:rStyle w:val="CommentReference"/>
        </w:rPr>
        <w:commentReference w:id="291"/>
      </w:r>
      <w:commentRangeEnd w:id="187"/>
      <w:r>
        <w:rPr>
          <w:rStyle w:val="CommentReference"/>
        </w:rPr>
        <w:commentReference w:id="187"/>
      </w:r>
      <w:commentRangeStart w:id="190"/>
      <w:commentRangeEnd w:id="190"/>
      <w:r>
        <w:rPr>
          <w:rStyle w:val="CommentReference"/>
        </w:rPr>
        <w:commentReference w:id="190"/>
      </w:r>
      <w:r w:rsidDel="00000000" w:rsidR="00000000" w:rsidRPr="00000000">
        <w:rPr>
          <w:rFonts w:ascii="Times New Roman" w:cs="Times New Roman" w:eastAsia="Times New Roman" w:hAnsi="Times New Roman"/>
          <w:i w:val="1"/>
          <w:iCs w:val="1"/>
          <w:rtl w:val="0"/>
        </w:rPr>
        <w:t xml:space="preserve">. Modifican el Reglamento para la Gestión de la Continuidad del Negocio y el Reglamento de Infracciones y Sanciones</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https://vlex.com.pe/vid/resolucion-sbs-n-00814-1073736902</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89"/>
      <w:r w:rsidDel="00000000" w:rsidR="00000000" w:rsidRPr="00000000">
        <w:rPr>
          <w:rFonts w:ascii="Times New Roman" w:cs="Times New Roman" w:eastAsia="Times New Roman" w:hAnsi="Times New Roman"/>
          <w:rtl w:val="0"/>
        </w:rPr>
        <w:t xml:space="preserve">Superintendencia de Banca, Seguros y Administradoras Privadas de Fondos de Pensiones. (2025b, 18 de marzo). Resolución SBS N.º 00908-2025. Modifican</w:t>
      </w:r>
      <w:commentRangeEnd w:id="289"/>
      <w:r>
        <w:rPr>
          <w:rStyle w:val="CommentReference"/>
        </w:rPr>
        <w:commentReference w:id="289"/>
      </w:r>
      <w:r w:rsidDel="00000000" w:rsidR="00000000" w:rsidRPr="00000000">
        <w:rPr>
          <w:rFonts w:ascii="Times New Roman" w:cs="Times New Roman" w:eastAsia="Times New Roman" w:hAnsi="Times New Roman"/>
          <w:rtl w:val="0"/>
        </w:rPr>
        <w:t xml:space="preserve"> el Reglamento de Cuentas Básicas y el Reglamento de Operaciones con Dinero Electrónico, aprobados mediante la Res. SBS </w:t>
      </w:r>
      <w:commentRangeStart w:id="305"/>
      <w:r w:rsidDel="00000000" w:rsidR="00000000" w:rsidRPr="00000000">
        <w:rPr>
          <w:rFonts w:ascii="Times New Roman" w:cs="Times New Roman" w:eastAsia="Times New Roman" w:hAnsi="Times New Roman"/>
          <w:rtl w:val="0"/>
        </w:rPr>
        <w:t xml:space="preserve">N.º </w:t>
      </w:r>
      <w:commentRangeEnd w:id="305"/>
      <w:r>
        <w:rPr>
          <w:rStyle w:val="CommentReference"/>
        </w:rPr>
        <w:commentReference w:id="305"/>
      </w:r>
      <w:r w:rsidDel="00000000" w:rsidR="00000000" w:rsidRPr="00000000">
        <w:rPr>
          <w:rFonts w:ascii="Times New Roman" w:cs="Times New Roman" w:eastAsia="Times New Roman" w:hAnsi="Times New Roman"/>
          <w:rtl w:val="0"/>
        </w:rPr>
        <w:t xml:space="preserve">2891-2018 y la Res. SBS </w:t>
      </w:r>
      <w:commentRangeStart w:id="306"/>
      <w:r w:rsidDel="00000000" w:rsidR="00000000" w:rsidRPr="00000000">
        <w:rPr>
          <w:rFonts w:ascii="Times New Roman" w:cs="Times New Roman" w:eastAsia="Times New Roman" w:hAnsi="Times New Roman"/>
          <w:rtl w:val="0"/>
        </w:rPr>
        <w:t xml:space="preserve">N.º </w:t>
      </w:r>
      <w:commentRangeEnd w:id="306"/>
      <w:r>
        <w:rPr>
          <w:rStyle w:val="CommentReference"/>
        </w:rPr>
        <w:commentReference w:id="306"/>
      </w:r>
      <w:r w:rsidDel="00000000" w:rsidR="00000000" w:rsidRPr="00000000">
        <w:rPr>
          <w:rFonts w:ascii="Times New Roman" w:cs="Times New Roman" w:eastAsia="Times New Roman" w:hAnsi="Times New Roman"/>
          <w:rtl w:val="0"/>
        </w:rPr>
        <w:t xml:space="preserve">6283-2013. Diario Oficial El Peruano. </w:t>
      </w:r>
      <w:hyperlink r:id="rIdM2040">
        <w:r w:rsidDel="00000000" w:rsidR="00000000" w:rsidRPr="00000000">
          <w:rPr>
            <w:rFonts w:ascii="Times New Roman" w:cs="Times New Roman" w:eastAsia="Times New Roman" w:hAnsi="Times New Roman"/>
            <w:color w:val="1155cc"/>
            <w:u w:val="single"/>
            <w:rtl w:val="0"/>
          </w:rPr>
          <w:t xml:space="preserve">https://busquedas.elperuano.pe/dispositivo/NL/2379128-1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commentRangeStart w:id="290"/>
      <w:r w:rsidDel="00000000" w:rsidR="00000000" w:rsidRPr="00000000">
        <w:rPr>
          <w:rFonts w:ascii="Times New Roman" w:cs="Times New Roman" w:eastAsia="Times New Roman" w:hAnsi="Times New Roman"/>
          <w:rtl w:val="0"/>
        </w:rPr>
        <w:t xml:space="preserve">Superintendencia de Banca, Seguros y Administradoras Privadas de Fondos de Pensiones. (2026, 12 de marzo). Resolución SBS N.º 00704-2026. Modifican</w:t>
      </w:r>
      <w:commentRangeEnd w:id="290"/>
      <w:r>
        <w:rPr>
          <w:rStyle w:val="CommentReference"/>
        </w:rPr>
        <w:commentReference w:id="290"/>
      </w:r>
      <w:r w:rsidDel="00000000" w:rsidR="00000000" w:rsidRPr="00000000">
        <w:rPr>
          <w:rFonts w:ascii="Times New Roman" w:cs="Times New Roman" w:eastAsia="Times New Roman" w:hAnsi="Times New Roman"/>
          <w:rtl w:val="0"/>
        </w:rPr>
        <w:t xml:space="preserve"> el Reglamento de Operaciones con Dinero Electrónico y el Reglamento de Cuentas Básicas. Diario Oficial El Peruano. </w:t>
      </w:r>
      <w:hyperlink r:id="rIdM2010">
        <w:r w:rsidDel="00000000" w:rsidR="00000000" w:rsidRPr="00000000">
          <w:rPr>
            <w:rFonts w:ascii="Times New Roman" w:cs="Times New Roman" w:eastAsia="Times New Roman" w:hAnsi="Times New Roman"/>
            <w:color w:val="1155cc"/>
            <w:u w:val="single"/>
            <w:rtl w:val="0"/>
          </w:rPr>
          <w:t xml:space="preserve">https://busquedas.elperuano.pe/dispositivo/NL/2494159-1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spacing w:after="160" w:line="360" w:lineRule="auto"/>
        <w:ind w:left="720" w:hanging="720"/>
        <w:jc w:val="left"/>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Yape. (s. f.). ¿Cómo me registro a Yape con carné de extranjería o pasaporte? Recuperado el 26 de setiembre de 2026, de </w:t>
      </w:r>
      <w:hyperlink r:id="rIdM2048">
        <w:r w:rsidDel="00000000" w:rsidR="00000000" w:rsidRPr="00000000">
          <w:rPr>
            <w:rFonts w:ascii="Times New Roman" w:cs="Times New Roman" w:eastAsia="Times New Roman" w:hAnsi="Times New Roman"/>
            <w:color w:val="1155cc"/>
            <w:u w:val="single"/>
            <w:rtl w:val="0"/>
          </w:rPr>
          <w:t xml:space="preserve">https://www.yape.com.pe/preguntas-frecuentes/crear-tu-cuenta-yape/como-me-registro-a-yape-con-carne-de-extranjer%C3%ADa-o-pasaporte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r>
    </w:p>
    <w:p w:rsidR="00000000" w:rsidDel="00000000" w:rsidP="00000000" w:rsidRDefault="00000000" w:rsidRPr="00000000">
      <w:pPr>
        <w:spacing w:line="480" w:lineRule="auto"/>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pPr>
        <w:pStyle w:val="Heading1"/>
        <w:numPr>
          <w:ilvl w:val="0"/>
          <w:numId w:val="0"/>
        </w:numPr>
        <w:ind w:left="0" w:hanging="0"/>
        <w:rPr>
          <w:rFonts w:ascii="Times New Roman" w:cs="Times New Roman" w:eastAsia="Times New Roman" w:hAnsi="Times New Roman"/>
          <w:b w:val="1"/>
          <w:bCs w:val="1"/>
          <w:sz w:val="22"/>
          <w:szCs w:val="22"/>
        </w:rPr>
      </w:pPr>
      <w:bookmarkStart w:id="217" w:name="_TocAnexoA"/>
      <w:bookmarkEnd w:id="217"/>
      <w:commentRangeStart w:id="197"/>
      <w:r w:rsidDel="00000000" w:rsidR="00000000" w:rsidRPr="00000000">
        <w:rPr>
          <w:rFonts w:ascii="Times New Roman" w:cs="Times New Roman" w:eastAsia="Times New Roman" w:hAnsi="Times New Roman"/>
          <w:b w:val="1"/>
          <w:bCs w:val="1"/>
          <w:sz w:val="22"/>
          <w:szCs w:val="22"/>
          <w:rtl w:val="0"/>
        </w:rPr>
        <w:t xml:space="preserve">Anexo A. Entrevista con el Service Owner de ATM y Autoservicios de BBVA Perú</w:t>
      </w:r>
      <w:commentRangeEnd w:id="197"/>
      <w:r>
        <w:rPr>
          <w:rStyle w:val="CommentReference"/>
        </w:rPr>
        <w:commentReference w:id="197"/>
      </w:r>
    </w:p>
    <w:p w:rsidR="00000000" w:rsidDel="00000000" w:rsidP="00000000" w:rsidRDefault="00000000" w:rsidRPr="000000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Entrevista sostenida el 11 de setiembre de 2026 con Arturo Moquillaza, Service Owner ATM and Self-Services de BBVA Perú. La entrevista fue grabada con autorización del entrevistado. Se transcriben a continuación los pasajes relativos al proceso de contratación de productos por canal digital en banca de personas. Los pasajes relativos a otros procesos se omiten por </w:t>
      </w:r>
      <w:commentRangeStart w:id="171"/>
      <w:r w:rsidDel="00000000" w:rsidR="00000000" w:rsidRPr="00000000">
        <w:rPr>
          <w:rFonts w:ascii="Times New Roman" w:cs="Times New Roman" w:eastAsia="Times New Roman" w:hAnsi="Times New Roman"/>
          <w:rtl w:val="0"/>
        </w:rPr>
        <w:t xml:space="preserve">no corresponder al alcance del análisis de la sección 3</w:t>
      </w:r>
      <w:commentRangeEnd w:id="171"/>
      <w:r>
        <w:rPr>
          <w:rStyle w:val="CommentReference"/>
        </w:rPr>
        <w:commentReference w:id="17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pPr>
        <w:spacing w:before="20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selección del proceso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Mi equipo evaluó inicialmente opciones como la originación de crédito Pyme y la atención de reclamos por fraude digital.</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El área de prevención de fraude trabaja en una mesa aislada y sus procesos internos son confidenciales. Por otro lado, el flujo Pyme pertenece a un segmento distinto al de retail. El proceso con mayor claridad y disponibilidad de información es la contratación de productos en canales digitales.</w:t>
      </w:r>
    </w:p>
    <w:p w:rsidR="00000000" w:rsidDel="00000000" w:rsidP="00000000" w:rsidRDefault="00000000" w:rsidRPr="00000000">
      <w:pPr>
        <w:spacing w:after="240" w:before="24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estructura del flujo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¿Cuántos pasos contempla el proceso de contratación digital?</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Depende de cada producto, ya sean cuentas de ahorro, tarjetas, préstamos o seguros. No obstante, la tendencia es simplificar los flujos; a inicios de año se lanzó un proceso 100 % digital que permite a un no cliente contratar productos en menos de 5 minutos.</w:t>
      </w:r>
    </w:p>
    <w:p w:rsidR="00000000" w:rsidDel="00000000" w:rsidP="00000000" w:rsidRDefault="00000000" w:rsidRPr="00000000">
      <w:pPr>
        <w:spacing w:after="240" w:before="240" w:lineRule="auto" w: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Sobre la identificación de oportunidades de mejora</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Sanchez: ¿Cómo nos recomiendas identificar oportunidades de mejora en este flujo?</w:t>
      </w:r>
    </w:p>
    <w:p w:rsidR="00000000" w:rsidDel="00000000" w:rsidP="00000000" w:rsidRDefault="00000000" w:rsidRPr="00000000">
      <w:pPr>
        <w:spacing w:after="240" w:before="240" w:lineRule="auto" w: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Arturo Moquillaza: Les sugiero realizar pruebas reales del flujo como clientes y no clientes. Al evaluar "casos borde" (como usuarios menores de edad o con carné de extranjería), notarán que el sistema interrumpe el flujo y los deriva a una oficina física, lo que constituye un punto clave para optimizar y digitalizar.</w:t>
      </w:r>
      <w:r w:rsidDel="00000000" w:rsidR="00000000" w:rsidRPr="00000000">
        <w:rPr>
          <w:rFonts w:ascii="Times New Roman" w:cs="Times New Roman" w:eastAsia="Times New Roman" w:hAnsi="Times New Roman"/>
          <w:rtl w:val="0"/>
        </w:rPr>
      </w:r>
    </w:p>
    <w:sectPr>
      <w:footerReference w:type="default" r:id="rIdMFooter"/>
      <w:pgSz w:h="16834" w:w="11909" w:orient="portrait"/>
      <w:pgMar w:bottom="1440" w:top="1440" w:left="1440" w:right="1399.133858267717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ge Josue Chamorro Cayetano" w:id="0" w:date="2026-09-24T01:36:33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aplicar las correcciones en base al feedback del JP para el entregable parcial</w:t>
      </w:r>
    </w:p>
  </w:comment>
  <w:comment w:id="1" w:author="Jorge Chamorro" w:initials="JC" w:date="2026-10-03T16:24:52Z">
    <w:p>
      <w:pPr>
        <w:pStyle w:val="CommentText"/>
      </w:pPr>
      <w:r>
        <w:rPr>
          <w:rStyle w:val="CommentReference"/>
        </w:rPr>
        <w:annotationRef/>
      </w:r>
      <w:r>
        <w:t>Corrección Práctica 1, criterio 1 (Descripción de la Empresa): el docente pidió profundizar la brecha NPS Retail 52.57% vs. Pyme 33.6%. Se cuantifica la brecha (52.57 − 33.6 = 18.97 puntos; 33.6 / 52.57 ≈ 0.64) y se agrega un tercer referente verificable, el NPS de Banca de Empresas e Instituciones (43.6%). Datos tomados de la Memoria anual 2025, pp. 26 y 29 (Banco BBVA Perú, 2026b).</w:t>
      </w:r>
    </w:p>
  </w:comment>
  <w:comment w:id="2" w:author="Jorge Chamorro" w:initials="JC" w:date="2026-10-03T16:24:52Z">
    <w:p>
      <w:pPr>
        <w:pStyle w:val="CommentText"/>
      </w:pPr>
      <w:r>
        <w:rPr>
          <w:rStyle w:val="CommentReference"/>
        </w:rPr>
        <w:annotationRef/>
      </w:r>
      <w:r>
        <w:t>Corrección Práctica 1, criterio 1: nuevo párrafo que operacionaliza la brecha de satisfacción (brecha absoluta, razón Pyme/Retail y distancia frente a BEI), como pidió el docente para sustentar las iniciativas de TI y los dolores de negocio de los siguientes avances. Se declara explícitamente que no se identificó un referente competitivo público del NPS Pyme (no se inventa dato). La meta de NPS Pyme ≥ 43.0% es una propuesta del equipo, pendiente de validación con la entidad.</w:t>
      </w:r>
    </w:p>
  </w:comment>
  <w:comment w:id="3" w:author="Jorge Chamorro" w:initials="JC" w:date="2026-10-03T16:24:52Z">
    <w:p>
      <w:pPr>
        <w:pStyle w:val="CommentText"/>
      </w:pPr>
      <w:r>
        <w:rPr>
          <w:rStyle w:val="CommentReference"/>
        </w:rPr>
        <w:annotationRef/>
      </w:r>
      <w:r>
        <w:t>Corrección Práctica 1, criterio 2 (Objetivos estratégicos, 2/3): el docente indicó que los objetivos deben ser plenamente cuantificables y que faltaban la línea base numérica del banco en el país y la meta cuantitativa concreta. Esta oración presenta las dos columnas nuevas de la Tabla 10.</w:t>
      </w:r>
    </w:p>
  </w:comment>
  <w:comment w:id="4" w:author="Jorge Chamorro" w:initials="JC" w:date="2026-10-03T16:24:52Z">
    <w:p>
      <w:pPr>
        <w:pStyle w:val="CommentText"/>
      </w:pPr>
      <w:r>
        <w:rPr>
          <w:rStyle w:val="CommentReference"/>
        </w:rPr>
        <w:annotationRef/>
      </w:r>
      <w:r>
        <w:t>Corrección Práctica 1, criterio 2: se actualiza el título de la Tabla 10 porque ahora incluye línea base y meta cuantitativa por objetivo. El número de tabla no cambia para no alterar la numeración de los demás entregables.</w:t>
      </w:r>
    </w:p>
  </w:comment>
  <w:comment w:id="5" w:author="Jorge Chamorro" w:initials="JC" w:date="2026-10-03T16:24:52Z">
    <w:p>
      <w:pPr>
        <w:pStyle w:val="CommentText"/>
      </w:pPr>
      <w:r>
        <w:rPr>
          <w:rStyle w:val="CommentReference"/>
        </w:rPr>
        <w:annotationRef/>
      </w:r>
      <w:r>
        <w:t>Corrección Práctica 1, criterio 2: columna nueva con la línea base numérica del banco en el país para cada objetivo, como exigió el docente. Se reduce a 9 pt el tamaño de letra de la Tabla 10 para que quepan las 5 columnas en el ancho de página.</w:t>
      </w:r>
    </w:p>
  </w:comment>
  <w:comment w:id="6" w:author="Jorge Chamorro" w:initials="JC" w:date="2026-10-03T16:24:52Z">
    <w:p>
      <w:pPr>
        <w:pStyle w:val="CommentText"/>
      </w:pPr>
      <w:r>
        <w:rPr>
          <w:rStyle w:val="CommentReference"/>
        </w:rPr>
        <w:annotationRef/>
      </w:r>
      <w:r>
        <w:t>Corrección Práctica 1, criterio 2: columna nueva con la meta cuantitativa concreta por objetivo. Horizonte de 18 meses, igual al de las metas de los demás entregables.</w:t>
      </w:r>
    </w:p>
  </w:comment>
  <w:comment w:id="7" w:author="Jorge Chamorro" w:initials="JC" w:date="2026-10-03T16:24:52Z">
    <w:p>
      <w:pPr>
        <w:pStyle w:val="CommentText"/>
      </w:pPr>
      <w:r>
        <w:rPr>
          <w:rStyle w:val="CommentReference"/>
        </w:rPr>
        <w:annotationRef/>
      </w:r>
      <w:r>
        <w:t>Línea base de OE1: NPS Retail y Pyme de la Memoria anual 2025 (p. 26). Los indicadores sin dato público se declaran con la frase NO HAY FUENTES EN INTERNET DISPONIBLES en lugar de inventar cifras.</w:t>
      </w:r>
    </w:p>
  </w:comment>
  <w:comment w:id="8" w:author="Jorge Chamorro" w:initials="JC" w:date="2026-10-03T16:24:52Z">
    <w:p>
      <w:pPr>
        <w:pStyle w:val="CommentText"/>
      </w:pPr>
      <w:r>
        <w:rPr>
          <w:rStyle w:val="CommentReference"/>
        </w:rPr>
        <w:annotationRef/>
      </w:r>
      <w:r>
        <w:t>Meta de OE1: propuesta del equipo (pendiente de validación con la entidad). Se fija igualar el NPS actual de Banca de Empresas e Instituciones (43.6%), lo que reduce la brecha con Retail a la mitad (≈ 9.6 puntos). Es coherente con la operacionalización de la brecha en la sección 1.6.</w:t>
      </w:r>
    </w:p>
  </w:comment>
  <w:comment w:id="9" w:author="Jorge Chamorro" w:initials="JC" w:date="2026-10-03T16:24:52Z">
    <w:p>
      <w:pPr>
        <w:pStyle w:val="CommentText"/>
      </w:pPr>
      <w:r>
        <w:rPr>
          <w:rStyle w:val="CommentReference"/>
        </w:rPr>
        <w:annotationRef/>
      </w:r>
      <w:r>
        <w:t>Línea base de OE2: colocaciones sostenibles y cumplimiento de la meta (Memoria anual 2025) y facturación sostenible movilizada al 1S 2026 (Informe de gestión 2T 2026). Tiempo de evaluación y calidad del dato ESG no tienen dato público.</w:t>
      </w:r>
    </w:p>
  </w:comment>
  <w:comment w:id="10" w:author="Jorge Chamorro" w:initials="JC" w:date="2026-10-03T16:24:52Z">
    <w:p>
      <w:pPr>
        <w:pStyle w:val="CommentText"/>
      </w:pPr>
      <w:r>
        <w:rPr>
          <w:rStyle w:val="CommentReference"/>
        </w:rPr>
        <w:annotationRef/>
      </w:r>
      <w:r>
        <w:t>Meta de OE2: propuesta del equipo (pendiente de validación). +21% sobre S/ 16.5 mil millones ≈ S/ 20 mil millones; es conservadora frente al crecimiento de la facturación sostenible reportado (+65% en 2025).</w:t>
      </w:r>
    </w:p>
  </w:comment>
  <w:comment w:id="11" w:author="Jorge Chamorro" w:initials="JC" w:date="2026-10-03T16:24:52Z">
    <w:p>
      <w:pPr>
        <w:pStyle w:val="CommentText"/>
      </w:pPr>
      <w:r>
        <w:rPr>
          <w:rStyle w:val="CommentReference"/>
        </w:rPr>
        <w:annotationRef/>
      </w:r>
      <w:r>
        <w:t>Línea base de OE3: cuotas de mercado por segmento de la Memoria anual 2025 (p. 12) y las cuotas totales ya citadas en la sección 2.4. Los demás indicadores no tienen dato público.</w:t>
      </w:r>
    </w:p>
  </w:comment>
  <w:comment w:id="12" w:author="Jorge Chamorro" w:initials="JC" w:date="2026-10-03T16:24:52Z">
    <w:p>
      <w:pPr>
        <w:pStyle w:val="CommentText"/>
      </w:pPr>
      <w:r>
        <w:rPr>
          <w:rStyle w:val="CommentReference"/>
        </w:rPr>
        <w:annotationRef/>
      </w:r>
      <w:r>
        <w:t>Meta de OE3: propuesta del equipo (pendiente de validación). +0.4 puntos en colocaciones es inferior al avance de +0.62 puntos de la banca de personas en 2025; +1.0 punto en pymes es la brecha de mayor margen, dado el NPS Pyme más bajo.</w:t>
      </w:r>
    </w:p>
  </w:comment>
  <w:comment w:id="13" w:author="Jorge Chamorro" w:initials="JC" w:date="2026-10-03T16:24:52Z">
    <w:p>
      <w:pPr>
        <w:pStyle w:val="CommentText"/>
      </w:pPr>
      <w:r>
        <w:rPr>
          <w:rStyle w:val="CommentReference"/>
        </w:rPr>
        <w:annotationRef/>
      </w:r>
      <w:r>
        <w:t>Línea base de OE4: ROE, eficiencia y mora del Informe de gestión 2T 2026 y la Memoria anual 2025, comparados con el sistema. Los periodos y bases de cálculo de ambos reportes difieren (p. ej., eficiencia 35.9% vs. 40.0%), por eso se rotula el periodo. RORWA y costo de riesgo no tienen dato público.</w:t>
      </w:r>
    </w:p>
  </w:comment>
  <w:comment w:id="14" w:author="Jorge Chamorro" w:initials="JC" w:date="2026-10-03T16:24:52Z">
    <w:p>
      <w:pPr>
        <w:pStyle w:val="CommentText"/>
      </w:pPr>
      <w:r>
        <w:rPr>
          <w:rStyle w:val="CommentReference"/>
        </w:rPr>
        <w:annotationRef/>
      </w:r>
      <w:r>
        <w:t>Meta de OE4: propuesta del equipo (pendiente de validación). ROE 19.5% reduce más de la mitad la brecha de 1.4 puntos con el sistema (20.1%); eficiencia y mora se fijan como niveles a no deteriorar frente al 2T 2026.</w:t>
      </w:r>
    </w:p>
  </w:comment>
  <w:comment w:id="15" w:author="Jorge Chamorro" w:initials="JC" w:date="2026-10-03T16:24:52Z">
    <w:p>
      <w:pPr>
        <w:pStyle w:val="CommentText"/>
      </w:pPr>
      <w:r>
        <w:rPr>
          <w:rStyle w:val="CommentReference"/>
        </w:rPr>
        <w:annotationRef/>
      </w:r>
      <w:r>
        <w:t>Línea base de OE5: ventas digitales y usuarios activos de la app (Informe 2T 2026), operaciones por la app y ADA (Memoria 2025). Casos en producción y tiempo de despliegue no tienen dato público.</w:t>
      </w:r>
    </w:p>
  </w:comment>
  <w:comment w:id="16" w:author="Jorge Chamorro" w:initials="JC" w:date="2026-10-03T16:24:52Z">
    <w:p>
      <w:pPr>
        <w:pStyle w:val="CommentText"/>
      </w:pPr>
      <w:r>
        <w:rPr>
          <w:rStyle w:val="CommentReference"/>
        </w:rPr>
        <w:annotationRef/>
      </w:r>
      <w:r>
        <w:t>Meta de OE5: propuesta del equipo (pendiente de validación). 85% de ventas digitales es +5.4 puntos sobre la base de 79.57%; tres casos de IA corresponden a las tres iniciativas que se priorizarán en los siguientes avances.</w:t>
      </w:r>
    </w:p>
  </w:comment>
  <w:comment w:id="17" w:author="Jorge Chamorro" w:initials="JC" w:date="2026-10-03T16:24:52Z">
    <w:p>
      <w:pPr>
        <w:pStyle w:val="CommentText"/>
      </w:pPr>
      <w:r>
        <w:rPr>
          <w:rStyle w:val="CommentReference"/>
        </w:rPr>
        <w:annotationRef/>
      </w:r>
      <w:r>
        <w:t>Línea base de OE6: índice de compromiso (Memoria 2025, p. 12) y adopción interna de Blue Buddy (Informe 2T 2026). Productividad y automatizaciones no tienen dato público.</w:t>
      </w:r>
    </w:p>
  </w:comment>
  <w:comment w:id="18" w:author="Jorge Chamorro" w:initials="JC" w:date="2026-10-03T16:24:52Z">
    <w:p>
      <w:pPr>
        <w:pStyle w:val="CommentText"/>
      </w:pPr>
      <w:r>
        <w:rPr>
          <w:rStyle w:val="CommentReference"/>
        </w:rPr>
        <w:annotationRef/>
      </w:r>
      <w:r>
        <w:t>Meta de OE6: propuesta del equipo (pendiente de validación). Se busca sostener el compromiso de 93/100 y elevar la adopción interna de Blue Buddy de 90% a 95%.</w:t>
      </w:r>
    </w:p>
  </w:comment>
  <w:comment w:id="19" w:author="Jorge Chamorro" w:initials="JC" w:date="2026-10-03T16:24:52Z">
    <w:p>
      <w:pPr>
        <w:pStyle w:val="CommentText"/>
      </w:pPr>
      <w:r>
        <w:rPr>
          <w:rStyle w:val="CommentReference"/>
        </w:rPr>
        <w:annotationRef/>
      </w:r>
      <w:r>
        <w:t>Corrección Práctica 1, criterios 2 y 4: la nota ahora declara las fuentes de las líneas base, el carácter propuesto de las metas y el significado de NO HAY FUENTES EN INTERNET DISPONIBLES, para que la tabla se pueda sustentar y verificar.</w:t>
      </w:r>
    </w:p>
  </w:comment>
  <w:comment w:id="20" w:author="Jorge Chamorro" w:initials="JC" w:date="2026-10-03T16:24:52Z">
    <w:p>
      <w:pPr>
        <w:pStyle w:val="CommentText"/>
      </w:pPr>
      <w:r>
        <w:rPr>
          <w:rStyle w:val="CommentReference"/>
        </w:rPr>
        <w:annotationRef/>
      </w:r>
      <w:r>
        <w:t>Corrección Práctica 1, criterio 3 (Procesos críticos, 1/2): el docente señaló que la criticidad atendía sobre todo al OE5 y a la resiliencia de canales, sin cobertura explícita de OE2 y OE4, y que debe cubrir la totalidad de los objetivos. Esta oración fija ese criterio de cobertura.</w:t>
      </w:r>
    </w:p>
  </w:comment>
  <w:comment w:id="21" w:author="Jorge Chamorro" w:initials="JC" w:date="2026-10-03T16:24:52Z">
    <w:p>
      <w:pPr>
        <w:pStyle w:val="CommentText"/>
      </w:pPr>
      <w:r>
        <w:rPr>
          <w:rStyle w:val="CommentReference"/>
        </w:rPr>
        <w:annotationRef/>
      </w:r>
      <w:r>
        <w:t>Corrección Práctica 1, criterio 3: columna nueva de trazabilidad entre cada macroproceso crítico y los objetivos estratégicos de la Tabla 10. Se reduce a 9 pt el tamaño de letra de la Tabla 12 para acomodar la columna.</w:t>
      </w:r>
    </w:p>
  </w:comment>
  <w:comment w:id="22" w:author="Jorge Chamorro" w:initials="JC" w:date="2026-10-03T16:24:52Z">
    <w:p>
      <w:pPr>
        <w:pStyle w:val="CommentText"/>
      </w:pPr>
      <w:r>
        <w:rPr>
          <w:rStyle w:val="CommentReference"/>
        </w:rPr>
        <w:annotationRef/>
      </w:r>
      <w:r>
        <w:t>Trazabilidad de Operación de canales: se explicita su aporte a OE1 (experiencia y NPS), OE3 (soluciones transaccionales para empresas) y OE4 (eficiencia por volumen), además de la resiliencia ya justificada. Evita que la criticidad se lea solo como resiliencia de canales, observación del docente.</w:t>
      </w:r>
    </w:p>
  </w:comment>
  <w:comment w:id="23" w:author="Jorge Chamorro" w:initials="JC" w:date="2026-10-03T16:24:52Z">
    <w:p>
      <w:pPr>
        <w:pStyle w:val="CommentText"/>
      </w:pPr>
      <w:r>
        <w:rPr>
          <w:rStyle w:val="CommentReference"/>
        </w:rPr>
        <w:annotationRef/>
      </w:r>
      <w:r>
        <w:t>Trazabilidad de Datos, analítica e IA: además de OE5 se explicita OE2 (taxonomía, trazabilidad y datos ESG, capacidades listadas en la Tabla 10) y OE4 (rentabilidad granular, pricing y modelos de riesgo), los dos objetivos sin cobertura señalados por el docente; también OE6 (calidad de datos y automatizaciones).</w:t>
      </w:r>
    </w:p>
  </w:comment>
  <w:comment w:id="24" w:author="Jorge Chamorro" w:initials="JC" w:date="2026-10-03T16:24:52Z">
    <w:p>
      <w:pPr>
        <w:pStyle w:val="CommentText"/>
      </w:pPr>
      <w:r>
        <w:rPr>
          <w:rStyle w:val="CommentReference"/>
        </w:rPr>
        <w:annotationRef/>
      </w:r>
      <w:r>
        <w:t>Trazabilidad de Seguridad: se explicita su rol de habilitador transversal y su vínculo con OE1, OE2 y OE5, para que la criticidad no dependa solo del régimen normativo.</w:t>
      </w:r>
    </w:p>
  </w:comment>
  <w:comment w:id="25" w:author="Jorge Chamorro" w:initials="JC" w:date="2026-10-03T16:24:52Z">
    <w:p>
      <w:pPr>
        <w:pStyle w:val="CommentText"/>
      </w:pPr>
      <w:r>
        <w:rPr>
          <w:rStyle w:val="CommentReference"/>
        </w:rPr>
        <w:annotationRef/>
      </w:r>
      <w:r>
        <w:t>Corrección Práctica 1, criterio 3: la nota resume la cobertura de OE1 a OE6 por los macroprocesos críticos, para que la trazabilidad exigida por el docente sea verificable de un vistazo.</w:t>
      </w:r>
    </w:p>
  </w:comment>
  <w:comment w:id="26" w:author="Jorge Chamorro" w:initials="JC" w:date="2026-10-03T16:49:20Z">
    <w:p>
      <w:pPr>
        <w:pStyle w:val="CommentText"/>
      </w:pPr>
      <w:r>
        <w:rPr>
          <w:rStyle w:val="CommentReference"/>
        </w:rPr>
        <w:annotationRef/>
      </w:r>
      <w:r>
        <w:t>Corrección de la observación 1 de consistencia detectada al elaborar la sección 3: la cifra anterior (3.38% a junio de 2025 frente a 2.28% del sistema) quedó superada: con información al 2T 2026 la mora de BBVA Perú es 2.69% y la del sistema 2.83%. Se actualiza la fila de Tabla 6 con la fuente y las páginas indicadas en las secciones 3 y 4 (verificadas en el Informe de gestión 2T 2026).</w:t>
      </w:r>
    </w:p>
  </w:comment>
  <w:comment w:id="27" w:author="Jorge Chamorro" w:initials="JC" w:date="2026-10-03T16:49:20Z">
    <w:p>
      <w:pPr>
        <w:pStyle w:val="CommentText"/>
      </w:pPr>
      <w:r>
        <w:rPr>
          <w:rStyle w:val="CommentReference"/>
        </w:rPr>
        <w:annotationRef/>
      </w:r>
      <w:r>
        <w:t>Corrección de la observación 1 de consistencia detectada al elaborar la sección 3: se retira la morosidad como desafío en la introducción de la sección 1.6, porque con datos al 2T 2026 BBVA Perú tiene mejor mora (2.69%) que el sistema (2.83%). Se mantiene la brecha de satisfacción Pyme.</w:t>
      </w:r>
    </w:p>
  </w:comment>
  <w:comment w:id="28" w:author="Jorge Chamorro" w:initials="JC" w:date="2026-10-03T16:49:20Z">
    <w:p>
      <w:pPr>
        <w:pStyle w:val="CommentText"/>
      </w:pPr>
      <w:r>
        <w:rPr>
          <w:rStyle w:val="CommentReference"/>
        </w:rPr>
        <w:annotationRef/>
      </w:r>
      <w:r>
        <w:t>Corrección de la observación 1 de consistencia detectada al elaborar la sección 3: se ajusta la línea base de mora del OE4 al dato exacto del sistema (2.83% a mayo de 2026, Informe de gestión 2T 2026, p. 17) en lugar del valor redondeado, para que Tabla 6 y Tabla 10 sean consistentes.</w:t>
      </w:r>
    </w:p>
  </w:comment>
  <w:comment w:id="29" w:author="Jorge Chamorro" w:initials="JC" w:date="2026-10-03T16:49:20Z">
    <w:p>
      <w:pPr>
        <w:pStyle w:val="CommentText"/>
      </w:pPr>
      <w:r>
        <w:rPr>
          <w:rStyle w:val="CommentReference"/>
        </w:rPr>
        <w:annotationRef/>
      </w:r>
      <w:r>
        <w:t>Se retira la página 12 de la cita: las cuotas de 21.5%, 29.9% y 19.6% figuran en la Memoria anual 2025, pero no se pudo confirmar que la página sea la misma para las cuotas de 22.09% y 20.90%. Validar la página exacta de las cuotas totales (22.09% y 20.90%) en la fuente original.</w:t>
      </w:r>
    </w:p>
  </w:comment>
  <w:comment w:id="30"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1"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2"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3"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4"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5"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6"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7" w:author="Jorge Chamorro" w:initials="JC" w:date="2026-10-03T16:49:20Z">
    <w:p>
      <w:pPr>
        <w:pStyle w:val="CommentText"/>
      </w:pPr>
      <w:r>
        <w:rPr>
          <w:rStyle w:val="CommentReference"/>
        </w:rPr>
        <w:annotationRef/>
      </w:r>
      <w:r>
        <w:t>Corrección de la observación 2 de consistencia detectada al elaborar la sección 3: las citas (Banco BBVA Perú, 2025) y (Banco BBVA Perú, 2026) no resolvían a ninguna entrada de la lista de referencias. Se reemplazan por (Banco BBVA Perú, 2026b), Memoria anual 2025, y (Banco BBVA Perú, 2026a), Informe de gestión 2T 2026, para que cada cita corresponda a una referencia (criterio de uso correcto de fuentes).</w:t>
      </w:r>
    </w:p>
  </w:comment>
  <w:comment w:id="38" w:author="Jorge Chamorro" w:initials="JC" w:date="2026-10-03T16:49:20Z">
    <w:p>
      <w:pPr>
        <w:pStyle w:val="CommentText"/>
      </w:pPr>
      <w:r>
        <w:rPr>
          <w:rStyle w:val="CommentReference"/>
        </w:rPr>
        <w:annotationRef/>
      </w:r>
      <w:r>
        <w:t>Corrección de la observación 3 de consistencia detectada al elaborar la sección 3: el título de la sección 1.2 anuncia participación de mercado, pero las cuotas aparecían solo en el análisis de Porter (sección 2.4). Se replica el dato al cierre de la sección 1.2 y se agregan las cuotas por segmento de la Memoria anual 2025. Validar la página exacta de las cuotas totales (22.09% y 20.90%), que no se logró confirmar en el texto accesible de la fuente.</w:t>
      </w:r>
    </w:p>
  </w:comment>
  <w:comment w:id="39"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«Originación de crédito»,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40"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1"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2"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3"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4" w:author="Jorge Chamorro" w:initials="JC" w:date="2026-10-03T16:49:20Z">
    <w:p>
      <w:pPr>
        <w:pStyle w:val="CommentText"/>
      </w:pPr>
      <w:r>
        <w:rPr>
          <w:rStyle w:val="CommentReference"/>
        </w:rPr>
        <w:annotationRef/>
      </w:r>
      <w:r>
        <w:t>Corrección de la observación 4 de consistencia detectada al elaborar la sección 3: proceso de negocio de «Originación de crédito» que se agrega al inventario.</w:t>
      </w:r>
    </w:p>
  </w:comment>
  <w:comment w:id="45"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6"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«Captación de depósitos y vinculación»,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47" w:author="Jorge Chamorro" w:initials="JC" w:date="2026-10-03T16:49:20Z">
    <w:p>
      <w:pPr>
        <w:pStyle w:val="CommentText"/>
      </w:pPr>
      <w:r>
        <w:rPr>
          <w:rStyle w:val="CommentReference"/>
        </w:rPr>
        <w:annotationRef/>
      </w:r>
      <w:r>
        <w:t>Corrección de la observación 4 de consistencia detectada al elaborar la sección 3: proceso de negocio de «Captación de depósitos y vinculación» que se agrega al inventario.</w:t>
      </w:r>
    </w:p>
  </w:comment>
  <w:comment w:id="48"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49" w:author="Jorge Chamorro" w:initials="JC" w:date="2026-10-03T16:49:20Z">
    <w:p>
      <w:pPr>
        <w:pStyle w:val="CommentText"/>
      </w:pPr>
      <w:r>
        <w:rPr>
          <w:rStyle w:val="CommentReference"/>
        </w:rPr>
        <w:annotationRef/>
      </w:r>
      <w:r>
        <w:t>Corrección de la observación 4 de consistencia detectada al elaborar la sección 3: proceso de negocio de «Captación de depósitos y vinculación» que se agrega al inventario.</w:t>
      </w:r>
    </w:p>
  </w:comment>
  <w:comment w:id="50"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1"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«Medios de pago»,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52"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3"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4"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5"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6" w:author="Jorge Chamorro" w:initials="JC" w:date="2026-10-03T16:49:20Z">
    <w:p>
      <w:pPr>
        <w:pStyle w:val="CommentText"/>
      </w:pPr>
      <w:r>
        <w:rPr>
          <w:rStyle w:val="CommentReference"/>
        </w:rPr>
        <w:annotationRef/>
      </w:r>
      <w:r>
        <w:t>Corrección de la observación 4 de consistencia detectada al elaborar la sección 3: proceso de negocio de «Medios de pago» que se agrega al inventario.</w:t>
      </w:r>
    </w:p>
  </w:comment>
  <w:comment w:id="57"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58"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«Servicio al cliente»,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59"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0"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1"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2"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3" w:author="Jorge Chamorro" w:initials="JC" w:date="2026-10-03T16:49:20Z">
    <w:p>
      <w:pPr>
        <w:pStyle w:val="CommentText"/>
      </w:pPr>
      <w:r>
        <w:rPr>
          <w:rStyle w:val="CommentReference"/>
        </w:rPr>
        <w:annotationRef/>
      </w:r>
      <w:r>
        <w:t>Corrección de la observación 4 de consistencia detectada al elaborar la sección 3: proceso de negocio de «Servicio al cliente» que se agrega al inventario.</w:t>
      </w:r>
    </w:p>
  </w:comment>
  <w:comment w:id="64"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5" w:author="Jorge Chamorro" w:initials="JC" w:date="2026-10-03T16:49:20Z">
    <w:p>
      <w:pPr>
        <w:pStyle w:val="CommentText"/>
      </w:pPr>
      <w:r>
        <w:rPr>
          <w:rStyle w:val="CommentReference"/>
        </w:rPr>
        <w:annotationRef/>
      </w:r>
      <w:r>
        <w:t>Corrección de la observación 4 de consistencia detectada al elaborar la sección 3: la Tabla 11 solo agrupaba macroprocesos de tecnología. Se incorpora el macroproceso de negocio «Cobranzas», que atraviesa los recorridos del cliente analizados en la sección 3 (originación de crédito Pyme, reclamos y contratación digital). Elaboración propia a partir de los servicios y actividades clave de las Tablas 3 y 9; validar con el docente la granularidad de los procesos.</w:t>
      </w:r>
    </w:p>
  </w:comment>
  <w:comment w:id="66" w:author="Jorge Chamorro" w:initials="JC" w:date="2026-10-03T16:49:20Z">
    <w:p>
      <w:pPr>
        <w:pStyle w:val="CommentText"/>
      </w:pPr>
      <w:r>
        <w:rPr>
          <w:rStyle w:val="CommentReference"/>
        </w:rPr>
        <w:annotationRef/>
      </w:r>
      <w:r>
        <w:t>Corrección de la observación 4 de consistencia detectada al elaborar la sección 3: proceso de negocio de «Cobranzas» que se agrega al inventario.</w:t>
      </w:r>
    </w:p>
  </w:comment>
  <w:comment w:id="67"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68" w:author="Jorge Chamorro" w:initials="JC" w:date="2026-10-03T16:49:20Z">
    <w:p>
      <w:pPr>
        <w:pStyle w:val="CommentText"/>
      </w:pPr>
      <w:r>
        <w:rPr>
          <w:rStyle w:val="CommentReference"/>
        </w:rPr>
        <w:annotationRef/>
      </w:r>
      <w:r>
        <w:t>Corrección de la observación 4 de consistencia detectada al elaborar la sección 3: proceso de negocio de «Cobranzas» que se agrega al inventario.</w:t>
      </w:r>
    </w:p>
  </w:comment>
  <w:comment w:id="69" w:author="Jorge Chamorro" w:initials="JC" w:date="2026-10-03T16:49:20Z">
    <w:p>
      <w:pPr>
        <w:pStyle w:val="CommentText"/>
      </w:pPr>
      <w:r>
        <w:rPr>
          <w:rStyle w:val="CommentReference"/>
        </w:rPr>
        <w:annotationRef/>
      </w:r>
      <w:r>
        <w:t>Corrección de la observación 4 de consistencia detectada al elaborar la sección 3: se clasifica como primaria porque el proceso forma parte directa de la entrega del servicio bancario al cliente (criterio usado en la Tabla 11 para operación de canales).</w:t>
      </w:r>
    </w:p>
  </w:comment>
  <w:comment w:id="70" w:author="Jorge Chamorro" w:initials="JC" w:date="2026-10-03T16:49:20Z">
    <w:p>
      <w:pPr>
        <w:pStyle w:val="CommentText"/>
      </w:pPr>
      <w:r>
        <w:rPr>
          <w:rStyle w:val="CommentReference"/>
        </w:rPr>
        <w:annotationRef/>
      </w:r>
      <w:r>
        <w:t>Corrección de la observación 4 de consistencia detectada al elaborar la sección 3: se explica la ampliación de la Tabla 11 con macroprocesos de negocio, para que el inventario no sea solo tecnológico.</w:t>
      </w:r>
    </w:p>
  </w:comment>
  <w:comment w:id="71" w:author="Jorge Chamorro" w:initials="JC" w:date="2026-10-03T16:49:20Z">
    <w:p>
      <w:pPr>
        <w:pStyle w:val="CommentText"/>
      </w:pPr>
      <w:r>
        <w:rPr>
          <w:rStyle w:val="CommentReference"/>
        </w:rPr>
        <w:annotationRef/>
      </w:r>
      <w:r>
        <w:t>Corrección de la observación 4 de consistencia detectada al elaborar la sección 3: la nota declara el origen de los macroprocesos de negocio añadidos.</w:t>
      </w:r>
    </w:p>
  </w:comment>
  <w:comment w:author="GABRIEL LUCIO SALAS COHAILA" w:id="72" w:date="2026-09-12T05:32:21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Alternativas de mecanismos que no dependen de costos, tiempos asistidos o trazabilidad del cliente no demostrados</w:t>
      </w:r>
    </w:p>
  </w:comment>
  <w:comment w:author="GABRIEL LUCIO SALAS COHAILA" w:id="73" w:date="2026-09-12T05:32:33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canal digital, aunque resuelve el crédito en tres minutos, concentra solamente un tercio de las colocaciones, lo que limita su contribución al crecimiento del segmento (Reusche, 2026).</w:t>
      </w:r>
    </w:p>
  </w:comment>
  <w:comment w:author="GABRIEL LUCIO SALAS COHAILA" w:id="74" w:date="2026-09-12T05:33:10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la originación digital permitiría que una mayor proporción de las colocaciones se beneficie de un ciclo de atención de tres minutos, fortaleciendo la productividad y escalabilidad del proceso.</w:t>
      </w:r>
    </w:p>
  </w:comment>
  <w:comment w:author="GABRIEL LUCIO SALAS COHAILA" w:id="75" w:date="2026-09-12T05:33:11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expansión de la originación digital requiere fortalecer la captura estructurada de información, los modelos de decisión y la integración con los canales digitales destinados al segmento Pyme.</w:t>
      </w:r>
    </w:p>
  </w:comment>
  <w:comment w:author="GABRIEL LUCIO SALAS COHAILA" w:id="76" w:date="2026-09-12T05:33:12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debe esperar la decisión de un proceso cuyo tiempo promedio ponderado de absolución alcanzó 11.29 días durante el 2T2026, lo que afecta la percepción de rapidez y seguridad del servicio</w:t>
      </w:r>
    </w:p>
  </w:comment>
  <w:comment w:author="GABRIEL LUCIO SALAS COHAILA" w:id="77" w:date="2026-09-12T05:33:14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trazas transaccionales y las estadísticas mensuales de reclamos proporcionan información para aplicar analítica y automatización a la prevención, priorización y seguimiento de los casos.</w:t>
      </w:r>
    </w:p>
  </w:comment>
  <w:comment w:author="GABRIEL LUCIO SALAS COHAILA" w:id="78" w:date="2026-09-12T05:33: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13,959 reclamos absueltos durante el trimestre representan una carga recurrente para las funciones de atención, operaciones y gestión del fraude.</w:t>
      </w:r>
    </w:p>
  </w:comment>
  <w:comment w:author="GABRIEL LUCIO SALAS COHAILA" w:id="79" w:date="2026-09-12T05:33:3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participación digital varía considerablemente entre productos: alcanza 93 % en cambio de moneda, pero solo 50 % en tarjetas y 33 % en cuentas, lo que evidencia una adopción desigual de los recorridos de autoservicio (Banco BBVA Perú, 2026d, p. 3).</w:t>
      </w:r>
    </w:p>
  </w:comment>
  <w:comment w:author="GABRIEL LUCIO SALAS COHAILA" w:id="80" w:date="2026-09-12T05:33:42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Incrementar la participación digital en cuentas permitiría que una mayor proporción de las ventas se origine sin asistencia, en concordancia con la estrategia digital de la entidad.</w:t>
      </w:r>
    </w:p>
  </w:comment>
  <w:comment w:author="GABRIEL LUCIO SALAS COHAILA" w:id="81" w:date="2026-09-12T05:33:5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brecha de adopción puede abordarse mediante mejoras de experiencia en la app, personalización basada en datos y asistencia contextual durante la contratación.</w:t>
      </w:r>
    </w:p>
  </w:comment>
  <w:comment w:id="8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Esta oración presenta las dos columnas nuevas de la Tabla 22, que conectan cada dolor crítico con un valor medible del objetivo estratégico.</w:t>
      </w:r>
    </w:p>
  </w:comment>
  <w:comment w:id="8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línea base real (valor, periodo y fuente) del objetivo afectado por cada dolor crítico.</w:t>
      </w:r>
    </w:p>
  </w:comment>
  <w:comment w:id="8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Columna nueva con la meta cuantitativa a 18 meses del objetivo, coherente con la Tabla 10 (sección 2.1). Son metas propuestas por el equipo, pendientes de validación con la entidad.</w:t>
      </w:r>
    </w:p>
  </w:comment>
  <w:comment w:id="8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DC1–OE3. Cada cifra indica periodo y fuente pública (Memoria anual 2025, Informe de gestión 2T 2026 o cálculo propio explicitado).</w:t>
      </w:r>
    </w:p>
  </w:comment>
  <w:comment w:id="8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DC1–OE3, igual a la fijada en la Tabla 10 (sección 2.1) o a la meta del indicador del dolor en las Tablas 23 a 25. Propuesta del equipo, pendiente de validación con la entidad.</w:t>
      </w:r>
    </w:p>
  </w:comment>
  <w:comment w:id="8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DC1–OE4. Cada cifra indica periodo y fuente pública (Memoria anual 2025, Informe de gestión 2T 2026 o cálculo propio explicitado).</w:t>
      </w:r>
    </w:p>
  </w:comment>
  <w:comment w:id="8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DC1–OE4, igual a la fijada en la Tabla 10 (sección 2.1) o a la meta del indicador del dolor en las Tablas 23 a 25. Propuesta del equipo, pendiente de validación con la entidad.</w:t>
      </w:r>
    </w:p>
  </w:comment>
  <w:comment w:id="8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DC1–OE5. Cada cifra indica periodo y fuente pública (Memoria anual 2025, Informe de gestión 2T 2026 o cálculo propio explicitado).</w:t>
      </w:r>
    </w:p>
  </w:comment>
  <w:comment w:id="9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DC1–OE5, igual a la fijada en la Tabla 10 (sección 2.1) o a la meta del indicador del dolor en las Tablas 23 a 25. Propuesta del equipo, pendiente de validación con la entidad.</w:t>
      </w:r>
    </w:p>
  </w:comment>
  <w:comment w:id="9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DC2–OE1. Cada cifra indica periodo y fuente pública (Memoria anual 2025, Informe de gestión 2T 2026 o cálculo propio explicitado).</w:t>
      </w:r>
    </w:p>
  </w:comment>
  <w:comment w:id="9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DC2–OE1, igual a la fijada en la Tabla 10 (sección 2.1) o a la meta del indicador del dolor en las Tablas 23 a 25. Propuesta del equipo, pendiente de validación con la entidad.</w:t>
      </w:r>
    </w:p>
  </w:comment>
  <w:comment w:id="9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DC2–OE5. Cada cifra indica periodo y fuente pública (Memoria anual 2025, Informe de gestión 2T 2026 o cálculo propio explicitado).</w:t>
      </w:r>
    </w:p>
  </w:comment>
  <w:comment w:id="9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DC2–OE5, igual a la fijada en la Tabla 10 (sección 2.1) o a la meta del indicador del dolor en las Tablas 23 a 25. Propuesta del equipo, pendiente de validación con la entidad.</w:t>
      </w:r>
    </w:p>
  </w:comment>
  <w:comment w:id="9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DC2–OE6. Cada cifra indica periodo y fuente pública (Memoria anual 2025, Informe de gestión 2T 2026 o cálculo propio explicitado).</w:t>
      </w:r>
    </w:p>
  </w:comment>
  <w:comment w:id="9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DC2–OE6, igual a la fijada en la Tabla 10 (sección 2.1) o a la meta del indicador del dolor en las Tablas 23 a 25. Propuesta del equipo, pendiente de validación con la entidad.</w:t>
      </w:r>
    </w:p>
  </w:comment>
  <w:comment w:id="9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DC3–OE1. Cada cifra indica periodo y fuente pública (Memoria anual 2025, Informe de gestión 2T 2026 o cálculo propio explicitado).</w:t>
      </w:r>
    </w:p>
  </w:comment>
  <w:comment w:id="9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DC3–OE1, igual a la fijada en la Tabla 10 (sección 2.1) o a la meta del indicador del dolor en las Tablas 23 a 25. Propuesta del equipo, pendiente de validación con la entidad.</w:t>
      </w:r>
    </w:p>
  </w:comment>
  <w:comment w:id="9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DC3–OE4. Cada cifra indica periodo y fuente pública (Memoria anual 2025, Informe de gestión 2T 2026 o cálculo propio explicitado).</w:t>
      </w:r>
    </w:p>
  </w:comment>
  <w:comment w:id="10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DC3–OE4, igual a la fijada en la Tabla 10 (sección 2.1) o a la meta del indicador del dolor en las Tablas 23 a 25. Propuesta del equipo, pendiente de validación con la entidad.</w:t>
      </w:r>
    </w:p>
  </w:comment>
  <w:comment w:id="10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Línea base real para DC3–OE5. Cada cifra indica periodo y fuente pública (Memoria anual 2025, Informe de gestión 2T 2026 o cálculo propio explicitado).</w:t>
      </w:r>
    </w:p>
  </w:comment>
  <w:comment w:id="10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cuantitativa para DC3–OE5, igual a la fijada en la Tabla 10 (sección 2.1) o a la meta del indicador del dolor en las Tablas 23 a 25. Propuesta del equipo, pendiente de validación con la entidad.</w:t>
      </w:r>
    </w:p>
  </w:comment>
  <w:comment w:id="10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nota declara el origen de las líneas base y el carácter propuesto de las metas.</w:t>
      </w:r>
    </w:p>
  </w:comment>
  <w:comment w:id="10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explicita la regla de cuantificación aplicada a las Tablas 23 a 25: línea base real con periodo y fuente; si no existe, proxy o cota verificable, protocolo de medición y meta relativa. No se inventan cifras.</w:t>
      </w:r>
    </w:p>
  </w:comment>
  <w:comment w:id="10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serie histórica de la misma variable (≈ 30 % al cierre de 2025, según el artículo de BBVA del 9 de enero de 2026, vs. un tercio al 2T2026) para medir el ritmo real de avance. El título exacto del artículo fue verificado en la página de BBVA (publicada el 9 de enero de 2026).</w:t>
      </w:r>
    </w:p>
  </w:comment>
  <w:comment w:id="10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la meta de 60 %: +27 puntos, con ritmo requerido ≈ 18 puntos/año frente a ≈ 6 observados. Meta propuesta por el equipo, pendiente de validación con la entidad.</w:t>
      </w:r>
    </w:p>
  </w:comment>
  <w:comment w:id="10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un segundo dato público verificable de tiempo de contratación digital, tomado de la página oficial del producto ya citada en la Tabla 15.</w:t>
      </w:r>
    </w:p>
  </w:comment>
  <w:comment w:id="10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 para que el indicador sea medible aunque no exista dato público.</w:t>
      </w:r>
    </w:p>
  </w:comment>
  <w:comment w:id="10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línea base pública del tiempo de la ruta asistida; se consigna la única cota verificable (ruta digital = 3 min) y el plazo para levantar la línea base real. No se inventa una cifra.</w:t>
      </w:r>
    </w:p>
  </w:comment>
  <w:comment w:id="11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 y pendiente de validación con la entidad.</w:t>
      </w:r>
    </w:p>
  </w:comment>
  <w:comment w:id="11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costo unitario por canal.</w:t>
      </w:r>
    </w:p>
  </w:comment>
  <w:comment w:id="11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2T 2026) y se declara su limitación (no distingue canal ni segmento).</w:t>
      </w:r>
    </w:p>
  </w:comment>
  <w:comment w:id="11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anclada en el ratio de eficiencia institucional; propuesta del equipo.</w:t>
      </w:r>
    </w:p>
  </w:comment>
  <w:comment w:id="11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corrige el formato de la cifra, se agrega el periodo y la página de la fuente y se explicita la brecha numérica (18.97 puntos).</w:t>
      </w:r>
    </w:p>
  </w:comment>
  <w:comment w:id="11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«reducir a la mitad la brecha» se convierte en un valor numérico (NPS Pyme ≥ 43.0), igual al de la Tabla 10 (sección 2.1). Propuesta del equipo.</w:t>
      </w:r>
    </w:p>
  </w:comment>
  <w:comment w:id="11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 tasa de aprobación.</w:t>
      </w:r>
    </w:p>
  </w:comment>
  <w:comment w:id="11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la referencia sectorial pero se declara su limitación de comparabilidad y el plazo para levantar la línea base real.</w:t>
      </w:r>
    </w:p>
  </w:comment>
  <w:comment w:id="11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(+5 puntos porcentuales) con un límite de calidad de cartera (mora ≤ 2.69 %, línea base real); propuesta del equipo.</w:t>
      </w:r>
    </w:p>
  </w:comment>
  <w:comment w:id="11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pública real (48 %, Reusche, 2026): mide la vinculación del segmento Pyme, que condiciona el beneficio económico de ampliar la originación digital. Meta propuesta por el equipo.</w:t>
      </w:r>
    </w:p>
  </w:comment>
  <w:comment w:id="12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Indicador nuevo con línea base real (mora 2.69 % vs. 2.83 % del sistema) que acompaña al dolor D4 (riesgo de la microempresa) y evita que la meta de originación digital se alcance a costa de la calidad de cartera.</w:t>
      </w:r>
    </w:p>
  </w:comment>
  <w:comment w:id="12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de convergencia con el promedio general se expresa como una razón numérica (≤ 1.0, desde 1.41 en el 2T2026), no como días absolutos. Propuesta del equipo, pendiente de validación con la entidad.</w:t>
      </w:r>
    </w:p>
  </w:comment>
  <w:comment w:id="12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mantiene el carácter de indicador de seguimiento (una mayor o menor tasa no implica por sí sola mejora) y no se le fija banda ni meta, porque no es un indicador direccional.</w:t>
      </w:r>
    </w:p>
  </w:comment>
  <w:comment w:id="12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3.03).</w:t>
      </w:r>
    </w:p>
  </w:comment>
  <w:comment w:id="13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se convierte en valor numérico (−20 % sobre 13,959), aclarando que se evalúa a volumen de operaciones constante porque las transacciones crecen.</w:t>
      </w:r>
    </w:p>
  </w:comment>
  <w:comment w:id="13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del cumplimiento del plazo.</w:t>
      </w:r>
    </w:p>
  </w:comment>
  <w:comment w:id="13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del porcentaje dentro de plazo; se agrega un proxy numérico verificable (11.29 / 15 = 75.3 %) y se advierte la limitación de unidades (los reportes no precisan días hábiles o calendario).</w:t>
      </w:r>
    </w:p>
  </w:comment>
  <w:comment w:id="13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 95 %), propuesta del equipo y pendiente de validación con la entidad.</w:t>
      </w:r>
    </w:p>
  </w:comment>
  <w:comment w:id="13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el volumen real de uso de Blue Buddy, publicado por la entidad, como referencia cuantitativa de adopción de la herramienta donde se desplegó el flujo de reclamos.</w:t>
      </w:r>
    </w:p>
  </w:comment>
  <w:comment w:id="13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de las sanciones firmes.</w:t>
      </w:r>
    </w:p>
  </w:comment>
  <w:comment w:id="13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agrega la referencia sectorial cuantificada (2,601 sanciones al sistema financiero) ya citada en la sección 3.4 y se declara el plazo para obtener la línea base de la entidad.</w:t>
      </w:r>
    </w:p>
  </w:comment>
  <w:comment w:id="13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La meta «reducción sostenida año a año» se convierte en una meta numérica (0 sanciones firmes nuevas). Propuesta del equipo.</w:t>
      </w:r>
    </w:p>
  </w:comment>
  <w:comment w:id="13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que implica la meta (+22 puntos) y se contrasta con la tendencia real publicada (−2 puntos). Meta propuesta por el equipo.</w:t>
      </w:r>
    </w:p>
  </w:comment>
  <w:comment w:id="13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(+20 puntos) frente a la tendencia real publicada (+7 puntos). Meta propuesta por el equipo.</w:t>
      </w:r>
    </w:p>
  </w:comment>
  <w:comment w:id="14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(+16 puntos) frente a la tendencia real publicada (−3 puntos). Meta propuesta por el equipo.</w:t>
      </w:r>
    </w:p>
  </w:comment>
  <w:comment w:id="14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cuantifica el esfuerzo de la meta (+5.4 puntos) frente a la tendencia real publicada (−0.4 puntos). Meta propuesta por el equipo.</w:t>
      </w:r>
    </w:p>
  </w:comment>
  <w:comment w:id="14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abandono; se declara el plazo y la fuente interna para obtener la línea base real.</w:t>
      </w:r>
    </w:p>
  </w:comment>
  <w:comment w:id="14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(−30 %); propuesta del equipo.</w:t>
      </w:r>
    </w:p>
  </w:comment>
  <w:comment w:id="14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6"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existe dato público de activación; se declara el plazo y la fuente interna para obtener la línea base real.</w:t>
      </w:r>
    </w:p>
  </w:comment>
  <w:comment w:id="147"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de forma relativa a la línea base futura (+10 puntos); propuesta del equipo.</w:t>
      </w:r>
    </w:p>
  </w:comment>
  <w:comment w:id="148"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49"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reemplaza el vacío por un proxy real y público (ratio de eficiencia) y se declara su limitación (no distingue canal).</w:t>
      </w:r>
    </w:p>
  </w:comment>
  <w:comment w:id="150"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(−20 % relativo a la línea base futura); propuesta del equipo.</w:t>
      </w:r>
    </w:p>
  </w:comment>
  <w:comment w:id="151"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Protocolo de medición (fórmula, fuente interna, frecuencia y responsable).</w:t>
      </w:r>
    </w:p>
  </w:comment>
  <w:comment w:id="152"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No hay dato público directo; se agrega una cota superior real derivada de la penetración digital en cuentas (100 − 33 = 67 %), con la advertencia de que incluye elecciones del cliente.</w:t>
      </w:r>
    </w:p>
  </w:comment>
  <w:comment w:id="153"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Meta cuantificada coherente con la meta de penetración digital en cuentas (55 %); propuesta del equipo.</w:t>
      </w:r>
    </w:p>
  </w:comment>
  <w:comment w:id="154"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Se actualiza el conteo de indicadores (25: 15 con línea base pública directa, 5 con proxy o cota y 5 sin dato público) tras agregar dos indicadores con línea base real en DC1 y reemplazar vacíos por proxies verificables, y se declara el protocolo aplicado a los demás.</w:t>
      </w:r>
    </w:p>
  </w:comment>
  <w:comment w:id="155" w:author="Jorge Chamorro" w:initials="JC" w:date="2026-10-03T16:49:41Z">
    <w:p>
      <w:pPr>
        <w:pStyle w:val="CommentText"/>
      </w:pPr>
      <w:r>
        <w:rPr>
          <w:rStyle w:val="CommentReference"/>
        </w:rPr>
        <w:annotationRef/>
      </w:r>
      <w:r>
        <w:t>Corrección Práctica 2, criterio 3 (Alineamiento estratégico e indicadores, 2/3): el docente pidió complementar con elementos medibles y cuantificables con líneas base reales. Fuente nueva usada en la Tabla 23 (≈ 30 % de créditos Pyme contratados en menos de 3 minutos por canales digitales al cierre de 2025). El título exacto fue verificado en la página de BBVA (9 de enero de 2026). En la lista unificada la obra lleva la letra 2026e, porque BBVA (2026c) y BBVA (2026d) corresponden a otras obras citadas en las secciones 5 y 6.</w:t>
      </w:r>
    </w:p>
  </w:comment>
  <w:comment w:id="156"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11, sección 2.2).</w:t>
      </w:r>
    </w:p>
  </w:comment>
  <w:comment w:id="157"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11, sección 2.2).</w:t>
      </w:r>
    </w:p>
  </w:comment>
  <w:comment w:id="158"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8, sección 1.7).</w:t>
      </w:r>
    </w:p>
  </w:comment>
  <w:comment w:id="159"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8, sección 1.7).</w:t>
      </w:r>
    </w:p>
  </w:comment>
  <w:comment w:id="160"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1"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2"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3"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4"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(Tabla 10, sección 2.1).</w:t>
      </w:r>
    </w:p>
  </w:comment>
  <w:comment w:id="165" w:author="Jorge Chamorro" w:initials="JC" w:date="2026-10-03T17:30:08Z">
    <w:p>
      <w:pPr>
        <w:pStyle w:val="CommentText"/>
      </w:pPr>
      <w:r>
        <w:rPr>
          <w:rStyle w:val="CommentReference"/>
        </w:rPr>
        <w:annotationRef/>
      </w:r>
      <w:r>
        <w:t>Ajuste de integración: al unir el Entregable 1 y el Entregable 2 en un solo informe, la referencia al «Entregable 1» se reemplaza por la sección y la tabla equivalentes de este documento (sección 1.5).</w:t>
      </w:r>
    </w:p>
  </w:comment>
  <w:comment w:id="166" w:author="Jorge Chamorro" w:initials="JC" w:date="2026-10-03T17:30:08Z">
    <w:p>
      <w:pPr>
        <w:pStyle w:val="CommentText"/>
      </w:pPr>
      <w:r>
        <w:rPr>
          <w:rStyle w:val="CommentReference"/>
        </w:rPr>
        <w:annotationRef/>
      </w:r>
      <w:r>
        <w:t>Ajuste de integración: como ahora es un solo informe, se ubica la referencia por sección en lugar de «este documento».</w:t>
      </w:r>
    </w:p>
  </w:comment>
  <w:comment w:id="167" w:author="Jorge Chamorro" w:initials="JC" w:date="2026-10-03T17:30:08Z">
    <w:p>
      <w:pPr>
        <w:pStyle w:val="CommentText"/>
      </w:pPr>
      <w:r>
        <w:rPr>
          <w:rStyle w:val="CommentReference"/>
        </w:rPr>
        <w:annotationRef/>
      </w:r>
      <w:r>
        <w:t>Ajuste de integración: se eliminó el Anexo A original (observaciones de consistencia sobre el Entregable 1, ya aplicadas), por lo que la entrevista pasa a ser el Anexo A.</w:t>
      </w:r>
    </w:p>
  </w:comment>
  <w:comment w:id="168" w:author="Jorge Chamorro" w:initials="JC" w:date="2026-10-03T17:30:08Z">
    <w:p>
      <w:pPr>
        <w:pStyle w:val="CommentText"/>
      </w:pPr>
      <w:r>
        <w:rPr>
          <w:rStyle w:val="CommentReference"/>
        </w:rPr>
        <w:annotationRef/>
      </w:r>
      <w:r>
        <w:t>Ajuste de integración: la entrevista pasa de Anexo B a Anexo A porque se eliminó el Anexo A original (observaciones de consistencia ya aplicadas).</w:t>
      </w:r>
    </w:p>
  </w:comment>
  <w:comment w:id="169" w:author="Jorge Chamorro" w:initials="JC" w:date="2026-10-03T17:30:08Z">
    <w:p>
      <w:pPr>
        <w:pStyle w:val="CommentText"/>
      </w:pPr>
      <w:r>
        <w:rPr>
          <w:rStyle w:val="CommentReference"/>
        </w:rPr>
        <w:annotationRef/>
      </w:r>
      <w:r>
        <w:t>Ajuste de integración: en el informe parcial el trabajo se organiza por avances, no por prácticas separadas.</w:t>
      </w:r>
    </w:p>
  </w:comment>
  <w:comment w:id="170" w:author="Jorge Chamorro" w:initials="JC" w:date="2026-10-03T17:30:08Z">
    <w:p>
      <w:pPr>
        <w:pStyle w:val="CommentText"/>
      </w:pPr>
      <w:r>
        <w:rPr>
          <w:rStyle w:val="CommentReference"/>
        </w:rPr>
        <w:annotationRef/>
      </w:r>
      <w:r>
        <w:t>Ajuste de integración: en el informe parcial el trabajo se organiza por avances, no por prácticas separadas.</w:t>
      </w:r>
    </w:p>
  </w:comment>
  <w:comment w:id="171" w:author="Jorge Chamorro" w:initials="JC" w:date="2026-10-03T17:30:08Z">
    <w:p>
      <w:pPr>
        <w:pStyle w:val="CommentText"/>
      </w:pPr>
      <w:r>
        <w:rPr>
          <w:rStyle w:val="CommentReference"/>
        </w:rPr>
        <w:annotationRef/>
      </w:r>
      <w:r>
        <w:t>Ajuste de integración: la expresión «esta práctica» deja de tener referente en un informe que reúne las entregas 1 y 2.</w:t>
      </w:r>
    </w:p>
  </w:comment>
  <w:comment w:id="172" w:author="Jorge Chamorro" w:initials="JC" w:date="2026-10-03T17:30:08Z">
    <w:p>
      <w:pPr>
        <w:pStyle w:val="CommentText"/>
      </w:pPr>
      <w:r>
        <w:rPr>
          <w:rStyle w:val="CommentReference"/>
        </w:rPr>
        <w:annotationRef/>
      </w:r>
      <w:r>
        <w:t>Ajuste de integración: se unifica el término «avances» usado en el resto del informe.</w:t>
      </w:r>
    </w:p>
  </w:comment>
  <w:comment w:id="173" w:author="Jorge Chamorro" w:initials="JC" w:date="2026-10-03T17:30:08Z">
    <w:p>
      <w:pPr>
        <w:pStyle w:val="CommentText"/>
      </w:pPr>
      <w:r>
        <w:rPr>
          <w:rStyle w:val="CommentReference"/>
        </w:rPr>
        <w:annotationRef/>
      </w:r>
      <w:r>
        <w:t>Ajuste de integración: el análisis de competitividad pasa de sección 3 a sección 2.4 para respetar la estructura del enunciado (I-II para la entrega 1 y III-IV para la entrega 2); por eso se precisa a qué secciones se refiere el texto. Se corrige además «una análisis» por «un análisis».</w:t>
      </w:r>
    </w:p>
  </w:comment>
  <w:comment w:id="174" w:author="Jorge Chamorro" w:initials="JC" w:date="2026-10-03T17:30:08Z">
    <w:p>
      <w:pPr>
        <w:pStyle w:val="CommentText"/>
      </w:pPr>
      <w:r>
        <w:rPr>
          <w:rStyle w:val="CommentReference"/>
        </w:rPr>
        <w:annotationRef/>
      </w:r>
      <w:r>
        <w:t>Ajuste de integración: primera cita de la SBS en el informe unido; se define la sigla [SBS] con el nombre completo de la institución, el mismo que usa la lista de referencias (en el Entregable 2 se había definido más adelante).</w:t>
      </w:r>
    </w:p>
  </w:comment>
  <w:comment w:id="175" w:author="Jorge Chamorro" w:initials="JC" w:date="2026-10-03T17:30:08Z">
    <w:p>
      <w:pPr>
        <w:pStyle w:val="CommentText"/>
      </w:pPr>
      <w:r>
        <w:rPr>
          <w:rStyle w:val="CommentReference"/>
        </w:rPr>
        <w:annotationRef/>
      </w:r>
      <w:r>
        <w:t>Ajuste de integración: la cita debe resolver a una entrada de la lista de referencias (SBS, 2021). «Resolución SBS N° 504-2021» es el título de la norma, no una cita autor-año.</w:t>
      </w:r>
    </w:p>
  </w:comment>
  <w:comment w:id="176" w:author="Jorge Chamorro" w:initials="JC" w:date="2026-10-03T17:30:08Z">
    <w:p>
      <w:pPr>
        <w:pStyle w:val="CommentText"/>
      </w:pPr>
      <w:r>
        <w:rPr>
          <w:rStyle w:val="CommentReference"/>
        </w:rPr>
        <w:annotationRef/>
      </w:r>
      <w:r>
        <w:t>Ajuste de integración: la cita debe resolver a una entrada de la lista de referencias (SBS, 2021). «Resolución SBS N° 504-2021» es el título de la norma, no una cita autor-año.</w:t>
      </w:r>
    </w:p>
  </w:comment>
  <w:comment w:id="177" w:author="Jorge Chamorro" w:initials="JC" w:date="2026-10-03T17:30:08Z">
    <w:p>
      <w:pPr>
        <w:pStyle w:val="CommentText"/>
      </w:pPr>
      <w:r>
        <w:rPr>
          <w:rStyle w:val="CommentReference"/>
        </w:rPr>
        <w:annotationRef/>
      </w:r>
      <w:r>
        <w:t>Ajuste de integración: la cita debe resolver a una entrada de la lista de referencias (SBS, 2020). «Resolución SBS N° 877-2020» es el título de la norma, no una cita autor-año.</w:t>
      </w:r>
    </w:p>
  </w:comment>
  <w:comment w:id="178" w:author="Jorge Chamorro" w:initials="JC" w:date="2026-10-03T17:30:08Z">
    <w:p>
      <w:pPr>
        <w:pStyle w:val="CommentText"/>
      </w:pPr>
      <w:r>
        <w:rPr>
          <w:rStyle w:val="CommentReference"/>
        </w:rPr>
        <w:annotationRef/>
      </w:r>
      <w:r>
        <w:t>Ajuste de integración: se unifica el nombre del autor institucional con el de la lista de referencias; la sigla ya fue definida en la primera cita (sección 2.3).</w:t>
      </w:r>
    </w:p>
  </w:comment>
  <w:comment w:id="179" w:author="Jorge Chamorro" w:initials="JC" w:date="2026-10-03T17:30:08Z">
    <w:p>
      <w:pPr>
        <w:pStyle w:val="CommentText"/>
      </w:pPr>
      <w:r>
        <w:rPr>
          <w:rStyle w:val="CommentReference"/>
        </w:rPr>
        <w:annotationRef/>
      </w:r>
      <w:r>
        <w:t>Ajuste de integración: se unifica el nombre del autor institucional con el de la lista de referencias; la sigla ya fue definida en la primera cita (sección 2.3).</w:t>
      </w:r>
    </w:p>
  </w:comment>
  <w:comment w:id="180" w:author="Jorge Chamorro" w:initials="JC" w:date="2026-10-03T17:30:08Z">
    <w:p>
      <w:pPr>
        <w:pStyle w:val="CommentText"/>
      </w:pPr>
      <w:r>
        <w:rPr>
          <w:rStyle w:val="CommentReference"/>
        </w:rPr>
        <w:annotationRef/>
      </w:r>
      <w:r>
        <w:t>Ajuste de integración: la sigla [SBS] ya se definió en la sección 2.3 (primera cita del informe); aquí basta la forma corta.</w:t>
      </w:r>
    </w:p>
  </w:comment>
  <w:comment w:id="181" w:author="Jorge Chamorro" w:initials="JC" w:date="2026-10-03T17:30:08Z">
    <w:p>
      <w:pPr>
        <w:pStyle w:val="CommentText"/>
      </w:pPr>
      <w:r>
        <w:rPr>
          <w:rStyle w:val="CommentReference"/>
        </w:rPr>
        <w:annotationRef/>
      </w:r>
      <w:r>
        <w:t>Ajuste de integración: formato APA 7 de «sin fecha» (s. f.), igual al de la lista de referencias.</w:t>
      </w:r>
    </w:p>
  </w:comment>
  <w:comment w:id="182" w:author="Jorge Chamorro" w:initials="JC" w:date="2026-10-03T17:30:08Z">
    <w:p>
      <w:pPr>
        <w:pStyle w:val="CommentText"/>
      </w:pPr>
      <w:r>
        <w:rPr>
          <w:rStyle w:val="CommentReference"/>
        </w:rPr>
        <w:annotationRef/>
      </w:r>
      <w:r>
        <w:t>Ajuste de integración: formato APA 7 de «sin fecha» (s. f.), igual al de la lista de referencias.</w:t>
      </w:r>
    </w:p>
  </w:comment>
  <w:comment w:id="183" w:author="Jorge Chamorro" w:initials="JC" w:date="2026-10-03T17:30:08Z">
    <w:p>
      <w:pPr>
        <w:pStyle w:val="CommentText"/>
      </w:pPr>
      <w:r>
        <w:rPr>
          <w:rStyle w:val="CommentReference"/>
        </w:rPr>
        <w:annotationRef/>
      </w:r>
      <w:r>
        <w:t>Ajuste de integración: la afirmación sobre infraestructura en la nube (AWS) y la plataforma ADA se sustenta en BBVA (2026a, 12 de enero), cuyo texto indica que la plataforma global de datos e IA se construye sobre Amazon Web Services; BBVA (2025), «Prioridades estratégicas», no trata la infraestructura en la nube. Con este cambio la obra 2026a deja de estar sin citar.</w:t>
      </w:r>
    </w:p>
  </w:comment>
  <w:comment w:id="184" w:author="Jorge Chamorro" w:initials="JC" w:date="2026-10-03T17:30:08Z">
    <w:p>
      <w:pPr>
        <w:pStyle w:val="CommentText"/>
      </w:pPr>
      <w:r>
        <w:rPr>
          <w:rStyle w:val="CommentReference"/>
        </w:rPr>
        <w:annotationRef/>
      </w:r>
      <w:r>
        <w:t>Ajuste de integración: se retira la mención a Google Cloud porque no la respalda ninguna de las fuentes revisadas (el artículo de BBVA de enero de 2026 y el informe de gerencia del 2T 2026 no la mencionan) y no se hallaron otras que la sustenten. La redacción queda limitada a AWS y a ADA, que sí constan en BBVA (2026a).</w:t>
      </w:r>
    </w:p>
  </w:comment>
  <w:comment w:id="185"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6"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7" w:author="Jorge Chamorro" w:initials="JC" w:date="2026-10-03T17:30:08Z">
    <w:p>
      <w:pPr>
        <w:pStyle w:val="CommentText"/>
      </w:pPr>
      <w:r>
        <w:rPr>
          <w:rStyle w:val="CommentReference"/>
        </w:rPr>
        <w:annotationRef/>
      </w:r>
      <w:r>
        <w:t>Ajuste de integración: se unifica el autor institucional con la forma completa que ya usaba la lista de referencias del Entregable 2 (Resolución SBS N.º 04036-2022), para que una misma institución no aparezca con dos nombres.</w:t>
      </w:r>
    </w:p>
  </w:comment>
  <w:comment w:id="188"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89"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90" w:author="Jorge Chamorro" w:initials="JC" w:date="2026-10-03T17:30:08Z">
    <w:p>
      <w:pPr>
        <w:pStyle w:val="CommentText"/>
      </w:pPr>
      <w:r>
        <w:rPr>
          <w:rStyle w:val="CommentReference"/>
        </w:rPr>
        <w:annotationRef/>
      </w:r>
      <w:r>
        <w:t>Ajuste de integración: se unifica el formato del título de la norma con el de la lista del Entregable 2 («Resolución SBS N.º»).</w:t>
      </w:r>
    </w:p>
  </w:comment>
  <w:comment w:id="191" w:author="Jorge Chamorro" w:initials="JC" w:date="2026-10-03T17:30:08Z">
    <w:p>
      <w:pPr>
        <w:pStyle w:val="CommentText"/>
      </w:pPr>
      <w:r>
        <w:rPr>
          <w:rStyle w:val="CommentReference"/>
        </w:rPr>
        <w:annotationRef/>
      </w:r>
      <w:r>
        <w:t>Ajuste de integración: portada única del informe parcial que reúne las entregas 1 y 2 (antes cada entregable tenía su propia portada).</w:t>
      </w:r>
    </w:p>
  </w:comment>
  <w:comment w:id="192" w:author="Jorge Chamorro" w:initials="JC" w:date="2026-10-03T17:30:08Z">
    <w:p>
      <w:pPr>
        <w:pStyle w:val="CommentText"/>
      </w:pPr>
      <w:r>
        <w:rPr>
          <w:rStyle w:val="CommentReference"/>
        </w:rPr>
        <w:annotationRef/>
      </w:r>
      <w:r>
        <w:t>Ajuste de integración: el Entregable 1 no consignaba el nombre del profesor; se toma del Entregable 2.</w:t>
      </w:r>
    </w:p>
  </w:comment>
  <w:comment w:id="193" w:author="Jorge Chamorro" w:initials="JC" w:date="2026-10-03T17:30:08Z">
    <w:p>
      <w:pPr>
        <w:pStyle w:val="CommentText"/>
      </w:pPr>
      <w:r>
        <w:rPr>
          <w:rStyle w:val="CommentReference"/>
        </w:rPr>
        <w:annotationRef/>
      </w:r>
      <w:r>
        <w:t>Ajuste de integración: se usa la fecha de la última entrega incorporada (Entregable 2).</w:t>
      </w:r>
    </w:p>
  </w:comment>
  <w:comment w:id="194" w:author="Jorge Chamorro" w:initials="JC" w:date="2026-10-03T17:30:08Z">
    <w:p>
      <w:pPr>
        <w:pStyle w:val="CommentText"/>
      </w:pPr>
      <w:r>
        <w:rPr>
          <w:rStyle w:val="CommentReference"/>
        </w:rPr>
        <w:annotationRef/>
      </w:r>
      <w:r>
        <w:t>Ajuste de integración: este análisis pasa de sección 3 a sección 2.4. La estructura del enunciado asigna I-II a la entrega 1 y III-IV a la entrega 2; con la numeración original, la sección 3 del Entregable 1 colisionaba con la sección 3 («Identificación y priorización de los dolores de negocio») del Entregable 2.</w:t>
      </w:r>
    </w:p>
  </w:comment>
  <w:comment w:id="195" w:author="Jorge Chamorro" w:initials="JC" w:date="2026-10-03T17:30:08Z">
    <w:p>
      <w:pPr>
        <w:pStyle w:val="CommentText"/>
      </w:pPr>
      <w:r>
        <w:rPr>
          <w:rStyle w:val="CommentReference"/>
        </w:rPr>
        <w:annotationRef/>
      </w:r>
      <w:r>
        <w:t>Ajuste de integración: inicio del contenido del Entregable 2 (secciones 3 y 4 del enunciado). La numeración pasa a ser automática y continua con la sección 2 del Entregable 1.</w:t>
      </w:r>
    </w:p>
  </w:comment>
  <w:comment w:id="196" w:author="Jorge Chamorro" w:initials="JC" w:date="2026-10-03T17:30:08Z">
    <w:p>
      <w:pPr>
        <w:pStyle w:val="CommentText"/>
      </w:pPr>
      <w:r>
        <w:rPr>
          <w:rStyle w:val="CommentReference"/>
        </w:rPr>
        <w:annotationRef/>
      </w:r>
      <w:r>
        <w:t>Ajuste de integración: lista única de referencias en orden alfabético (APA 7). Se eliminaron las entradas duplicadas entre ambos entregables (Banco BBVA Perú 2026a y 2026b, BBVA 2025 y BBVA 12 de enero de 2026, ahora 2026a) y se incorporaron las entradas exclusivas de cada uno. Se retiró la nota que explicaba la codificación alfabética por separado.</w:t>
      </w:r>
    </w:p>
  </w:comment>
  <w:comment w:id="197" w:author="Jorge Chamorro" w:initials="JC" w:date="2026-10-03T17:30:08Z">
    <w:p>
      <w:pPr>
        <w:pStyle w:val="CommentText"/>
      </w:pPr>
      <w:r>
        <w:rPr>
          <w:rStyle w:val="CommentReference"/>
        </w:rPr>
        <w:annotationRef/>
      </w:r>
      <w:r>
        <w:t>Ajuste de integración: se eliminó el Anexo A original (observaciones de consistencia sobre el Entregable 1) porque todas sus correcciones ya están aplicadas en este informe; la entrevista pasa de Anexo B a Anexo A.</w:t>
      </w:r>
    </w:p>
  </w:comment>
  <w:comment w:id="198" w:author="Jorge Chamorro" w:initials="JC" w:date="2026-10-03T17:30:08Z">
    <w:p>
      <w:pPr>
        <w:pStyle w:val="CommentText"/>
      </w:pPr>
      <w:r>
        <w:rPr>
          <w:rStyle w:val="CommentReference"/>
        </w:rPr>
        <w:annotationRef/>
      </w:r>
      <w:r>
        <w:t>Corrección de coherencia con el Entregable 3: la meta pasa de «≤ 8.02 días (−29 %)» a una razón de 1.0 veces frente al promedio general. El Entregable 3 (sección 5.3) fija la meta como eliminación de la brecha relativa (1.41 veces en el 2T2026) y no como días absolutos, porque ni el promedio de la materia ni el general son estables de un periodo a otro. Con la cifra absoluta, ambos documentos proponían metas distintas para el mismo indicador.</w:t>
      </w:r>
    </w:p>
  </w:comment>
  <w:comment w:id="199" w:author="Jorge Chamorro" w:initials="JC" w:date="2026-10-03T17:30:08Z">
    <w:p>
      <w:pPr>
        <w:pStyle w:val="CommentText"/>
      </w:pPr>
      <w:r>
        <w:rPr>
          <w:rStyle w:val="CommentReference"/>
        </w:rPr>
        <w:annotationRef/>
      </w:r>
      <w:r>
        <w:t>Corrección de coherencia con el Entregable 3: la matriz de alineamiento repetía la meta anterior en días. Se iguala a la de la Tabla 24, que ahora se expresa como razón, igual que en el Entregable 3.</w:t>
      </w:r>
    </w:p>
  </w:comment>
  <w:comment w:id="200" w:author="Jorge Chamorro" w:initials="JC" w:date="2026-10-03T17:30:08Z">
    <w:p>
      <w:pPr>
        <w:pStyle w:val="CommentText"/>
      </w:pPr>
      <w:r>
        <w:rPr>
          <w:rStyle w:val="CommentReference"/>
        </w:rPr>
        <w:annotationRef/>
      </w:r>
      <w:r>
        <w:t>Corrección de coherencia con el Entregable 3: se elimina la banda de ±5 puntos alrededor de 21.63 %. El Entregable 3 (sección 6.2, descripción As Is del dolor DC2) reporta que la tasa a favor del usuario pasó de 21.63 % en el 2T2026 a 84.1 % en julio-agosto de 2026, de modo que una banda fija en torno al valor del 2T2026 queda desmentida por los propios datos de la entidad. Se conserva la línea base de 21.63 % y el indicador queda solo como seguimiento.</w:t>
      </w:r>
    </w:p>
  </w:comment>
  <w:comment w:id="201" w:author="Jorge Chamorro" w:initials="JC" w:date="2026-10-03T17:30:08Z">
    <w:p>
      <w:pPr>
        <w:pStyle w:val="CommentText"/>
      </w:pPr>
      <w:r>
        <w:rPr>
          <w:rStyle w:val="CommentReference"/>
        </w:rPr>
        <w:annotationRef/>
      </w:r>
      <w:r>
        <w:t>Corrección de coherencia con el Entregable 3: este informe citaba el artículo de BBVA del 9 de enero de 2026 como 2026c, pero el Entregable 3 asigna 2026c a BBVA (5 de febrero de 2026) y 2026d a BBVA (24 de junio de 2026). Se reasigna la letra 2026e para que la lista de referencias unificada no tenga dos obras distintas con la misma letra.</w:t>
      </w:r>
    </w:p>
  </w:comment>
  <w:comment w:id="202" w:author="Jorge Chamorro" w:initials="JC" w:date="2026-10-03T17:30:08Z">
    <w:p>
      <w:pPr>
        <w:pStyle w:val="CommentText"/>
      </w:pPr>
      <w:r>
        <w:rPr>
          <w:rStyle w:val="CommentReference"/>
        </w:rPr>
        <w:annotationRef/>
      </w:r>
      <w:r>
        <w:t>Corrección de coherencia con el Entregable 3: este informe citaba el artículo de BBVA del 9 de enero de 2026 como 2026c, pero el Entregable 3 asigna 2026c a BBVA (5 de febrero de 2026) y 2026d a BBVA (24 de junio de 2026). Se reasigna la letra 2026e para que la lista de referencias unificada no tenga dos obras distintas con la misma letra.</w:t>
      </w:r>
    </w:p>
  </w:comment>
  <w:comment w:id="203"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lleva la letra 2025b. Por eso «Prioridades estratégicas» (30 de abril de 2025) pasa a 2025a, y cada cita se corrige para distinguir ambas obras.</w:t>
      </w:r>
    </w:p>
  </w:comment>
  <w:comment w:id="204"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lleva la letra 2025b. Por eso «Prioridades estratégicas» (30 de abril de 2025) pasa a 2025a, y cada cita se corrige para distinguir ambas obras.</w:t>
      </w:r>
    </w:p>
  </w:comment>
  <w:comment w:id="205"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lleva la letra 2025b. Por eso «Prioridades estratégicas» (30 de abril de 2025) pasa a 2025a, y cada cita se corrige para distinguir ambas obras.</w:t>
      </w:r>
    </w:p>
  </w:comment>
  <w:comment w:id="206"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lleva la letra 2025b. Por eso «Prioridades estratégicas» (30 de abril de 2025) pasa a 2025a, y cada cita se corrige para distinguir ambas obras.</w:t>
      </w:r>
    </w:p>
  </w:comment>
  <w:comment w:id="207" w:author="Jorge Chamorro" w:initials="JC" w:date="2026-10-03T17:30:08Z">
    <w:p>
      <w:pPr>
        <w:pStyle w:val="CommentText"/>
      </w:pPr>
      <w:r>
        <w:rPr>
          <w:rStyle w:val="CommentReference"/>
        </w:rPr>
        <w:annotationRef/>
      </w:r>
      <w:r>
        <w:t>Corrección de coherencia con el Entregable 3: el Entregable 3 cita otra obra de BBVA de 2025 («The Eight», 12 de diciembre), que lleva la letra 2025b. Por eso «Prioridades estratégicas» (30 de abril de 2025) pasa a 2025a, y cada cita se corrige para distinguir ambas obras.</w:t>
      </w:r>
    </w:p>
  </w:comment>
  <w:comment w:id="208" w:author="Jorge Chamorro" w:initials="JC" w:date="2026-10-03T17:30:08Z">
    <w:p>
      <w:pPr>
        <w:pStyle w:val="CommentText"/>
      </w:pPr>
      <w:r>
        <w:rPr>
          <w:rStyle w:val="CommentReference"/>
        </w:rPr>
        <w:annotationRef/>
      </w:r>
      <w:r>
        <w:t>Corrección de coherencia con el Entregable 3: la portada del documento lo titula «Informe de Gerencia - Segundo Trimestre 2026» (verificado en el PDF) y así figura en el Entregable 3. Los Entregables 1 y 2 lo llamaban «Informe de gestión 2T 2026».</w:t>
      </w:r>
    </w:p>
  </w:comment>
  <w:comment w:id="209"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0"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1"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2" w:author="Jorge Chamorro" w:initials="JC" w:date="2026-10-03T17:30:08Z">
    <w:p>
      <w:pPr>
        <w:pStyle w:val="CommentText"/>
      </w:pPr>
      <w:r>
        <w:rPr>
          <w:rStyle w:val="CommentReference"/>
        </w:rPr>
        <w:annotationRef/>
      </w:r>
      <w:r>
        <w:t>Corrección de coherencia con el Entregable 3: se usa el nombre real del informe trimestral («informe de gerencia»), el mismo que emplean la lista de referencias y el Entregable 3.</w:t>
      </w:r>
    </w:p>
  </w:comment>
  <w:comment w:id="213"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4"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5"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6"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7"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8"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19"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0"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1"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2"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3" w:author="Jorge Chamorro" w:initials="JC" w:date="2026-10-03T17:30:08Z">
    <w:p>
      <w:pPr>
        <w:pStyle w:val="CommentText"/>
      </w:pPr>
      <w:r>
        <w:rPr>
          <w:rStyle w:val="CommentReference"/>
        </w:rPr>
        <w:annotationRef/>
      </w:r>
      <w:r>
        <w:t>Corrección de coherencia con el Entregable 3: los Entregables 1 y 3 declaran la ausencia de dato público con la fórmula «NO HAY FUENTES EN INTERNET DISPONIBLES». El Entregable 2 usaba otra redacción para lo mismo; se unifica para que el informe use una sola.</w:t>
      </w:r>
    </w:p>
  </w:comment>
  <w:comment w:id="224" w:author="Jorge Chamorro" w:initials="JC" w:date="2026-10-03T17:30:08Z">
    <w:p>
      <w:pPr>
        <w:pStyle w:val="CommentText"/>
      </w:pPr>
      <w:r>
        <w:rPr>
          <w:rStyle w:val="CommentReference"/>
        </w:rPr>
        <w:annotationRef/>
      </w:r>
      <w:r>
        <w:t>Corrección de coherencia con el Entregable 3: la sección explica cómo se declara la ausencia de dato público y remite a la fórmula que ya empleaba la Tabla 10 (Entregable 1) y que usa el Entregable 3.</w:t>
      </w:r>
    </w:p>
  </w:comment>
  <w:comment w:id="225" w:author="Jorge Chamorro" w:initials="JC" w:date="2026-10-03T17:30:08Z">
    <w:p>
      <w:pPr>
        <w:pStyle w:val="CommentText"/>
      </w:pPr>
      <w:r>
        <w:rPr>
          <w:rStyle w:val="CommentReference"/>
        </w:rPr>
        <w:annotationRef/>
      </w:r>
      <w:r>
        <w:t>Corrección de formato: se eliminan siete filas vacías que seguían a D11 al final de la tabla, para que el inventario no tenga celdas sin contenido.</w:t>
      </w:r>
    </w:p>
  </w:comment>
  <w:comment w:author="Equipo — nota de revisión" w:id="226" w:date="2026-09-24T04:59:06Z">
    <w:p w:rsidR="00000000" w:rsidDel="00000000" w:rsidP="00000000" w:rsidRDefault="00000000" w:rsidRPr="00000000" w14:paraId="39735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cifras citadas en este párrafo (Sundararajan y Jeenah, 2025; Stealth Agents, 2026; Kore.ai, 2026) provienen de mercados desarrollados, tal como ya advierte el propio texto. Si el tiempo lo permite, buscar un estudio o cifra equivalente para banca Pyme en Perú o América Latina.</w:t>
      </w:r>
    </w:p>
  </w:comment>
  <w:comment w:author="Equipo — nota de revisión" w:id="228" w:date="2026-09-24T04:59:06Z">
    <w:p w:rsidR="00000000" w:rsidDel="00000000" w:rsidP="00000000" w:rsidRDefault="00000000" w:rsidRPr="00000000" w14:paraId="234F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de las tres hipótesis se vincula explícitamente con el OE2 (Impulsar la sostenibilidad como motor de crecimiento). La Práctica 1 penalizó la falta de trazabilidad completa de los objetivos estratégicos (sección 2.1). Evaluar si corresponde justificar esta ausencia o preguntar al profesor/evaluador si se espera cobertura explícita de OE2 en este informe.</w:t>
      </w:r>
    </w:p>
  </w:comment>
  <w:comment w:author="Equipo — nota de revisión" w:id="227" w:date="2026-09-24T04:59:06Z">
    <w:p w:rsidR="00000000" w:rsidDel="00000000" w:rsidP="00000000" w:rsidRDefault="00000000" w:rsidRPr="00000000" w14:paraId="42899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meta de 55 % fue propuesta por el equipo y aún no ha sido validada con la entidad, conforme a lo señalado en la sección 4.3. Confirmar su viabilidad, de ser posible, con A. Moquillaza.</w:t>
      </w:r>
    </w:p>
  </w:comment>
  <w:comment w:id="229" w:author="Jorge Chamorro" w:initials="JC" w:date="2026-10-03T17:47:03Z">
    <w:p>
      <w:pPr>
        <w:pStyle w:val="CommentText"/>
      </w:pPr>
      <w:r>
        <w:rPr>
          <w:rStyle w:val="CommentReference"/>
        </w:rPr>
        <w:annotationRef/>
      </w:r>
      <w:r>
        <w:t>Ajuste de integración: el informe parcial incorpora el Entregable 3 (secciones 5 y 6 del enunciado: hipótesis de las iniciativas y descripción detallada As Is de los dolores), por lo que el título ya no se limita a las entregas 1 y 2.</w:t>
      </w:r>
    </w:p>
  </w:comment>
  <w:comment w:id="230"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27 pasa a ser la Tabla 26.</w:t>
      </w:r>
    </w:p>
  </w:comment>
  <w:comment w:id="231"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28 pasa a ser la Tabla 27.</w:t>
      </w:r>
    </w:p>
  </w:comment>
  <w:comment w:id="232"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29 pasa a ser la Tabla 28.</w:t>
      </w:r>
    </w:p>
  </w:comment>
  <w:comment w:id="233"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4"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5"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30 pasa a ser la Tabla 29.</w:t>
      </w:r>
    </w:p>
  </w:comment>
  <w:comment w:id="236"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31 pasa a ser la Tabla 30.</w:t>
      </w:r>
    </w:p>
  </w:comment>
  <w:comment w:id="237"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32 pasa a ser la Tabla 31.</w:t>
      </w:r>
    </w:p>
  </w:comment>
  <w:comment w:id="238" w:author="Jorge Chamorro" w:initials="JC" w:date="2026-10-03T17:47:03Z">
    <w:p>
      <w:pPr>
        <w:pStyle w:val="CommentText"/>
      </w:pPr>
      <w:r>
        <w:rPr>
          <w:rStyle w:val="CommentReference"/>
        </w:rPr>
        <w:annotationRef/>
      </w:r>
      <w:r>
        <w:t>Ajuste de integración: el informe unificado numera las tablas de forma continua y su última tabla previa es la Tabla 25 (el Entregable 3 reanudaba en la Tabla 27 porque contaba una tabla del Entregable 2 que no se conserva en este informe). Por eso la Tabla 33 pasa a ser la Tabla 32.</w:t>
      </w:r>
    </w:p>
  </w:comment>
  <w:comment w:id="239"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sección 4.1 (selección de los tres dolores críticos) de este documento.</w:t>
      </w:r>
    </w:p>
  </w:comment>
  <w:comment w:id="240"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las tablas correspondientes (Tablas 23 a 25, sección 4.3) de este documento.</w:t>
      </w:r>
    </w:p>
  </w:comment>
  <w:comment w:id="241"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las tablas correspondientes (Tablas 23 a 25, sección 4.3) de este documento.</w:t>
      </w:r>
    </w:p>
  </w:comment>
  <w:comment w:id="242" w:author="Jorge Chamorro" w:initials="JC" w:date="2026-10-03T17:47:03Z">
    <w:p>
      <w:pPr>
        <w:pStyle w:val="CommentText"/>
      </w:pPr>
      <w:r>
        <w:rPr>
          <w:rStyle w:val="CommentReference"/>
        </w:rPr>
        <w:annotationRef/>
      </w:r>
      <w:r>
        <w:t>Ajuste de integración: se reemplaza la alusión al Entregable 2 por la ubicación en este informe. Además, la Tabla 25 no incluye la penetración en cambio de moneda; el detalle de los cuatro productos está en la sección 3.5, por lo que se cita también.</w:t>
      </w:r>
    </w:p>
  </w:comment>
  <w:comment w:id="243"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23 (sección 4.3) de este documento.</w:t>
      </w:r>
    </w:p>
  </w:comment>
  <w:comment w:id="244"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24 (sección 4.3) de este documento.</w:t>
      </w:r>
    </w:p>
  </w:comment>
  <w:comment w:id="245"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24 (sección 4.3) de este documento.</w:t>
      </w:r>
    </w:p>
  </w:comment>
  <w:comment w:id="246"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7"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8"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25 (sección 4.3) de este documento.</w:t>
      </w:r>
    </w:p>
  </w:comment>
  <w:comment w:id="249"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22 (sección 4.2) de este documento.</w:t>
      </w:r>
    </w:p>
  </w:comment>
  <w:comment w:id="250"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Tabla 22 (sección 4.2) de este documento.</w:t>
      </w:r>
    </w:p>
  </w:comment>
  <w:comment w:id="251" w:author="Jorge Chamorro" w:initials="JC" w:date="2026-10-03T17:47:03Z">
    <w:p>
      <w:pPr>
        <w:pStyle w:val="CommentText"/>
      </w:pPr>
      <w:r>
        <w:rPr>
          <w:rStyle w:val="CommentReference"/>
        </w:rPr>
        <w:annotationRef/>
      </w:r>
      <w:r>
        <w:t>Ajuste de integración: al unir el Entregable 3 con los anteriores en un solo informe, la referencia al «Entregable 1» se reemplaza por la Tabla 10 (sección 2.1) de este documento.</w:t>
      </w:r>
    </w:p>
  </w:comment>
  <w:comment w:id="252"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3"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4"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sección 3.1 de este documento.</w:t>
      </w:r>
    </w:p>
  </w:comment>
  <w:comment w:id="255" w:author="Jorge Chamorro" w:initials="JC" w:date="2026-10-03T17:47:03Z">
    <w:p>
      <w:pPr>
        <w:pStyle w:val="CommentText"/>
      </w:pPr>
      <w:r>
        <w:rPr>
          <w:rStyle w:val="CommentReference"/>
        </w:rPr>
        <w:annotationRef/>
      </w:r>
      <w:r>
        <w:t>Ajuste de integración: al unir el Entregable 3 con los anteriores en un solo informe, la referencia al «Entregable 2» se reemplaza por la sección 4.4 de este documento.</w:t>
      </w:r>
    </w:p>
  </w:comment>
  <w:comment w:id="256" w:author="Jorge Chamorro" w:initials="JC" w:date="2026-10-03T17:47:03Z">
    <w:p>
      <w:pPr>
        <w:pStyle w:val="CommentText"/>
      </w:pPr>
      <w:r>
        <w:rPr>
          <w:rStyle w:val="CommentReference"/>
        </w:rPr>
        <w:annotationRef/>
      </w:r>
      <w:r>
        <w:t>Ajuste de integración: la entrevista pasa a ser el Anexo A porque el informe unificado no conserva el anexo de observaciones de consistencia del Entregable 2.</w:t>
      </w:r>
    </w:p>
  </w:comment>
  <w:comment w:id="257" w:author="Jorge Chamorro" w:initials="JC" w:date="2026-10-03T17:47:03Z">
    <w:p>
      <w:pPr>
        <w:pStyle w:val="CommentText"/>
      </w:pPr>
      <w:r>
        <w:rPr>
          <w:rStyle w:val="CommentReference"/>
        </w:rPr>
        <w:annotationRef/>
      </w:r>
      <w:r>
        <w:t>Ajuste de integración: la entrevista pasa a ser el Anexo A porque el informe unificado no conserva el anexo de observaciones de consistencia del Entregable 2.</w:t>
      </w:r>
    </w:p>
  </w:comment>
  <w:comment w:id="258"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59"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0"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1"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2"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3"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4"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5"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6"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7"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8"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69"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0"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1" w:author="Jorge Chamorro" w:initials="JC" w:date="2026-10-03T17:47:03Z">
    <w:p>
      <w:pPr>
        <w:pStyle w:val="CommentText"/>
      </w:pPr>
      <w:r>
        <w:rPr>
          <w:rStyle w:val="CommentReference"/>
        </w:rPr>
        <w:annotationRef/>
      </w:r>
      <w:r>
        <w:t>Ajuste de integración: el trabajo se organiza ahora en un solo informe por avances; se reemplaza la alusión a «esta entrega» / «este entregable» por una expresión que tenga referente dentro del documento unificado.</w:t>
      </w:r>
    </w:p>
  </w:comment>
  <w:comment w:id="272" w:author="Jorge Chamorro" w:initials="JC" w:date="2026-10-03T17:47:03Z">
    <w:p>
      <w:pPr>
        <w:pStyle w:val="CommentText"/>
      </w:pPr>
      <w:r>
        <w:rPr>
          <w:rStyle w:val="CommentReference"/>
        </w:rPr>
        <w:annotationRef/>
      </w:r>
      <w:r>
        <w:t>Ajuste de integración: la Tabla 23 (sección 4.3) estima para la propia tasa de originación digital Pyme un ritmo de unos seis puntos por año; se agrega esa comparación para que las dos secciones no parezcan medir el mismo ritmo con cifras distintas.</w:t>
      </w:r>
    </w:p>
  </w:comment>
  <w:comment w:id="273" w:author="Jorge Chamorro" w:initials="JC" w:date="2026-10-03T17:47:03Z">
    <w:p>
      <w:pPr>
        <w:pStyle w:val="CommentText"/>
      </w:pPr>
      <w:r>
        <w:rPr>
          <w:rStyle w:val="CommentReference"/>
        </w:rPr>
        <w:annotationRef/>
      </w:r>
      <w:r>
        <w:t>Corrección ortográfica: la oración empezaba sin la «D» inicial de «Dentro».</w:t>
      </w:r>
    </w:p>
  </w:comment>
  <w:comment w:id="274" w:author="Jorge Chamorro" w:initials="JC" w:date="2026-10-03T17:47:03Z">
    <w:p>
      <w:pPr>
        <w:pStyle w:val="CommentText"/>
      </w:pPr>
      <w:r>
        <w:rPr>
          <w:rStyle w:val="CommentReference"/>
        </w:rPr>
        <w:annotationRef/>
      </w:r>
      <w:r>
        <w:t>Corrección de puntuación: la coma mal ubicada se reemplaza por dos puntos, que introducen los ejemplos de perfiles no contemplados.</w:t>
      </w:r>
    </w:p>
  </w:comment>
  <w:comment w:id="275" w:author="Jorge Chamorro" w:initials="JC" w:date="2026-10-03T17:47:03Z">
    <w:p>
      <w:pPr>
        <w:pStyle w:val="CommentText"/>
      </w:pPr>
      <w:r>
        <w:rPr>
          <w:rStyle w:val="CommentReference"/>
        </w:rPr>
        <w:annotationRef/>
      </w:r>
      <w:r>
        <w:t>Corrección de puntuación: se elimina el espacio previo al punto y coma.</w:t>
      </w:r>
    </w:p>
  </w:comment>
  <w:comment w:id="276" w:author="Jorge Chamorro" w:initials="JC" w:date="2026-10-03T17:47:03Z">
    <w:p>
      <w:pPr>
        <w:pStyle w:val="CommentText"/>
      </w:pPr>
      <w:r>
        <w:rPr>
          <w:rStyle w:val="CommentReference"/>
        </w:rPr>
        <w:annotationRef/>
      </w:r>
      <w:r>
        <w:t>Corrección ortográfica: «preaprobada» se escribe junta, como en el resto del informe.</w:t>
      </w:r>
    </w:p>
  </w:comment>
  <w:comment w:id="277" w:author="Jorge Chamorro" w:initials="JC" w:date="2026-10-03T17:47:03Z">
    <w:p>
      <w:pPr>
        <w:pStyle w:val="CommentText"/>
      </w:pPr>
      <w:r>
        <w:rPr>
          <w:rStyle w:val="CommentReference"/>
        </w:rPr>
        <w:annotationRef/>
      </w:r>
      <w:r>
        <w:t>Corrección ortográfica: «preaprobada» se escribe junta, como en el resto del informe.</w:t>
      </w:r>
    </w:p>
  </w:comment>
  <w:comment w:id="278" w:author="Jorge Chamorro" w:initials="JC" w:date="2026-10-03T17:47:03Z">
    <w:p>
      <w:pPr>
        <w:pStyle w:val="CommentText"/>
      </w:pPr>
      <w:r>
        <w:rPr>
          <w:rStyle w:val="CommentReference"/>
        </w:rPr>
        <w:annotationRef/>
      </w:r>
      <w:r>
        <w:t>Corrección ortográfica: según la RAE, «solo» adverbio no lleva tilde.</w:t>
      </w:r>
    </w:p>
  </w:comment>
  <w:comment w:id="279" w:author="Jorge Chamorro" w:initials="JC" w:date="2026-10-03T17:47:03Z">
    <w:p>
      <w:pPr>
        <w:pStyle w:val="CommentText"/>
      </w:pPr>
      <w:r>
        <w:rPr>
          <w:rStyle w:val="CommentReference"/>
        </w:rPr>
        <w:annotationRef/>
      </w:r>
      <w:r>
        <w:t>Corrección de uniformidad: el informe emplea «setiembre» en todas sus fechas.</w:t>
      </w:r>
    </w:p>
  </w:comment>
  <w:comment w:id="280" w:author="Jorge Chamorro" w:initials="JC" w:date="2026-10-03T17:47:03Z">
    <w:p>
      <w:pPr>
        <w:pStyle w:val="CommentText"/>
      </w:pPr>
      <w:r>
        <w:rPr>
          <w:rStyle w:val="CommentReference"/>
        </w:rPr>
        <w:annotationRef/>
      </w:r>
      <w:r>
        <w:t>Corrección de uniformidad: en las citas parentéticas en español el informe une a los autores con «y» (por ejemplo, Sundararajan y Jeenah, 2025), no con «&amp;».</w:t>
      </w:r>
    </w:p>
  </w:comment>
  <w:comment w:id="281" w:author="Jorge Chamorro" w:initials="JC" w:date="2026-10-03T17:47:03Z">
    <w:p>
      <w:pPr>
        <w:pStyle w:val="CommentText"/>
      </w:pPr>
      <w:r>
        <w:rPr>
          <w:rStyle w:val="CommentReference"/>
        </w:rPr>
        <w:annotationRef/>
      </w:r>
      <w:r>
        <w:t>Ajuste de integración: las hipótesis de iniciativa ya están desarrolladas en la sección 5 de este informe, por lo que la alusión a un «siguiente avance» deja de tener sentido.</w:t>
      </w:r>
    </w:p>
  </w:comment>
  <w:comment w:id="282" w:author="Jorge Chamorro" w:initials="JC" w:date="2026-10-03T17:47:03Z">
    <w:p>
      <w:pPr>
        <w:pStyle w:val="CommentText"/>
      </w:pPr>
      <w:r>
        <w:rPr>
          <w:rStyle w:val="CommentReference"/>
        </w:rPr>
        <w:annotationRef/>
      </w:r>
      <w:r>
        <w:t>Corrección tipográfica: se elimina el espacio doble entre oraciones.</w:t>
      </w:r>
    </w:p>
  </w:comment>
  <w:comment w:id="283" w:author="Jorge Chamorro" w:initials="JC" w:date="2026-10-03T17:47:03Z">
    <w:p>
      <w:pPr>
        <w:pStyle w:val="CommentText"/>
      </w:pPr>
      <w:r>
        <w:rPr>
          <w:rStyle w:val="CommentReference"/>
        </w:rPr>
        <w:annotationRef/>
      </w:r>
      <w:r>
        <w:t>Corrección tipográfica: se elimina el espacio doble entre oraciones.</w:t>
      </w:r>
    </w:p>
  </w:comment>
  <w:comment w:id="284" w:author="Jorge Chamorro" w:initials="JC" w:date="2026-10-03T17:47:03Z">
    <w:p>
      <w:pPr>
        <w:pStyle w:val="CommentText"/>
      </w:pPr>
      <w:r>
        <w:rPr>
          <w:rStyle w:val="CommentReference"/>
        </w:rPr>
        <w:annotationRef/>
      </w:r>
      <w:r>
        <w:t>Corrección tipográfica: se elimina el espacio doble entre oraciones.</w:t>
      </w:r>
    </w:p>
  </w:comment>
  <w:comment w:id="285" w:author="Jorge Chamorro" w:initials="JC" w:date="2026-10-03T17:47:03Z">
    <w:p>
      <w:pPr>
        <w:pStyle w:val="CommentText"/>
      </w:pPr>
      <w:r>
        <w:rPr>
          <w:rStyle w:val="CommentReference"/>
        </w:rPr>
        <w:annotationRef/>
      </w:r>
      <w:r>
        <w:t>Corrección tipográfica: se elimina el espacio doble entre oraciones.</w:t>
      </w:r>
    </w:p>
  </w:comment>
  <w:comment w:id="286" w:author="Jorge Chamorro" w:initials="JC" w:date="2026-10-03T17:47:03Z">
    <w:p>
      <w:pPr>
        <w:pStyle w:val="CommentText"/>
      </w:pPr>
      <w:r>
        <w:rPr>
          <w:rStyle w:val="CommentReference"/>
        </w:rPr>
        <w:annotationRef/>
      </w:r>
      <w:r>
        <w:t>Corrección tipográfica: se elimina el espacio doble entre oraciones.</w:t>
      </w:r>
    </w:p>
  </w:comment>
  <w:comment w:id="287" w:author="Jorge Chamorro" w:initials="JC" w:date="2026-10-03T17:47: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88" w:author="Jorge Chamorro" w:initials="JC" w:date="2026-10-03T17:47: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89" w:author="Jorge Chamorro" w:initials="JC" w:date="2026-10-03T17:47: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 La letra b distingue esta norma de la Resolución SBS N.º 00814-2025, también de 2025.</w:t>
      </w:r>
    </w:p>
  </w:comment>
  <w:comment w:id="290" w:author="Jorge Chamorro" w:initials="JC" w:date="2026-10-03T17:47:03Z">
    <w:p>
      <w:pPr>
        <w:pStyle w:val="CommentText"/>
      </w:pPr>
      <w:r>
        <w:rPr>
          <w:rStyle w:val="CommentReference"/>
        </w:rPr>
        <w:annotationRef/>
      </w:r>
      <w:r>
        <w:t>Ajuste de integración: el informe cita las normas de la SBS con la SBS como autor institucional (por ejemplo, SBS, 2021); se aplica el mismo criterio a esta resolución, que el Entregable 3 citaba con el título como autor.</w:t>
      </w:r>
    </w:p>
  </w:comment>
  <w:comment w:id="291" w:author="Jorge Chamorro" w:initials="JC" w:date="2026-10-03T17:47:03Z">
    <w:p>
      <w:pPr>
        <w:pStyle w:val="CommentText"/>
      </w:pPr>
      <w:r>
        <w:rPr>
          <w:rStyle w:val="CommentReference"/>
        </w:rPr>
        <w:annotationRef/>
      </w:r>
      <w:r>
        <w:t>Ajuste de integración: el informe incorpora otra resolución de la SBS de 2025 (la N.º 00908-2025), por lo que esta entrada pasa a 2025a para distinguir ambas obras.</w:t>
      </w:r>
    </w:p>
  </w:comment>
  <w:comment w:id="292" w:author="Jorge Chamorro" w:initials="JC" w:date="2026-10-03T17:47:03Z">
    <w:p>
      <w:pPr>
        <w:pStyle w:val="CommentText"/>
      </w:pPr>
      <w:r>
        <w:rPr>
          <w:rStyle w:val="CommentReference"/>
        </w:rPr>
        <w:annotationRef/>
      </w:r>
      <w:r>
        <w:t>Ajuste de integración: al existir dos obras de la SBS de 2025 en la lista de referencias (N.º 00814-2025 y N.º 00908-2025), la cita a la primera lleva la letra a.</w:t>
      </w:r>
    </w:p>
  </w:comment>
  <w:comment w:id="293"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4"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5"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6"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7"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8"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299"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0"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1"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2"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3"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4"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5"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6" w:author="Jorge Chamorro" w:initials="JC" w:date="2026-10-03T17:47:03Z">
    <w:p>
      <w:pPr>
        <w:pStyle w:val="CommentText"/>
      </w:pPr>
      <w:r>
        <w:rPr>
          <w:rStyle w:val="CommentReference"/>
        </w:rPr>
        <w:annotationRef/>
      </w:r>
      <w:r>
        <w:t>Corrección tipográfica: se usa el indicador ordinal «º» (N.º), igual que en el resto del informe, en lugar del signo de grado «°».</w:t>
      </w:r>
    </w:p>
  </w:comment>
  <w:comment w:id="307" w:author="Jorge Chamorro" w:initials="JC" w:date="2026-10-03T17:47:03Z">
    <w:p>
      <w:pPr>
        <w:pStyle w:val="CommentText"/>
      </w:pPr>
      <w:r>
        <w:rPr>
          <w:rStyle w:val="CommentReference"/>
        </w:rPr>
        <w:annotationRef/>
      </w:r>
      <w:r>
        <w:t>Ajuste de integración: se retiraron de la lista las entradas s. f.-l y s. f.-m porque no se citaban en el texto; para que las letras de «Banco BBVA Perú (s. f.)» sean consecutivas, la entrada s. f.-n pasa a s. f.-l.</w:t>
      </w:r>
    </w:p>
  </w:comment>
  <w:comment w:id="308" w:author="Jorge Chamorro" w:initials="JC" w:date="2026-10-03T17:47:03Z">
    <w:p>
      <w:pPr>
        <w:pStyle w:val="CommentText"/>
      </w:pPr>
      <w:r>
        <w:rPr>
          <w:rStyle w:val="CommentReference"/>
        </w:rPr>
        <w:annotationRef/>
      </w:r>
      <w:r>
        <w:t>Ajuste de integración: se retiraron de la lista las entradas s. f.-l y s. f.-m porque no se citaban en el texto; para que las letras de «Banco BBVA Perú (s. f.)» sean consecutivas, la entrada s. f.-n pasa a s. f.-l.</w:t>
      </w:r>
    </w:p>
  </w:comment>
  <w:comment w:id="309" w:author="Jorge Chamorro" w:initials="JC" w:date="2026-10-03T17:47:03Z">
    <w:p>
      <w:pPr>
        <w:pStyle w:val="CommentText"/>
      </w:pPr>
      <w:r>
        <w:rPr>
          <w:rStyle w:val="CommentReference"/>
        </w:rPr>
        <w:annotationRef/>
      </w:r>
      <w:r>
        <w:t>Ajuste de integración: se retiraron de la lista las entradas s. f.-l y s. f.-m porque no se citaban en el texto; para que las letras de «Banco BBVA Perú (s. f.)» sean consecutivas, la entrada s. f.-o pasa a s. f.-m.</w:t>
      </w:r>
    </w:p>
  </w:comment>
  <w:comment w:id="310" w:author="Jorge Chamorro" w:initials="JC" w:date="2026-10-03T17:47:03Z">
    <w:p>
      <w:pPr>
        <w:pStyle w:val="CommentText"/>
      </w:pPr>
      <w:r>
        <w:rPr>
          <w:rStyle w:val="CommentReference"/>
        </w:rPr>
        <w:annotationRef/>
      </w:r>
      <w:r>
        <w:t>Ajuste de integración: se retiraron de la lista las entradas s. f.-l y s. f.-m porque no se citaban en el texto; para que las letras de «Banco BBVA Perú (s. f.)» sean consecutivas, la entrada s. f.-o pasa a s. f.-m.</w:t>
      </w:r>
    </w:p>
  </w:comment>
  <w:comment w:id="311" w:author="Jorge Chamorro" w:initials="JC" w:date="2026-10-03T17:47:03Z">
    <w:p>
      <w:pPr>
        <w:pStyle w:val="CommentText"/>
      </w:pPr>
      <w:r>
        <w:rPr>
          <w:rStyle w:val="CommentReference"/>
        </w:rPr>
        <w:annotationRef/>
      </w:r>
      <w:r>
        <w:t>Ajuste de integración: inicio del contenido del Entregable 3 (secciones 5 y 6 del enunciado), incorporado sin las correcciones del docente. Se retiraron su portada y la «Nota sobre la numeración», que explicaba cómo reanudar la numeración de secciones y tablas; en el informe unificado la numeración es automática y continua con las secciones 1 a 4.</w:t>
      </w:r>
    </w:p>
  </w:comment>
  <w:comment w:id="312" w:author="Jorge Chamorro" w:initials="JC" w:date="2026-10-03T17:47:03Z">
    <w:p>
      <w:pPr>
        <w:pStyle w:val="CommentText"/>
      </w:pPr>
      <w:r>
        <w:rPr>
          <w:rStyle w:val="CommentReference"/>
        </w:rPr>
        <w:annotationRef/>
      </w:r>
      <w:r>
        <w:t>Ajuste de integración: esta sección corresponde a la parte VI del enunciado y reutiliza la evidencia de las secciones 3 y 4 (mapas de las secciones 3.3 a 3.5 y Tablas 23 a 25).</w:t>
      </w:r>
    </w:p>
  </w:comment>
  <w:comment w:id="313" w:author="Jorge Chamorro" w:initials="JC" w:date="2026-10-03T17:47:03Z">
    <w:p>
      <w:pPr>
        <w:pStyle w:val="CommentText"/>
      </w:pPr>
      <w:r>
        <w:rPr>
          <w:rStyle w:val="CommentReference"/>
        </w:rPr>
        <w:annotationRef/>
      </w:r>
      <w:r>
        <w:t>Ajuste de integración: se añade este párrafo y la Figura 3 porque el enunciado exige incluir gráficas y sustento de resultados, y el documento solo contaba con dos figuras (ambas en la sección 1). La figura muestra únicamente cifras ya consignadas en la sección 5.3 (11.29 y 8.02 días en el 2T2026; 26.37 y 20.36 en julio-agosto de 2026; razones de 1.41 y 1.30), sin datos nuevos.</w:t>
      </w:r>
    </w:p>
  </w:comment>
  <w:comment w:id="314" w:author="Jorge Chamorro" w:initials="JC" w:date="2026-10-03T17:47:03Z">
    <w:p>
      <w:pPr>
        <w:pStyle w:val="CommentText"/>
      </w:pPr>
      <w:r>
        <w:rPr>
          <w:rStyle w:val="CommentReference"/>
        </w:rPr>
        <w:annotationRef/>
      </w:r>
      <w:r>
        <w:t>Ajuste de integración: se añade este párrafo y la Figura 4 porque el enunciado exige incluir gráficas y sustento de resultados. Las cifras de la figura derivan de metas y líneas base ya declaradas en las Tablas 23 y 25 y en la sección 5.2: 18.0 = (60 − 33) ÷ 1.5; 14.7 = (55 − 33) ÷ 1.5; 6.0 = 3 puntos del semestre (30 % a 33 %) × 2; −4.0 = −2 puntos del semestre (35 % a 33 %) × 2; 10.0 es el ritmo de 18 % a 28 % entre 2024 y 2025 que se cita en la sección 5.2. La anualización es un cálculo propio.</w:t>
      </w:r>
    </w:p>
  </w:comment>
  <w:comment w:id="315" w:author="Jorge Chamorro" w:initials="JC" w:date="2026-10-03T17:47:03Z">
    <w:p>
      <w:pPr>
        <w:pStyle w:val="CommentText"/>
      </w:pPr>
      <w:r>
        <w:rPr>
          <w:rStyle w:val="CommentReference"/>
        </w:rPr>
        <w:annotationRef/>
      </w:r>
      <w:r>
        <w:t>Ajuste de integración: numeración continua de figuras: las Figuras 1 y 2 están en la sección 1 y esta es la tercera del informe.</w:t>
      </w:r>
    </w:p>
  </w:comment>
  <w:comment w:id="316" w:author="Jorge Chamorro" w:initials="JC" w:date="2026-10-03T17:47:03Z">
    <w:p>
      <w:pPr>
        <w:pStyle w:val="CommentText"/>
      </w:pPr>
      <w:r>
        <w:rPr>
          <w:rStyle w:val="CommentReference"/>
        </w:rPr>
        <w:annotationRef/>
      </w:r>
      <w:r>
        <w:t>Ajuste de integración: numeración continua de figuras: esta es la cuarta figura del informe.</w:t>
      </w:r>
    </w:p>
  </w:comment>
  <w:comment w:id="317" w:author="Jorge Chamorro" w:initials="JC" w:date="2026-10-03T17:47:03Z">
    <w:p>
      <w:pPr>
        <w:pStyle w:val="CommentText"/>
      </w:pPr>
      <w:r>
        <w:rPr>
          <w:rStyle w:val="CommentReference"/>
        </w:rPr>
        <w:annotationRef/>
      </w:r>
      <w:r>
        <w:t>Ajuste de integración: se incorporan las fuentes del Entregable 3 a la lista única (orden alfabético, APA 7). Se eliminaron las entradas repetidas (Alarcón 2023, Andina 2025, Melo 2026, Reusche 2026, SBS 2022, Banco BBVA Perú s. f.-b, s. f.-c, 2025, 2026a a 2026e, BBVA 2026b, y s. f.-k, 2026f y 2026g, que el Entregable 3 listaba dos veces), se retiraron s. f.-l y s. f.-m porque no se citaban en el texto y se suprimió la «Nota sobre las referencias», que explicaba la duplicación entre entregables. La comunicación personal con A. Moquillaza no figura en la lista, conforme a APA 7; consta en el Anexo 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3" w15:done="0"/>
  <w15:commentEx w15:paraId="00000294" w15:done="0"/>
  <w15:commentEx w15:paraId="00000295" w15:done="0"/>
  <w15:commentEx w15:paraId="00000296" w15:done="0"/>
  <w15:commentEx w15:paraId="00000297" w15:done="0"/>
  <w15:commentEx w15:paraId="00000298" w15:done="0"/>
  <w15:commentEx w15:paraId="00000299" w15:done="0"/>
  <w15:commentEx w15:paraId="0000029A" w15:done="0"/>
  <w15:commentEx w15:paraId="0000029B" w15:done="0"/>
  <w15:commentEx w15:paraId="0000029C" w15:done="0"/>
  <w15:commentEx w15:paraId="0000029D" w15:done="0"/>
  <w15:commentEx w15:paraId="39735A1C" w15:done="0"/>
  <w15:commentEx w15:paraId="234F069B" w15:done="0"/>
  <w15:commentEx w15:paraId="4289938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4T01:36:3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93"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66.9291338582675" w:hanging="359.99999999999994"/>
      </w:pPr>
      <w:rPr>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bva.com/en/innovation/bbva-completes-its-global-move-to-the-cloud-with-a-single-data-and-artificial-intelligence-platform/" TargetMode="External"/><Relationship Id="rId22" Type="http://schemas.openxmlformats.org/officeDocument/2006/relationships/hyperlink" Target="https://www.bbva.pe/personas.html" TargetMode="External"/><Relationship Id="rId21" Type="http://schemas.openxmlformats.org/officeDocument/2006/relationships/hyperlink" Target="https://www.bbva.pe/personas.html" TargetMode="External"/><Relationship Id="rId24" Type="http://schemas.openxmlformats.org/officeDocument/2006/relationships/hyperlink" Target="https://www.wiley.com/en-us/Business%2BModel%2BGeneration%3A%2BA%2BHandbook%2Bfor%2BVisionaries%2C%2BGame%2BChangers%2C%2Band%2BChallengers-p-9780470876411" TargetMode="External"/><Relationship Id="rId23" Type="http://schemas.openxmlformats.org/officeDocument/2006/relationships/hyperlink" Target="https://www.wiley.com/en-us/Business%2BModel%2BGeneration%3A%2BA%2BHandbook%2Bfor%2BVisionaries%2C%2BGame%2BChangers%2C%2Band%2BChallengers-p-978047087641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intranet2.sbs.gob.pe/dv_int_cn/2046/v2.0/Adjuntos/504-2021.R.pdf" TargetMode="External"/><Relationship Id="rId25" Type="http://schemas.openxmlformats.org/officeDocument/2006/relationships/hyperlink" Target="https://intranet2.sbs.gob.pe/dv_int_cn/2046/v2.0/Adjuntos/504-2021.R.pdf" TargetMode="External"/><Relationship Id="rId28" Type="http://schemas.openxmlformats.org/officeDocument/2006/relationships/hyperlink" Target="https://intranet2.sbs.gob.pe/dv_int_cn/1894/v1.0/Adjuntos/877-2020.R.pdf" TargetMode="External"/><Relationship Id="rId27" Type="http://schemas.openxmlformats.org/officeDocument/2006/relationships/hyperlink" Target="https://intranet2.sbs.gob.pe/dv_int_cn/1894/v1.0/Adjuntos/877-2020.R.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vlex.com.pe/vid/resolucion-sbs-n-00814-1073736902" TargetMode="External"/><Relationship Id="rId7" Type="http://schemas.microsoft.com/office/2011/relationships/commentsExtended" Target="commentsExtended.xml"/><Relationship Id="rId8" Type="http://schemas.microsoft.com/office/2018/08/relationships/commentsExtensible" Target="commentsExtensible.xml"/><Relationship Id="rId30" Type="http://schemas.openxmlformats.org/officeDocument/2006/relationships/hyperlink" Target="https://vlex.com.pe/vid/resolucion-sbs-n-00814-1073736902" TargetMode="Externa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www.bbva.pe/content/dam/public-web/peru/documents/prefooter/informacion-financiera/informacion-anual/2026/informe-de-gestion-2T2026.pdf" TargetMode="External"/><Relationship Id="rId12" Type="http://schemas.openxmlformats.org/officeDocument/2006/relationships/image" Target="media/image2.png"/><Relationship Id="rId15" Type="http://schemas.openxmlformats.org/officeDocument/2006/relationships/hyperlink" Target="https://www.bbva.pe/content/dam/public-web/peru/documents/personas/investor-relations/vii-Memoria-Anual-2025.pdf" TargetMode="External"/><Relationship Id="rId14" Type="http://schemas.openxmlformats.org/officeDocument/2006/relationships/hyperlink" Target="https://www.bbva.pe/content/dam/public-web/peru/documents/prefooter/informacion-financiera/informacion-anual/2026/informe-de-gestion-2T2026.pdf" TargetMode="External"/><Relationship Id="rId17" Type="http://schemas.openxmlformats.org/officeDocument/2006/relationships/hyperlink" Target="https://accionistaseinversores.bbva.com/grupo-bbva/estrategia-la-transformacion-en-bbva/prioridades-estrategicas/" TargetMode="External"/><Relationship Id="rId16" Type="http://schemas.openxmlformats.org/officeDocument/2006/relationships/hyperlink" Target="https://www.bbva.pe/content/dam/public-web/peru/documents/personas/investor-relations/vii-Memoria-Anual-2025.pdf" TargetMode="External"/><Relationship Id="rId19" Type="http://schemas.openxmlformats.org/officeDocument/2006/relationships/hyperlink" Target="https://www.bbva.com/en/innovation/bbva-completes-its-global-move-to-the-cloud-with-a-single-data-and-artificial-intelligence-platform/" TargetMode="External"/><Relationship Id="rId18" Type="http://schemas.openxmlformats.org/officeDocument/2006/relationships/hyperlink" Target="https://accionistaseinversores.bbva.com/grupo-bbva/estrategia-la-transformacion-en-bbva/prioridades-estrategicas/" TargetMode="External"/><Relationship Id="rIdM1001" Type="http://schemas.openxmlformats.org/officeDocument/2006/relationships/hyperlink" Target="https://www.bbva.pe/content/dam/public-web/peru/documents/personas/Informacion_de_Reclamos_atendidos_Junio2026.pdf" TargetMode="External"/><Relationship Id="rIdM1002" Type="http://schemas.openxmlformats.org/officeDocument/2006/relationships/hyperlink" Target="https://www.bbva.com/en/innovation/bbva-completes-its-global-move-to-the-cloud-with-a-single-data-and-artificial-intelligence-platform/" TargetMode="External"/><Relationship Id="rIdM1003" Type="http://schemas.openxmlformats.org/officeDocument/2006/relationships/hyperlink" Target="https://accionistaseinversores.bbva.com/grupo-bbva/estrategia-la-transformacion-en-bbva/prioridades-estrategicas/" TargetMode="External"/><Relationship Id="rIdM1004" Type="http://schemas.openxmlformats.org/officeDocument/2006/relationships/hyperlink" Target="https://doi.org/10.2307/41166446" TargetMode="External"/><Relationship Id="rIdM1005" Type="http://schemas.openxmlformats.org/officeDocument/2006/relationships/hyperlink" Target="https://www.bbva.com/es/pe/empresas/la-app-bbva-empresas-2-0-crece-141-y-acelera-la-digitalizacion-de-las-pymes/" TargetMode="External"/><Relationship Id="rIdM1006" Type="http://schemas.openxmlformats.org/officeDocument/2006/relationships/hyperlink" Target="https://www.gob.pe/institucion/indecopi/noticias/1396052-indecopi-sanciona-a-dos-bancos-y-un-restaurante-en-chimbote-por-consumos-no-reconocidos" TargetMode="External"/><Relationship Id="rIdM1007" Type="http://schemas.openxmlformats.org/officeDocument/2006/relationships/hyperlink" Target="https://www.elperuano.pe/noticia/221705-indecopi-impone-1284-sanciones-a-bancos-por-operaciones-no-reconocidas-por-clientes" TargetMode="External"/><Relationship Id="rIdM1008" Type="http://schemas.openxmlformats.org/officeDocument/2006/relationships/hyperlink" Target="https://www.infobae.com/peru/2026/03/24/solo-1-de-cada-4-mypes-accede-a-credito-y-paga-mas-por-falta-de-informacion-financiera/" TargetMode="External"/><Relationship Id="rIdM1009" Type="http://schemas.openxmlformats.org/officeDocument/2006/relationships/hyperlink" Target="https://doi.org/10.1509/jm.15.0420" TargetMode="External"/><Relationship Id="rIdM1010" Type="http://schemas.openxmlformats.org/officeDocument/2006/relationships/hyperlink" Target="https://www.bbva.com/es/pe/empresas/bbva-en-peru-alcanza-una-facturacion-trimestral-historica-en-el-segmento-pymes-con-48-de-crecimiento-versus-2025/" TargetMode="External"/><Relationship Id="rIdM1011" Type="http://schemas.openxmlformats.org/officeDocument/2006/relationships/hyperlink" Target="https://intranet2.sbs.gob.pe/dv_int_cn/2230/v1.0/Adjuntos/4036-2022.r.pdf" TargetMode="External"/><Relationship Id="rIdM1012" Type="http://schemas.openxmlformats.org/officeDocument/2006/relationships/hyperlink" Target="https://www.infobae.com/peru/2026/06/03/sbs-utilidad-del-sistema-financiero-alcanza-los-s17934-millones-y-la-morosidad-vuelve-a-niveles-prepandemia/" TargetMode="External"/><Relationship Id="rIdM1013" Type="http://schemas.openxmlformats.org/officeDocument/2006/relationships/hyperlink" Target="https://andina.pe/agencia/noticia-indecopi-sistema-financiero-concentra-90-sanciones-operaciones-no-reconocidas-1026373.aspx" TargetMode="External"/><Relationship Id="rIdM1014" Type="http://schemas.openxmlformats.org/officeDocument/2006/relationships/hyperlink" Target="https://ojo-publico.com/4559/las-millonarias-multas-los-bancos-por-consumos-no-reconocidos" TargetMode="External"/><Relationship Id="rIdM1015" Type="http://schemas.openxmlformats.org/officeDocument/2006/relationships/hyperlink" Target="https://intranet2.sbs.gob.pe/dv_int_cn/2230/v1.0/Adjuntos/4036-2022.r.pdf" TargetMode="External"/><Relationship Id="rIdM1016" Type="http://schemas.openxmlformats.org/officeDocument/2006/relationships/hyperlink" Target="https://www.bbva.pe/pymes/productos/financiamiento/fast-cash.html" TargetMode="External"/><Relationship Id="rIdM1017" Type="http://schemas.openxmlformats.org/officeDocument/2006/relationships/hyperlink" Target="https://www.bbva.pe/personas/productos/cuentas/ahorro.html" TargetMode="External"/><Relationship Id="rIdM1018" Type="http://schemas.openxmlformats.org/officeDocument/2006/relationships/hyperlink" Target="https://www.bbva.pe/content/dam/public-web/peru/documents/personas/investor-relations/BBVA_Peru_Informe_de_Gestion_4Q25.pdf" TargetMode="External"/><Relationship Id="rIdM1019" Type="http://schemas.openxmlformats.org/officeDocument/2006/relationships/hyperlink" Target="https://www.bbva.pe/pymes/productos/financiamiento/prestamo-digital-negocio.html" TargetMode="External"/><Relationship Id="rIdM1020" Type="http://schemas.openxmlformats.org/officeDocument/2006/relationships/hyperlink" Target="https://www.bbva.pe/content/dam/public-web/peru/documents/personas/investor-relations/vii-Memoria-Anual-2025.pdf" TargetMode="External"/><Relationship Id="rIdM1021" Type="http://schemas.openxmlformats.org/officeDocument/2006/relationships/hyperlink" Target="https://www.bbva.pe/content/dam/public-web/peru/documents/prefooter/informacion-financiera/informacion-anual/2026/informe-de-gestion-2T2026.pdf" TargetMode="External"/><Relationship Id="rIdM1022" Type="http://schemas.openxmlformats.org/officeDocument/2006/relationships/hyperlink" Target="https://www.bbva.pe/content/dam/public-web/peru/documents/personas/Informacion_de_Reclamos_Atendidos_Mayo_2026.pdf" TargetMode="External"/><Relationship Id="rIdM1023" Type="http://schemas.openxmlformats.org/officeDocument/2006/relationships/hyperlink" Target="https://www.bbva.pe/content/dam/public-web/peru/documents/personas/informacion-reclamos-atendidos-abril-2026.pdf" TargetMode="External"/><Relationship Id="rIdM1024" Type="http://schemas.openxmlformats.org/officeDocument/2006/relationships/hyperlink" Target="https://www.bbva.com/es/pe/empresas/el-sector-de-las-pymes-sigue-creciendo-y-fortaleciendo-la-economia-peruana/" TargetMode="External"/><Relationship Id="rIdMFooter" Type="http://schemas.openxmlformats.org/officeDocument/2006/relationships/footer" Target="footer1.xml"/><Relationship Id="rIdM2001" Type="http://schemas.openxmlformats.org/officeDocument/2006/relationships/hyperlink" Target="https://www.bolsamania.com/noticias/mercados/economia--revolut-lanza-air-en-espana-su-nuevo-asistente-de-inteligencia-artificial-para-gestionar-las-finanzas--23442762.html" TargetMode="External"/><Relationship Id="rIdM2002" Type="http://schemas.openxmlformats.org/officeDocument/2006/relationships/hyperlink" Target="https://www.kore.ai/blog/ai-agents-in-finance-banking-12-proven-use-cases-2026" TargetMode="External"/><Relationship Id="rIdM2003" Type="http://schemas.openxmlformats.org/officeDocument/2006/relationships/hyperlink" Target="https://interbank.pe/tarjetas/tarjeta-digital/tarjeta-digital" TargetMode="External"/><Relationship Id="rIdM2004" Type="http://schemas.openxmlformats.org/officeDocument/2006/relationships/hyperlink" Target="https://www.infobae.com/peru/2026/03/24/solo-1-de-cada-4-mypes-accede-a-credito-y-paga-mas-por-falta-de-informacion-financiera/" TargetMode="External"/><Relationship Id="rIdM2005" Type="http://schemas.openxmlformats.org/officeDocument/2006/relationships/hyperlink" Target="https://www.bbva.com/es/pe/innovacion/blue-buddy-la-ia-generativa-que-mejora-la-atencion-en-oficinas-bancarias/" TargetMode="External"/><Relationship Id="rIdM2006" Type="http://schemas.openxmlformats.org/officeDocument/2006/relationships/hyperlink" Target="https://www.bbva.com/en/innovation/generative-ai-customer-service-smes-and-fraud-detection-stood-out-at-the-bbva-bot-talent-competition/" TargetMode="External"/><Relationship Id="rIdM2007" Type="http://schemas.openxmlformats.org/officeDocument/2006/relationships/hyperlink" Target="https://elcomercio.pe/tecnologia/inteligencia-artificial/la-inteligencia-artificial-llega-al-call-center-como-responde-el-voicebot-bancario-y-que-sera-capaz-de-hacer-ia-bancos-sistema-financiero-atencion-al-cliente-noticia/" TargetMode="External"/><Relationship Id="rIdM2008" Type="http://schemas.openxmlformats.org/officeDocument/2006/relationships/hyperlink" Target="https://gestion.pe/economia/empresas/habra-mas-control-a-creditos-bancarios-que-se-otorguen-con-ia-que-ganaran-clientes-noticia/" TargetMode="External"/><Relationship Id="rIdM2009" Type="http://schemas.openxmlformats.org/officeDocument/2006/relationships/hyperlink" Target="https://pressperu.com/2026/07/23/mibanco-lleva-la-ia-agentica-de-aws-a-whatsapp-para-transformar-el-acceso-a-las-microfinanzas-en-peru/" TargetMode="External"/><Relationship Id="rIdM2010" Type="http://schemas.openxmlformats.org/officeDocument/2006/relationships/hyperlink" Target="https://busquedas.elperuano.pe/dispositivo/NL/2494159-1" TargetMode="External"/><Relationship Id="rIdM2011" Type="http://schemas.openxmlformats.org/officeDocument/2006/relationships/hyperlink" Target="https://www.bbva.pe/content/dam/public-web/peru/documents/personas/Informacion_de_Reclamos_Atendidos_Julio_2026.pdf" TargetMode="External"/><Relationship Id="rIdM2012" Type="http://schemas.openxmlformats.org/officeDocument/2006/relationships/hyperlink" Target="https://www.bbva.pe/content/dam/public-web/peru/documents/personas/Informacion_de_Reclamos_atendidos_Junio2026.pdf" TargetMode="External"/><Relationship Id="rIdM2013" Type="http://schemas.openxmlformats.org/officeDocument/2006/relationships/hyperlink" Target="https://www.bbva.com/es/pe/innovacion/las-ventajas-que-ofrecen-los-canales-digitales-para-bbva-y-sus-clientes/" TargetMode="External"/><Relationship Id="rIdM2014" Type="http://schemas.openxmlformats.org/officeDocument/2006/relationships/hyperlink" Target="https://www.bbva.pe/content/dam/public-web/peru/documents/personas/Informacion_de_Reclamos_Atendidos_Agosto2026.pdf" TargetMode="External"/><Relationship Id="rIdM2015" Type="http://schemas.openxmlformats.org/officeDocument/2006/relationships/hyperlink" Target="https://www.bbva.com/es/pe/empresas/la-app-bbva-empresas-2-0-crece-141-y-acelera-la-digitalizacion-de-las-pymes/" TargetMode="External"/><Relationship Id="rIdM2016" Type="http://schemas.openxmlformats.org/officeDocument/2006/relationships/hyperlink" Target="https://www.bbva.com/es/innovacion/bbva-impulsa-the-eight-su-estrategia-para-transformar-la-experiencia-financiera-con-ia/" TargetMode="External"/><Relationship Id="rIdM2017" Type="http://schemas.openxmlformats.org/officeDocument/2006/relationships/hyperlink" Target="https://www.bbva.com/es/mx/economia-y-finanzas/bbva-mexico-lanzo-estrategia-de-financiamiento-digital-para-1-1-millones-de-pymes-por-hasta-14-mdp/" TargetMode="External"/><Relationship Id="rIdM2018" Type="http://schemas.openxmlformats.org/officeDocument/2006/relationships/hyperlink" Target="https://accionistaseinversores.bbva.com/wp-content/uploads/2026/02/NP-Resultados-BBVA-4T2025_esp.pdf" TargetMode="External"/><Relationship Id="rIdM2019" Type="http://schemas.openxmlformats.org/officeDocument/2006/relationships/hyperlink" Target="https://busquedas.elperuano.pe/dispositivo/NL/2436426-1" TargetMode="External"/><Relationship Id="rIdM2020" Type="http://schemas.openxmlformats.org/officeDocument/2006/relationships/hyperlink" Target="https://www.blueoceanstrategy.com/tools/errc-grid/" TargetMode="External"/><Relationship Id="rIdM2021" Type="http://schemas.openxmlformats.org/officeDocument/2006/relationships/hyperlink" Target="https://www.bbva.pe/empresas/productos/financiamiento/prestamos-comerciales/mi-oficina.html" TargetMode="External"/><Relationship Id="rIdM2022" Type="http://schemas.openxmlformats.org/officeDocument/2006/relationships/hyperlink" Target="https://www.bbva.pe/empresas/productos/financiamiento/prestamos-comerciales/mediano-plazo.html" TargetMode="External"/><Relationship Id="rIdM2023" Type="http://schemas.openxmlformats.org/officeDocument/2006/relationships/hyperlink" Target="https://www.bbva.pe/personas/productos/cuentas/ahorro/cuenta-digital/abrir-cuenta-app.html" TargetMode="External"/><Relationship Id="rIdM2024" Type="http://schemas.openxmlformats.org/officeDocument/2006/relationships/hyperlink" Target="https://www.bbva.pe/content/dam/public-web/peru/documents/personas/Informacion_de_Reclamos_Atendidos_Julio_2026.pdf" TargetMode="External"/><Relationship Id="rIdM2025" Type="http://schemas.openxmlformats.org/officeDocument/2006/relationships/hyperlink" Target="https://www.bbva.pe/empresas/productos/financiamiento/prestamos-comerciales/mi-oficina.html" TargetMode="External"/><Relationship Id="rIdM2026" Type="http://schemas.openxmlformats.org/officeDocument/2006/relationships/hyperlink" Target="https://www.bbva.pe/empresas/productos/financiamiento/prestamos-comerciales/linea-negocios.html" TargetMode="External"/><Relationship Id="rIdM2027" Type="http://schemas.openxmlformats.org/officeDocument/2006/relationships/hyperlink" Target="https://www.bbva.pe/content/dam/public-web/peru/documents/personas/Informacion_de_Reclamos_Atendidos_Agosto2026.pdf" TargetMode="External"/><Relationship Id="rIdM2028" Type="http://schemas.openxmlformats.org/officeDocument/2006/relationships/hyperlink" Target="https://www.bbva.pe/personas/productos/cuentas/ahorro/preguntas-frecuentes-sobre-cuentas-de-ahorro.html" TargetMode="External"/><Relationship Id="rIdM2029" Type="http://schemas.openxmlformats.org/officeDocument/2006/relationships/hyperlink" Target="https://www.bbva.pe/content/dam/public-web/peru/documents/personas/Informacion_de_Reclamos_Atendidos_Julio_2026.pdf" TargetMode="External"/><Relationship Id="rIdM2030" Type="http://schemas.openxmlformats.org/officeDocument/2006/relationships/hyperlink" Target="https://www.bbva.pe/blog/mis-finanzas/ahorro/abrir-cuenta-joven-bbva-peru.html" TargetMode="External"/><Relationship Id="rIdM2031" Type="http://schemas.openxmlformats.org/officeDocument/2006/relationships/hyperlink" Target="https://www.bbva.pe/blog/mis-finanzas/ahorro/cuentas-bancarias-para-ciudadanos-extranjeros.html" TargetMode="External"/><Relationship Id="rIdM2032" Type="http://schemas.openxmlformats.org/officeDocument/2006/relationships/hyperlink" Target="https://www.bbva.pe/content/dam/public-web/peru/documents/personas/Informacion_de_Reclamos_Atendidos_Agosto2026.pdf" TargetMode="External"/><Relationship Id="rIdM2033" Type="http://schemas.openxmlformats.org/officeDocument/2006/relationships/hyperlink" Target="https://www.bbva.pe/empresas/productos/financiamiento/prestamos-comerciales/mediano-plazo.html" TargetMode="External"/><Relationship Id="rIdM2034" Type="http://schemas.openxmlformats.org/officeDocument/2006/relationships/hyperlink" Target="https://www.bbva.pe/content/dam/public-web/peru/documents/prefooter/informacion-financiera/informacion-anual/2026/informe-de-gestion-2T2026.pdf" TargetMode="External"/><Relationship Id="rIdM2035" Type="http://schemas.openxmlformats.org/officeDocument/2006/relationships/hyperlink" Target="https://www.bbva.pe/content/dam/public-web/peru/documents/personas/investor-relations/BBVA_Peru_Informe_de_Gestion_4Q25.pdf" TargetMode="External"/><Relationship Id="rIdM2036" Type="http://schemas.openxmlformats.org/officeDocument/2006/relationships/hyperlink" Target="https://www.bbva.pe/content/dam/public-web/peru/documents/personas/informacion-reclamos-atendidos-abril-2026.pdf" TargetMode="External"/><Relationship Id="rIdM2037" Type="http://schemas.openxmlformats.org/officeDocument/2006/relationships/hyperlink" Target="https://www.bbva.pe/content/dam/public-web/peru/documents/personas/investor-relations/vii-Memoria-Anual-2025.pdf" TargetMode="External"/><Relationship Id="rIdM2038" Type="http://schemas.openxmlformats.org/officeDocument/2006/relationships/hyperlink" Target="https://www.bbva.pe/content/dam/public-web/peru/documents/personas/Informacion_de_Reclamos_Atendidos_Mayo_2026.pdf" TargetMode="External"/><Relationship Id="rIdM2039" Type="http://schemas.openxmlformats.org/officeDocument/2006/relationships/hyperlink" Target="https://www.bbva.com/es/pe/innovacion/blue-el-asistente-virtual-de-bbva-atiende-mas-de-cuatro-millones-de-consultas-en-peru/" TargetMode="External"/><Relationship Id="rIdM2040" Type="http://schemas.openxmlformats.org/officeDocument/2006/relationships/hyperlink" Target="https://busquedas.elperuano.pe/dispositivo/NL/2379128-1" TargetMode="External"/><Relationship Id="rIdM2041" Type="http://schemas.openxmlformats.org/officeDocument/2006/relationships/hyperlink" Target="https://www.scotiabank.com.pe/Personas/Ahorros/Cuentas-Bancarias/cuenta-kids-scotiabank" TargetMode="External"/><Relationship Id="rIdM2042" Type="http://schemas.openxmlformats.org/officeDocument/2006/relationships/hyperlink" Target="https://www.bbva.com/es/pe/empresas/bbva-en-peru-alcanza-una-facturacion-trimestral-historica-en-el-segmento-pymes-con-48-de-crecimiento-versus-2025/" TargetMode="External"/><Relationship Id="rIdM2043" Type="http://schemas.openxmlformats.org/officeDocument/2006/relationships/hyperlink" Target="https://andina.pe/agencia/noticia-indecopi-sistema-financiero-concentra-90-sanciones-operaciones-no-reconocidas-1026373.aspx" TargetMode="External"/><Relationship Id="rIdM2044" Type="http://schemas.openxmlformats.org/officeDocument/2006/relationships/hyperlink" Target="https://www.mckinsey.com/locations/south-america/latam/hispanoamerica-en-potencia/el-fin-de-la-inercia-los-agentes-de-ia-y-la-disrupcion-en-la-banca-minorista-y-pyme/es-CL" TargetMode="External"/><Relationship Id="rIdM2045" Type="http://schemas.openxmlformats.org/officeDocument/2006/relationships/hyperlink" Target="https://ojo-publico.com/4559/las-millonarias-multas-los-bancos-por-consumos-no-reconocidos" TargetMode="External"/><Relationship Id="rIdM2046" Type="http://schemas.openxmlformats.org/officeDocument/2006/relationships/hyperlink" Target="https://stealthagents.com/research/ai-loan-underwriting-automation-statistics-2026" TargetMode="External"/><Relationship Id="rIdM2047" Type="http://schemas.openxmlformats.org/officeDocument/2006/relationships/hyperlink" Target="https://www.bbva.pe/pymes/productos/financiamiento/fast-cash.html" TargetMode="External"/><Relationship Id="rIdM2048" Type="http://schemas.openxmlformats.org/officeDocument/2006/relationships/hyperlink" Target="https://www.yape.com.pe/preguntas-frecuentes/crear-tu-cuenta-yape/como-me-registro-a-yape-con-carne-de-extranjer%C3%ADa-o-pasaporte" TargetMode="External"/><Relationship Id="rIdM2049" Type="http://schemas.openxmlformats.org/officeDocument/2006/relationships/hyperlink" Target="https://www.backbase.com/blog/ai-banking-dispute-resolution-automation" TargetMode="External"/><Relationship Id="rIdM2050" Type="http://schemas.openxmlformats.org/officeDocument/2006/relationships/hyperlink" Target="https://intranet2.sbs.gob.pe/dv_int_cn/2230/v1.0/Adjuntos/4036-2022.r.pdf" TargetMode="External"/><Relationship Id="rIdM2051" Type="http://schemas.openxmlformats.org/officeDocument/2006/relationships/hyperlink" Target="https://www.bbva.pe/empresas/productos/financiamiento/prestamos-comerciales/linea-de-prestamo-digital.html" TargetMode="External"/><Relationship Id="rIdM2052" Type="http://schemas.openxmlformats.org/officeDocument/2006/relationships/hyperlink" Target="https://www.bbva.pe/empresas/productos/financiamiento/prestamos-comerciales/linea-negocios.html" TargetMode="External"/><Relationship Id="rIdM2053" Type="http://schemas.openxmlformats.org/officeDocument/2006/relationships/hyperlink" Target="https://www.bbva.pe/pymes/productos/financiamiento/prestamo-digital-negocio.html" TargetMode="External"/><Relationship Id="rIdM2054" Type="http://schemas.openxmlformats.org/officeDocument/2006/relationships/hyperlink" Target="https://www.bbva.pe/empresas/productos/financiamiento/prestamos-comerciales/linea-negocios.html" TargetMode="External"/><Relationship Id="rIdM2055" Type="http://schemas.openxmlformats.org/officeDocument/2006/relationships/hyperlink" Target="https://www.bbva.pe/empresas/productos/financiamiento/prestamos-comerciales/negocios-empresas.html" TargetMode="External"/><Relationship Id="rIdM2056" Type="http://schemas.openxmlformats.org/officeDocument/2006/relationships/hyperlink" Target="https://www.bbva.pe/empresas/productos/financiamiento/prestamos-comerciales/linea-prestamo-digital-persona-juridica.html" TargetMode="External"/><Relationship Id="rIdM2057" Type="http://schemas.openxmlformats.org/officeDocument/2006/relationships/hyperlink" Target="https://www.bbva.pe/personas/sos-cliente/consulta-de-reclamos.html" TargetMode="External"/><Relationship Id="rIdM2058" Type="http://schemas.openxmlformats.org/officeDocument/2006/relationships/hyperlink" Target="https://www.bbva.pe/empresas/productos/financiamiento/prestamos-comerciales/anticipo-pos.html" TargetMode="External"/><Relationship Id="rIdFig3" Type="http://schemas.openxmlformats.org/officeDocument/2006/relationships/image" Target="media/figure3.png"/><Relationship Id="rIdFig4" Type="http://schemas.openxmlformats.org/officeDocument/2006/relationships/image" Target="media/figur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