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Times New Roman" w:cs="Times New Roman" w:eastAsia="Times New Roman" w:hAnsi="Times New Roman"/>
          <w:b w:val="false"/>
          <w:bCs w:val="false"/>
          <w:i w:val="false"/>
          <w:iCs w:val="false"/>
          <w:sz w:val="22"/>
          <w:szCs w:val="22"/>
        </w:rPr>
        <w:t xml:space="preserve"/>
      </w:r>
    </w:p>
    <w:p>
      <w:pPr>
        <w:spacing w:after="200"/>
        <w:jc w:val="center"/>
      </w:pPr>
      <w:r>
        <w:rPr>
          <w:rFonts w:ascii="Times New Roman" w:cs="Times New Roman" w:eastAsia="Times New Roman" w:hAnsi="Times New Roman"/>
          <w:b/>
          <w:bCs/>
          <w:i w:val="false"/>
          <w:iCs w:val="false"/>
          <w:sz w:val="26"/>
          <w:szCs w:val="26"/>
        </w:rPr>
        <w:t xml:space="preserve">PONTIFICIA UNIVERSIDAD CATÓLICA DEL PERÚ</w:t>
      </w:r>
    </w:p>
    <w:p>
      <w:pPr>
        <w:spacing w:after="700"/>
        <w:jc w:val="center"/>
      </w:pPr>
      <w:r>
        <w:rPr>
          <w:rFonts w:ascii="Times New Roman" w:cs="Times New Roman" w:eastAsia="Times New Roman" w:hAnsi="Times New Roman"/>
          <w:b/>
          <w:bCs/>
          <w:i w:val="false"/>
          <w:iCs w:val="false"/>
          <w:sz w:val="26"/>
          <w:szCs w:val="26"/>
        </w:rPr>
        <w:t xml:space="preserve">FACULTAD DE CIENCIAS E INGENIERÍA</w:t>
      </w:r>
    </w:p>
    <w:p>
      <w:pPr>
        <w:spacing w:after="200"/>
        <w:jc w:val="center"/>
      </w:pPr>
      <w:r>
        <w:rPr>
          <w:rFonts w:ascii="Times New Roman" w:cs="Times New Roman" w:eastAsia="Times New Roman" w:hAnsi="Times New Roman"/>
          <w:b/>
          <w:bCs/>
          <w:i w:val="false"/>
          <w:iCs w:val="false"/>
          <w:sz w:val="26"/>
          <w:szCs w:val="26"/>
        </w:rPr>
        <w:t xml:space="preserve">ESTRATEGIAS Y GESTIÓN DE SISTEMAS DE INFORMACIÓN</w:t>
      </w:r>
    </w:p>
    <w:p>
      <w:pPr>
        <w:spacing w:after="250"/>
        <w:jc w:val="center"/>
      </w:pPr>
      <w:r>
        <w:rPr>
          <w:rFonts w:ascii="Times New Roman" w:cs="Times New Roman" w:eastAsia="Times New Roman" w:hAnsi="Times New Roman"/>
          <w:b/>
          <w:bCs/>
          <w:i w:val="false"/>
          <w:iCs w:val="false"/>
          <w:sz w:val="26"/>
          <w:szCs w:val="26"/>
        </w:rPr>
        <w:t xml:space="preserve">Entrega 2</w:t>
      </w:r>
    </w:p>
    <w:p>
      <w:pPr>
        <w:spacing w:after="700"/>
        <w:jc w:val="center"/>
      </w:pPr>
      <w:r>
        <w:rPr>
          <w:rFonts w:ascii="Times New Roman" w:cs="Times New Roman" w:eastAsia="Times New Roman" w:hAnsi="Times New Roman"/>
          <w:b w:val="false"/>
          <w:bCs w:val="false"/>
          <w:i w:val="false"/>
          <w:iCs w:val="false"/>
          <w:sz w:val="22"/>
          <w:szCs w:val="22"/>
        </w:rPr>
        <w:t xml:space="preserve">Práctica 2: Identificación y priorización de los dolores de negocio</w:t>
      </w:r>
    </w:p>
    <w:p>
      <w:pPr>
        <w:spacing w:after="200"/>
        <w:jc w:val="center"/>
      </w:pPr>
      <w:r>
        <w:rPr>
          <w:rFonts w:ascii="Times New Roman" w:cs="Times New Roman" w:eastAsia="Times New Roman" w:hAnsi="Times New Roman"/>
          <w:b/>
          <w:bCs/>
          <w:i w:val="false"/>
          <w:iCs w:val="false"/>
          <w:sz w:val="24"/>
          <w:szCs w:val="24"/>
        </w:rPr>
        <w:t xml:space="preserve">AUTORES:</w:t>
      </w:r>
    </w:p>
    <w:p>
      <w:pPr>
        <w:spacing w:after="120"/>
        <w:jc w:val="center"/>
      </w:pPr>
      <w:r>
        <w:rPr>
          <w:rFonts w:ascii="Times New Roman" w:cs="Times New Roman" w:eastAsia="Times New Roman" w:hAnsi="Times New Roman"/>
          <w:b w:val="false"/>
          <w:bCs w:val="false"/>
          <w:i w:val="false"/>
          <w:iCs w:val="false"/>
          <w:sz w:val="22"/>
          <w:szCs w:val="22"/>
        </w:rPr>
        <w:t xml:space="preserve">SALAS COHAILA, Gabriel Lucio - 20200606</w:t>
      </w:r>
    </w:p>
    <w:p>
      <w:pPr>
        <w:spacing w:after="120"/>
        <w:jc w:val="center"/>
      </w:pPr>
      <w:r>
        <w:rPr>
          <w:rFonts w:ascii="Times New Roman" w:cs="Times New Roman" w:eastAsia="Times New Roman" w:hAnsi="Times New Roman"/>
          <w:b w:val="false"/>
          <w:bCs w:val="false"/>
          <w:i w:val="false"/>
          <w:iCs w:val="false"/>
          <w:sz w:val="22"/>
          <w:szCs w:val="22"/>
        </w:rPr>
        <w:t xml:space="preserve">CHAMORRO CAYETANO, Jorge Josue - 20206234</w:t>
      </w:r>
    </w:p>
    <w:p>
      <w:pPr>
        <w:spacing w:after="120"/>
        <w:jc w:val="center"/>
      </w:pPr>
      <w:r>
        <w:rPr>
          <w:rFonts w:ascii="Times New Roman" w:cs="Times New Roman" w:eastAsia="Times New Roman" w:hAnsi="Times New Roman"/>
          <w:b w:val="false"/>
          <w:bCs w:val="false"/>
          <w:i w:val="false"/>
          <w:iCs w:val="false"/>
          <w:sz w:val="22"/>
          <w:szCs w:val="22"/>
        </w:rPr>
        <w:t xml:space="preserve">SANCHEZ PASTOR, Rodrigo Alonso - 20201230</w:t>
      </w:r>
    </w:p>
    <w:p>
      <w:pPr>
        <w:spacing w:after="120"/>
        <w:jc w:val="center"/>
      </w:pPr>
      <w:r>
        <w:rPr>
          <w:rFonts w:ascii="Times New Roman" w:cs="Times New Roman" w:eastAsia="Times New Roman" w:hAnsi="Times New Roman"/>
          <w:b w:val="false"/>
          <w:bCs w:val="false"/>
          <w:i w:val="false"/>
          <w:iCs w:val="false"/>
          <w:sz w:val="22"/>
          <w:szCs w:val="22"/>
        </w:rPr>
        <w:t xml:space="preserve">SANTILLÁN HUAMÁN, Aarón Ulises - 20200445</w:t>
      </w:r>
    </w:p>
    <w:p>
      <w:pPr>
        <w:spacing w:after="600"/>
        <w:jc w:val="center"/>
      </w:pPr>
      <w:r>
        <w:rPr>
          <w:rFonts w:ascii="Times New Roman" w:cs="Times New Roman" w:eastAsia="Times New Roman" w:hAnsi="Times New Roman"/>
          <w:b w:val="false"/>
          <w:bCs w:val="false"/>
          <w:i w:val="false"/>
          <w:iCs w:val="false"/>
          <w:sz w:val="22"/>
          <w:szCs w:val="22"/>
        </w:rPr>
        <w:t xml:space="preserve">ORIHUELA MONTERO, Johnny Fabricio - 20211000</w:t>
      </w:r>
    </w:p>
    <w:p>
      <w:pPr>
        <w:spacing w:after="120"/>
        <w:jc w:val="center"/>
      </w:pPr>
      <w:r>
        <w:rPr>
          <w:rFonts w:ascii="Times New Roman" w:cs="Times New Roman" w:eastAsia="Times New Roman" w:hAnsi="Times New Roman"/>
          <w:b/>
          <w:bCs/>
          <w:i w:val="false"/>
          <w:iCs w:val="false"/>
          <w:sz w:val="24"/>
          <w:szCs w:val="24"/>
        </w:rPr>
        <w:t xml:space="preserve">PROFESOR:</w:t>
      </w:r>
    </w:p>
    <w:p>
      <w:pPr>
        <w:spacing w:after="600"/>
        <w:jc w:val="center"/>
      </w:pPr>
      <w:r>
        <w:rPr>
          <w:rFonts w:ascii="Times New Roman" w:cs="Times New Roman" w:eastAsia="Times New Roman" w:hAnsi="Times New Roman"/>
          <w:b w:val="false"/>
          <w:bCs w:val="false"/>
          <w:i w:val="false"/>
          <w:iCs w:val="false"/>
          <w:sz w:val="22"/>
          <w:szCs w:val="22"/>
        </w:rPr>
        <w:t xml:space="preserve">Ing. Orlando Milton Núñez Melgar</w:t>
      </w:r>
    </w:p>
    <w:p>
      <w:pPr>
        <w:spacing w:after="200"/>
        <w:jc w:val="center"/>
      </w:pPr>
      <w:r>
        <w:rPr>
          <w:rFonts w:ascii="Times New Roman" w:cs="Times New Roman" w:eastAsia="Times New Roman" w:hAnsi="Times New Roman"/>
          <w:b/>
          <w:bCs/>
          <w:i w:val="false"/>
          <w:iCs w:val="false"/>
          <w:sz w:val="24"/>
          <w:szCs w:val="24"/>
        </w:rPr>
        <w:t xml:space="preserve">Lima, setiembre, 2026</w:t>
      </w:r>
    </w:p>
    <w:p>
      <w:r>
        <w:br w:type="page"/>
      </w:r>
    </w:p>
    <w:p>
      <w:pPr>
        <w:spacing w:after="200"/>
      </w:pPr>
      <w:r>
        <w:rPr>
          <w:rFonts w:ascii="Times New Roman" w:cs="Times New Roman" w:eastAsia="Times New Roman" w:hAnsi="Times New Roman"/>
          <w:b/>
          <w:bCs/>
          <w:i w:val="false"/>
          <w:iCs w:val="false"/>
          <w:sz w:val="26"/>
          <w:szCs w:val="26"/>
        </w:rP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spacing w:after="200" w:before="0" w:line="360"/>
        <w:jc w:val="both"/>
      </w:pPr>
      <w:r>
        <w:rPr>
          <w:rFonts w:ascii="Times New Roman" w:cs="Times New Roman" w:eastAsia="Times New Roman" w:hAnsi="Times New Roman"/>
          <w:b/>
          <w:bCs/>
          <w:i w:val="false"/>
          <w:iCs w:val="false"/>
          <w:sz w:val="22"/>
          <w:szCs w:val="22"/>
        </w:rPr>
        <w:t xml:space="preserve">Nota sobre la numeración.</w:t>
      </w:r>
      <w:r>
        <w:rPr>
          <w:rFonts w:ascii="Times New Roman" w:cs="Times New Roman" w:eastAsia="Times New Roman" w:hAnsi="Times New Roman"/>
          <w:b w:val="false"/>
          <w:bCs w:val="false"/>
          <w:i w:val="false"/>
          <w:iCs w:val="false"/>
          <w:sz w:val="22"/>
          <w:szCs w:val="22"/>
        </w:rPr>
        <w:t xml:space="preserve"> Este documento da continuidad al Entregable 1, que cerró en la Tabla 13 y la Figura 2. Por ello, la numeración de tablas y figuras se reanuda en la Tabla 14 y la Figura 3, de modo que ambos avances puedan integrarse en un solo documento sin renumerar. Los objetivos estratégicos se citan con la codificación OE1 a OE6 establecida en la Tabla 10 del Entregable 1.</w:t>
      </w:r>
    </w:p>
    <w:p>
      <w:pPr>
        <w:pStyle w:val="Heading1"/>
        <w:spacing w:after="200" w:before="320"/>
      </w:pPr>
      <w:r>
        <w:rPr>
          <w:rFonts w:ascii="Times New Roman" w:cs="Times New Roman" w:eastAsia="Times New Roman" w:hAnsi="Times New Roman"/>
          <w:b/>
          <w:bCs/>
          <w:i w:val="false"/>
          <w:iCs w:val="false"/>
          <w:sz w:val="26"/>
          <w:szCs w:val="26"/>
        </w:rPr>
        <w:t xml:space="preserve">3. Identificación y priorización de los dolores de negocio</w:t>
      </w:r>
    </w:p>
    <w:p>
      <w:pPr>
        <w:pStyle w:val="Heading2"/>
        <w:spacing w:after="160" w:before="260"/>
      </w:pPr>
      <w:r>
        <w:rPr>
          <w:rFonts w:ascii="Times New Roman" w:cs="Times New Roman" w:eastAsia="Times New Roman" w:hAnsi="Times New Roman"/>
          <w:b/>
          <w:bCs/>
          <w:i w:val="false"/>
          <w:iCs w:val="false"/>
          <w:sz w:val="24"/>
          <w:szCs w:val="24"/>
        </w:rPr>
        <w:t xml:space="preserve">3.1. Enfoque metodológico</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La identificación de dolores parte de una premisa: un problema de negocio solo es accionable cuando se observa sobre un proceso extremo a extremo, se sustenta en evidencia verificable y admite medición antes y después de la intervención. Un listado de quejas genéricas no cumple ninguna de las tres condiciones y, en consecuencia, no puede sostener una iniciativa de sistemas de información.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Para satisfacer esas condiciones se emplean dos instrumentos complementarios. El </w:t>
      </w:r>
      <w:r>
        <w:rPr>
          <w:rFonts w:ascii="Times New Roman" w:cs="Times New Roman" w:eastAsia="Times New Roman" w:hAnsi="Times New Roman"/>
          <w:b w:val="false"/>
          <w:bCs w:val="false"/>
          <w:i/>
          <w:iCs/>
          <w:sz w:val="22"/>
          <w:szCs w:val="22"/>
        </w:rPr>
        <w:t xml:space="preserve">customer journey map</w:t>
      </w:r>
      <w:r>
        <w:rPr>
          <w:rFonts w:ascii="Times New Roman" w:cs="Times New Roman" w:eastAsia="Times New Roman" w:hAnsi="Times New Roman"/>
          <w:b w:val="false"/>
          <w:bCs w:val="false"/>
          <w:i w:val="false"/>
          <w:iCs w:val="false"/>
          <w:sz w:val="22"/>
          <w:szCs w:val="22"/>
        </w:rPr>
        <w:t xml:space="preserve"> organiza la experiencia del cliente en etapas sucesivas y permite localizar en qué momento del recorrido se produce la fricción, considerando que la experiencia se construye a lo largo de múltiples puntos de contacto y no en una interacción aislada (Lemon y Verhoef, 2016). El </w:t>
      </w:r>
      <w:r>
        <w:rPr>
          <w:rFonts w:ascii="Times New Roman" w:cs="Times New Roman" w:eastAsia="Times New Roman" w:hAnsi="Times New Roman"/>
          <w:b w:val="false"/>
          <w:bCs w:val="false"/>
          <w:i/>
          <w:iCs/>
          <w:sz w:val="22"/>
          <w:szCs w:val="22"/>
        </w:rPr>
        <w:t xml:space="preserve">service blueprint</w:t>
      </w:r>
      <w:r>
        <w:rPr>
          <w:rFonts w:ascii="Times New Roman" w:cs="Times New Roman" w:eastAsia="Times New Roman" w:hAnsi="Times New Roman"/>
          <w:b w:val="false"/>
          <w:bCs w:val="false"/>
          <w:i w:val="false"/>
          <w:iCs w:val="false"/>
          <w:sz w:val="22"/>
          <w:szCs w:val="22"/>
        </w:rPr>
        <w:t xml:space="preserve">, por su parte, incorpora la dimensión que el journey map no muestra: separa las acciones visibles para el cliente de las actividades de soporte mediante las líneas de interacción, de visibilidad y de interacción interna, lo que permite atribuir cada dolor al proceso interno que lo origina (Bitner et al., 2008). El primero responde dónde duele; el segundo, por qué.</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La evaluación de los dolores identificados aplica los seis criterios establecidos en el enunciado del trabajo: impacto estratégico, impacto económico, impacto en la experiencia, viabilidad tecnológica, urgencia y capacidad de medición. Cada criterio se califica en una escala de 1 a 5 y se pondera según su contribución a la decisión de inversión, conforme se detalla en la sección 3.7.</w:t>
      </w:r>
    </w:p>
    <w:p>
      <w:pPr>
        <w:spacing w:after="120" w:before="0" w:line="360"/>
        <w:jc w:val="both"/>
      </w:pPr>
      <w:r>
        <w:rPr>
          <w:rFonts w:ascii="Times New Roman" w:cs="Times New Roman" w:eastAsia="Times New Roman" w:hAnsi="Times New Roman"/>
          <w:b/>
          <w:bCs/>
          <w:i w:val="false"/>
          <w:iCs w:val="false"/>
          <w:sz w:val="22"/>
          <w:szCs w:val="22"/>
        </w:rPr>
        <w:t xml:space="preserve">Criterio de evidencia.</w:t>
      </w:r>
      <w:r>
        <w:rPr>
          <w:rFonts w:ascii="Times New Roman" w:cs="Times New Roman" w:eastAsia="Times New Roman" w:hAnsi="Times New Roman"/>
          <w:b w:val="false"/>
          <w:bCs w:val="false"/>
          <w:i w:val="false"/>
          <w:iCs w:val="false"/>
          <w:sz w:val="22"/>
          <w:szCs w:val="22"/>
        </w:rPr>
        <w:t xml:space="preserve"> Toda cifra empleada en este análisis proviene de fuentes públicas verificables: reportes financieros de la entidad, publicaciones del supervisor o de organismos de protección al consumidor, y prensa económica. Cuando un indicador necesario para dimensionar un dolor no se encuentra disponible públicamente, se declara de manera explícita con la leyenda </w:t>
      </w:r>
      <w:r>
        <w:rPr>
          <w:rFonts w:ascii="Times New Roman" w:cs="Times New Roman" w:eastAsia="Times New Roman" w:hAnsi="Times New Roman"/>
          <w:b/>
          <w:bCs/>
          <w:i w:val="false"/>
          <w:iCs w:val="false"/>
          <w:sz w:val="22"/>
          <w:szCs w:val="22"/>
        </w:rPr>
        <w:t xml:space="preserve">NO HAY FUENTES EN INTERNET DISPONIBLES</w:t>
      </w:r>
      <w:r>
        <w:rPr>
          <w:rFonts w:ascii="Times New Roman" w:cs="Times New Roman" w:eastAsia="Times New Roman" w:hAnsi="Times New Roman"/>
          <w:b w:val="false"/>
          <w:bCs w:val="false"/>
          <w:i w:val="false"/>
          <w:iCs w:val="false"/>
          <w:sz w:val="22"/>
          <w:szCs w:val="22"/>
        </w:rPr>
        <w:t xml:space="preserve">, en lugar de estimarlo. Esta decisión reduce la precisión de algunas líneas base, pero preserva la trazabilidad del análisis y delimita con claridad qué información deberá obtenerse mediante levantamiento interno en las siguientes etapas del plan.</w:t>
      </w:r>
    </w:p>
    <w:p>
      <w:pPr>
        <w:pStyle w:val="Heading2"/>
        <w:spacing w:after="160" w:before="260"/>
      </w:pPr>
      <w:r>
        <w:rPr>
          <w:rFonts w:ascii="Times New Roman" w:cs="Times New Roman" w:eastAsia="Times New Roman" w:hAnsi="Times New Roman"/>
          <w:b/>
          <w:bCs/>
          <w:i w:val="false"/>
          <w:iCs w:val="false"/>
          <w:sz w:val="24"/>
          <w:szCs w:val="24"/>
        </w:rPr>
        <w:t xml:space="preserve">3.2. Delimitación de los procesos extremo a extremo analizados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El inventario de procesos presentado en la Tabla 11 del Entregable 1 se estructuró desde la perspectiva de la operación tecnológica, agrupando macroprocesos de desarrollo de soluciones, operación de canales, gestión de datos, seguridad de la información y continuidad del negocio. Esa perspectiva resulta adecuada para describir la capacidad instalada de sistemas, pero no permite por sí sola localizar dolores de negocio, porque los recorridos que atraviesan al cliente no coinciden con las fronteras de los macroprocesos de tecnología.</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Por esta razón, el presente análisis define tres procesos extremo a extremo de negocio y los vincula con los macroprocesos tecnológicos ya inventariados. La Tabla 14 establece esa correspondencia. Los tres procesos se seleccionaron por concentrar la mayor densidad de evidencia pública disponible y por su vinculación directa con las prioridades estratégicas declaradas para el ciclo 2025-2029.</w:t>
      </w:r>
    </w:p>
    <w:p>
      <w:pPr>
        <w:spacing w:after="0" w:before="200"/>
      </w:pPr>
      <w:r>
        <w:rPr>
          <w:rFonts w:ascii="Times New Roman" w:cs="Times New Roman" w:eastAsia="Times New Roman" w:hAnsi="Times New Roman"/>
          <w:b/>
          <w:bCs/>
          <w:i w:val="false"/>
          <w:iCs w:val="false"/>
          <w:sz w:val="22"/>
          <w:szCs w:val="22"/>
        </w:rPr>
        <w:t xml:space="preserve">Tabla 14</w:t>
      </w:r>
    </w:p>
    <w:p>
      <w:pPr>
        <w:spacing w:after="100"/>
      </w:pPr>
      <w:r>
        <w:rPr>
          <w:rFonts w:ascii="Times New Roman" w:cs="Times New Roman" w:eastAsia="Times New Roman" w:hAnsi="Times New Roman"/>
          <w:b w:val="false"/>
          <w:bCs w:val="false"/>
          <w:i/>
          <w:iCs/>
          <w:sz w:val="22"/>
          <w:szCs w:val="22"/>
        </w:rPr>
        <w:t xml:space="preserve">Procesos extremo a extremo analizados y su correspondencia con el inventario de procesos</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2100"/>
        <w:gridCol w:w="2400"/>
        <w:gridCol w:w="2626"/>
        <w:gridCol w:w="1900"/>
      </w:tblGrid>
      <w:tr>
        <w:trPr>
          <w:tblHeader/>
        </w:trPr>
        <w:tc>
          <w:tcPr>
            <w:tcW w:type="dxa" w:w="21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Proceso E2E</w:t>
            </w:r>
          </w:p>
        </w:tc>
        <w:tc>
          <w:tcPr>
            <w:tcW w:type="dxa" w:w="24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Alcance del recorrido</w:t>
            </w:r>
          </w:p>
        </w:tc>
        <w:tc>
          <w:tcPr>
            <w:tcW w:type="dxa" w:w="26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Macroprocesos de la Tabla 11 involucrados</w:t>
            </w:r>
          </w:p>
        </w:tc>
        <w:tc>
          <w:tcPr>
            <w:tcW w:type="dxa" w:w="19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Objetivos estratégicos vinculados</w:t>
            </w:r>
          </w:p>
        </w:tc>
      </w:tr>
      <w:tr>
        <w:tc>
          <w:tcPr>
            <w:tcW w:type="dxa" w:w="21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E2E-1.</w:t>
            </w:r>
            <w:r>
              <w:rPr>
                <w:rFonts w:ascii="Times New Roman" w:cs="Times New Roman" w:eastAsia="Times New Roman" w:hAnsi="Times New Roman"/>
                <w:b w:val="false"/>
                <w:bCs w:val="false"/>
                <w:i w:val="false"/>
                <w:iCs w:val="false"/>
                <w:sz w:val="17"/>
                <w:szCs w:val="17"/>
              </w:rPr>
              <w:t xml:space="preserve"> Originación de crédito al segmento Pyme</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Desde la necesidad de liquidez del empresario hasta el desembolso y la primera cuota.</w:t>
            </w:r>
          </w:p>
        </w:tc>
        <w:tc>
          <w:tcPr>
            <w:tcW w:type="dxa" w:w="26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Operación de canales y servicios digitales; Gestión de datos, analítica e IA; Desarrollo de soluciones digitales.</w:t>
            </w:r>
          </w:p>
        </w:tc>
        <w:tc>
          <w:tcPr>
            <w:tcW w:type="dxa" w:w="1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OE3, OE4, OE5</w:t>
            </w:r>
          </w:p>
        </w:tc>
      </w:tr>
      <w:tr>
        <w:tc>
          <w:tcPr>
            <w:tcW w:type="dxa" w:w="21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E2E-2.</w:t>
            </w:r>
            <w:r>
              <w:rPr>
                <w:rFonts w:ascii="Times New Roman" w:cs="Times New Roman" w:eastAsia="Times New Roman" w:hAnsi="Times New Roman"/>
                <w:b w:val="false"/>
                <w:bCs w:val="false"/>
                <w:i w:val="false"/>
                <w:iCs w:val="false"/>
                <w:sz w:val="17"/>
                <w:szCs w:val="17"/>
              </w:rPr>
              <w:t xml:space="preserve"> Atención de operaciones no reconocidas y reclamos por fraude digital</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Desde la transacción no autorizada hasta la resolución del reclamo y la eventual devolución.</w:t>
            </w:r>
          </w:p>
        </w:tc>
        <w:tc>
          <w:tcPr>
            <w:tcW w:type="dxa" w:w="26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Seguridad de la información y ciberseguridad; Operación de canales y servicios digitales; Gestión de datos, analítica e IA.</w:t>
            </w:r>
          </w:p>
        </w:tc>
        <w:tc>
          <w:tcPr>
            <w:tcW w:type="dxa" w:w="1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OE1, OE5</w:t>
            </w:r>
          </w:p>
        </w:tc>
      </w:tr>
      <w:tr>
        <w:tc>
          <w:tcPr>
            <w:tcW w:type="dxa" w:w="21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E2E-3.</w:t>
            </w:r>
            <w:r>
              <w:rPr>
                <w:rFonts w:ascii="Times New Roman" w:cs="Times New Roman" w:eastAsia="Times New Roman" w:hAnsi="Times New Roman"/>
                <w:b w:val="false"/>
                <w:bCs w:val="false"/>
                <w:i w:val="false"/>
                <w:iCs w:val="false"/>
                <w:sz w:val="17"/>
                <w:szCs w:val="17"/>
              </w:rPr>
              <w:t xml:space="preserve"> Contratación de productos por canal digital en banca de personas</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Desde el interés del cliente hasta la contratación efectiva y el primer uso del producto.</w:t>
            </w:r>
          </w:p>
        </w:tc>
        <w:tc>
          <w:tcPr>
            <w:tcW w:type="dxa" w:w="26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Operación de canales y servicios digitales; Desarrollo de soluciones digitales; Gestión de datos, analítica e IA.</w:t>
            </w:r>
          </w:p>
        </w:tc>
        <w:tc>
          <w:tcPr>
            <w:tcW w:type="dxa" w:w="1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OE1, OE4, OE5</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La correspondencia con la Tabla 11 del Entregable 1 se establece para evitar que el análisis de dolores quede desvinculado del inventario de procesos previamente declarado.</w:t>
      </w:r>
    </w:p>
    <w:p>
      <w:pPr>
        <w:pStyle w:val="Heading2"/>
        <w:spacing w:after="160" w:before="260"/>
      </w:pPr>
      <w:r>
        <w:rPr>
          <w:rFonts w:ascii="Times New Roman" w:cs="Times New Roman" w:eastAsia="Times New Roman" w:hAnsi="Times New Roman"/>
          <w:b/>
          <w:bCs/>
          <w:i w:val="false"/>
          <w:iCs w:val="false"/>
          <w:sz w:val="24"/>
          <w:szCs w:val="24"/>
        </w:rPr>
        <w:t xml:space="preserve">3.3. Customer journey map del proceso E2E-1: originación de crédito Pyme</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El segmento Pyme atraviesa una situación paradójica que conviene enunciar antes del mapa. Durante el segundo trimestre de 2026 el banco alcanzó una facturación trimestral histórica en este segmento, con un crecimiento de 48 % respecto del mismo periodo de 2025, un incremento de más de 12 % en saldos de créditos y una transaccionalidad digital que alcanza al 75 % del portafolio (Reusche, 2026). Sin embargo, la satisfacción de ese mismo segmento es la más baja de la entidad: el NPS Pyme se sitúa en 33.6 %, frente a 52.57 % del segmento retail (Banco BBVA Perú, 2026b).</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El mapa de la Tabla 15 permite localizar dónde se origina esa distancia entre crecimiento comercial y satisfacción. El hallazgo central es que la ruta digital y la ruta asistida ofrecen experiencias radicalmente distintas: el crédito digital se resuelve en tres minutos en promedio, pero representa únicamente un tercio de las colocaciones del segmento (Reusche, 2026). Los dos tercios restantes transitan por un recorrido asistido cuyo tiempo de ciclo no es de conocimiento público.</w:t>
      </w:r>
    </w:p>
    <w:p>
      <w:pPr>
        <w:spacing w:after="0" w:before="200"/>
      </w:pPr>
      <w:r>
        <w:rPr>
          <w:rFonts w:ascii="Times New Roman" w:cs="Times New Roman" w:eastAsia="Times New Roman" w:hAnsi="Times New Roman"/>
          <w:b/>
          <w:bCs/>
          <w:i w:val="false"/>
          <w:iCs w:val="false"/>
          <w:sz w:val="22"/>
          <w:szCs w:val="22"/>
        </w:rPr>
        <w:t xml:space="preserve">Tabla 15</w:t>
      </w:r>
    </w:p>
    <w:p>
      <w:pPr>
        <w:spacing w:after="100"/>
      </w:pPr>
      <w:r>
        <w:rPr>
          <w:rFonts w:ascii="Times New Roman" w:cs="Times New Roman" w:eastAsia="Times New Roman" w:hAnsi="Times New Roman"/>
          <w:b w:val="false"/>
          <w:bCs w:val="false"/>
          <w:i/>
          <w:iCs/>
          <w:sz w:val="22"/>
          <w:szCs w:val="22"/>
        </w:rPr>
        <w:t xml:space="preserve">Customer journey map del proceso de originación de crédito Pyme</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1500"/>
        <w:gridCol w:w="2200"/>
        <w:gridCol w:w="2400"/>
        <w:gridCol w:w="2926"/>
      </w:tblGrid>
      <w:tr>
        <w:trPr>
          <w:tblHeader/>
        </w:trPr>
        <w:tc>
          <w:tcPr>
            <w:tcW w:type="dxa" w:w="15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Etapa</w:t>
            </w:r>
          </w:p>
        </w:tc>
        <w:tc>
          <w:tcPr>
            <w:tcW w:type="dxa" w:w="22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Acciones del cliente</w:t>
            </w:r>
          </w:p>
        </w:tc>
        <w:tc>
          <w:tcPr>
            <w:tcW w:type="dxa" w:w="24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Puntos de contacto y sistemas</w:t>
            </w:r>
          </w:p>
        </w:tc>
        <w:tc>
          <w:tcPr>
            <w:tcW w:type="dxa" w:w="29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Dolor observado</w:t>
            </w:r>
          </w:p>
        </w:tc>
      </w:tr>
      <w:tr>
        <w:tc>
          <w:tcPr>
            <w:tcW w:type="dxa" w:w="1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1. Necesidad y búsqueda</w:t>
            </w:r>
          </w:p>
        </w:tc>
        <w:tc>
          <w:tcPr>
            <w:tcW w:type="dxa" w:w="2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Identifica una necesidad de liquidez o capital de trabajo y compara alternativas.</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Web pública, app BBVA Empresas 2.0, ejecutivo de negocio, oficina.</w:t>
            </w:r>
          </w:p>
        </w:tc>
        <w:tc>
          <w:tcPr>
            <w:tcW w:type="dxa" w:w="29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El empresario no siempre conoce para qué producto califica antes de iniciar el trámite.</w:t>
            </w:r>
          </w:p>
        </w:tc>
      </w:tr>
      <w:tr>
        <w:tc>
          <w:tcPr>
            <w:tcW w:type="dxa" w:w="1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2. Solicitud</w:t>
            </w:r>
          </w:p>
        </w:tc>
        <w:tc>
          <w:tcPr>
            <w:tcW w:type="dxa" w:w="2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Presenta la solicitud y entrega información del negocio.</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App BBVA Empresas 2.0 (onboarding 100 % digital), oficina, ejecutivo.</w:t>
            </w:r>
          </w:p>
        </w:tc>
        <w:tc>
          <w:tcPr>
            <w:tcW w:type="dxa" w:w="29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La ruta asistida exige documentación financiera que la microempresa no produce de forma estructurada (Melo, 2026).</w:t>
            </w:r>
          </w:p>
        </w:tc>
      </w:tr>
      <w:tr>
        <w:tc>
          <w:tcPr>
            <w:tcW w:type="dxa" w:w="1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3. Evaluación crediticia</w:t>
            </w:r>
          </w:p>
        </w:tc>
        <w:tc>
          <w:tcPr>
            <w:tcW w:type="dxa" w:w="2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Espera la respuesta del banco sin visibilidad del estado de su solicitud.</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Motor de decisión, centrales de riesgo, plataforma de datos ADA.</w:t>
            </w:r>
          </w:p>
        </w:tc>
        <w:tc>
          <w:tcPr>
            <w:tcW w:type="dxa" w:w="29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La evaluación con información no verificable eleva costos operativos que se trasladan al cliente vía tasa o restricción de línea (Melo, 2026).</w:t>
            </w:r>
          </w:p>
        </w:tc>
      </w:tr>
      <w:tr>
        <w:tc>
          <w:tcPr>
            <w:tcW w:type="dxa" w:w="1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4. Aprobación y formalización</w:t>
            </w:r>
          </w:p>
        </w:tc>
        <w:tc>
          <w:tcPr>
            <w:tcW w:type="dxa" w:w="2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Recibe la decisión y firma la documentación.</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Canal digital (menos de cinco minutos) o formalización presencial.</w:t>
            </w:r>
          </w:p>
        </w:tc>
        <w:tc>
          <w:tcPr>
            <w:tcW w:type="dxa" w:w="29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Brecha de experiencia entre rutas: el crédito digital se resuelve en tres minutos, pero solo cubre un tercio de las colocaciones (Reusche, 2026).</w:t>
            </w:r>
          </w:p>
        </w:tc>
      </w:tr>
      <w:tr>
        <w:tc>
          <w:tcPr>
            <w:tcW w:type="dxa" w:w="1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5. Desembolso y primer uso</w:t>
            </w:r>
          </w:p>
        </w:tc>
        <w:tc>
          <w:tcPr>
            <w:tcW w:type="dxa" w:w="2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Dispone de los fondos y comienza a operar el producto.</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Cuenta corriente, app, soluciones de cobro Openpay y QR Empresas.</w:t>
            </w:r>
          </w:p>
        </w:tc>
        <w:tc>
          <w:tcPr>
            <w:tcW w:type="dxa" w:w="29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NO HAY FUENTES EN INTERNET DISPONIBLES sobre el tiempo transcurrido entre aprobación y disponibilidad efectiva de fondos.</w:t>
            </w:r>
          </w:p>
        </w:tc>
      </w:tr>
      <w:tr>
        <w:tc>
          <w:tcPr>
            <w:tcW w:type="dxa" w:w="1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6. Uso y seguimiento</w:t>
            </w:r>
          </w:p>
        </w:tc>
        <w:tc>
          <w:tcPr>
            <w:tcW w:type="dxa" w:w="2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Gestiona pagos, cobranzas y renovaciones.</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App BBVA Empresas 2.0, BBVA Net Cash, ejecutivo asignado.</w:t>
            </w:r>
          </w:p>
        </w:tc>
        <w:tc>
          <w:tcPr>
            <w:tcW w:type="dxa" w:w="29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El 26 % de la cartera Pyme aún no opera digitalmente, lo que sostiene un canal asistido de mayor costo unitario (BBVA, 2026b).</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con base en Reusche (2026), BBVA (2026b), Melo (2026) y Banco BBVA Perú (2026b). Los puntos de contacto corresponden a los sistemas declarados en la Tabla 8 del Entregable 1.</w:t>
      </w:r>
    </w:p>
    <w:p>
      <w:pPr>
        <w:pStyle w:val="Heading2"/>
        <w:spacing w:after="160" w:before="260"/>
      </w:pPr>
      <w:r>
        <w:rPr>
          <w:rFonts w:ascii="Times New Roman" w:cs="Times New Roman" w:eastAsia="Times New Roman" w:hAnsi="Times New Roman"/>
          <w:b/>
          <w:bCs/>
          <w:i w:val="false"/>
          <w:iCs w:val="false"/>
          <w:sz w:val="24"/>
          <w:szCs w:val="24"/>
        </w:rPr>
        <w:t xml:space="preserve">3.4. Service blueprint del proceso E2E-2: atención de operaciones no reconocidas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Este proceso se modela mediante </w:t>
      </w:r>
      <w:r>
        <w:rPr>
          <w:rFonts w:ascii="Times New Roman" w:cs="Times New Roman" w:eastAsia="Times New Roman" w:hAnsi="Times New Roman"/>
          <w:b w:val="false"/>
          <w:bCs w:val="false"/>
          <w:i/>
          <w:iCs/>
          <w:sz w:val="22"/>
          <w:szCs w:val="22"/>
        </w:rPr>
        <w:t xml:space="preserve">service blueprint</w:t>
      </w:r>
      <w:r>
        <w:rPr>
          <w:rFonts w:ascii="Times New Roman" w:cs="Times New Roman" w:eastAsia="Times New Roman" w:hAnsi="Times New Roman"/>
          <w:b w:val="false"/>
          <w:bCs w:val="false"/>
          <w:i w:val="false"/>
          <w:iCs w:val="false"/>
          <w:sz w:val="22"/>
          <w:szCs w:val="22"/>
        </w:rPr>
        <w:t xml:space="preserve"> y no mediante journey map porque el dolor no se origina en la interfaz con el cliente, sino en las actividades que ocurren por debajo de la línea de visibilidad: la investigación del caso, la coordinación entre las áreas de fraude, operaciones y atención, y la decisión sobre la procedencia del reclamo. Un instrumento que solo describa lo que el cliente ve dejaría fuera precisamente el tramo donde se produce la demora (Bitner et al., 2008).</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La relevancia del proceso está documentada. Entre 2021 y marzo de 2025 el Indecopi impuso 2,891 sanciones a 271 proveedores por operaciones no reconocidas, de las cuales el 90 % (2,601) recayó sobre el sistema financiero, con multas por 3,978.8 UIT; las tarjetas de crédito concentraron el 54.8 % de las sanciones y las cuentas de ahorro el 29.8 % (Andina, 2025). El ritmo es creciente: al mes de julio de 2023 el acumulado desde 2021 era de 1,284 sanciones por 1,938.4 UIT (Diario Oficial El Peruano, 2023), de modo que en menos de dos años el número de sanciones se duplicó. Un reportaje de investigación identificó a BBVA entre las cinco entidades con mayor número de infracciones en esta materia (Alarcón, 2023).</w:t>
      </w:r>
    </w:p>
    <w:p>
      <w:pPr>
        <w:spacing w:after="0" w:before="200"/>
      </w:pPr>
      <w:r>
        <w:rPr>
          <w:rFonts w:ascii="Times New Roman" w:cs="Times New Roman" w:eastAsia="Times New Roman" w:hAnsi="Times New Roman"/>
          <w:b/>
          <w:bCs/>
          <w:i w:val="false"/>
          <w:iCs w:val="false"/>
          <w:sz w:val="22"/>
          <w:szCs w:val="22"/>
        </w:rPr>
        <w:t xml:space="preserve">Tabla 16</w:t>
      </w:r>
    </w:p>
    <w:p>
      <w:pPr>
        <w:spacing w:after="100"/>
      </w:pPr>
      <w:r>
        <w:rPr>
          <w:rFonts w:ascii="Times New Roman" w:cs="Times New Roman" w:eastAsia="Times New Roman" w:hAnsi="Times New Roman"/>
          <w:b w:val="false"/>
          <w:bCs w:val="false"/>
          <w:i/>
          <w:iCs/>
          <w:sz w:val="22"/>
          <w:szCs w:val="22"/>
        </w:rPr>
        <w:t xml:space="preserve">Service blueprint del proceso de atención de operaciones no reconocidas</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1826"/>
        <w:gridCol w:w="1800"/>
        <w:gridCol w:w="1800"/>
        <w:gridCol w:w="1800"/>
        <w:gridCol w:w="1800"/>
      </w:tblGrid>
      <w:tr>
        <w:trPr>
          <w:tblHeader/>
        </w:trPr>
        <w:tc>
          <w:tcPr>
            <w:tcW w:type="dxa" w:w="18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5"/>
                <w:szCs w:val="15"/>
              </w:rPr>
              <w:t xml:space="preserve">Capa del blueprint</w:t>
            </w:r>
          </w:p>
        </w:tc>
        <w:tc>
          <w:tcPr>
            <w:tcW w:type="dxa" w:w="18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5"/>
                <w:szCs w:val="15"/>
              </w:rPr>
              <w:t xml:space="preserve">Detección</w:t>
            </w:r>
          </w:p>
        </w:tc>
        <w:tc>
          <w:tcPr>
            <w:tcW w:type="dxa" w:w="18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5"/>
                <w:szCs w:val="15"/>
              </w:rPr>
              <w:t xml:space="preserve">Reporte</w:t>
            </w:r>
          </w:p>
        </w:tc>
        <w:tc>
          <w:tcPr>
            <w:tcW w:type="dxa" w:w="18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5"/>
                <w:szCs w:val="15"/>
              </w:rPr>
              <w:t xml:space="preserve">Investigación</w:t>
            </w:r>
          </w:p>
        </w:tc>
        <w:tc>
          <w:tcPr>
            <w:tcW w:type="dxa" w:w="18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5"/>
                <w:szCs w:val="15"/>
              </w:rPr>
              <w:t xml:space="preserve">Resolución</w:t>
            </w:r>
          </w:p>
        </w:tc>
      </w:tr>
      <w:tr>
        <w:tc>
          <w:tcPr>
            <w:tcW w:type="dxa" w:w="18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5"/>
                <w:szCs w:val="15"/>
              </w:rPr>
              <w:t xml:space="preserve">Evidencia física</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Notificación de la operación en la app.</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Constancia y código de reclamo.</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Comunicaciones de seguimiento.</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Carta de respuesta y, de proceder, abono.</w:t>
            </w:r>
          </w:p>
        </w:tc>
      </w:tr>
      <w:tr>
        <w:tc>
          <w:tcPr>
            <w:tcW w:type="dxa" w:w="18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5"/>
                <w:szCs w:val="15"/>
              </w:rPr>
              <w:t xml:space="preserve">Acciones del cliente</w:t>
            </w:r>
          </w:p>
        </w:tc>
        <w:tc>
          <w:tcPr>
            <w:tcW w:type="dxa" w:w="1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Advierte un cargo que no reconoce.</w:t>
            </w:r>
          </w:p>
        </w:tc>
        <w:tc>
          <w:tcPr>
            <w:tcW w:type="dxa" w:w="1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Registra el reclamo por app, contact center u oficina.</w:t>
            </w:r>
          </w:p>
        </w:tc>
        <w:tc>
          <w:tcPr>
            <w:tcW w:type="dxa" w:w="1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Espera; consulta el estado del caso.</w:t>
            </w:r>
          </w:p>
        </w:tc>
        <w:tc>
          <w:tcPr>
            <w:tcW w:type="dxa" w:w="1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Recibe la decisión y acepta o escala a Indecopi.</w:t>
            </w:r>
          </w:p>
        </w:tc>
      </w:tr>
      <w:tr>
        <w:tc>
          <w:tcPr>
            <w:tcW w:type="dxa" w:w="18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5"/>
                <w:szCs w:val="15"/>
              </w:rPr>
              <w:t xml:space="preserve">Contacto visible</w:t>
            </w:r>
            <w:r>
              <w:rPr>
                <w:rFonts w:ascii="Times New Roman" w:cs="Times New Roman" w:eastAsia="Times New Roman" w:hAnsi="Times New Roman"/>
                <w:b w:val="false"/>
                <w:bCs w:val="false"/>
                <w:i w:val="false"/>
                <w:iCs w:val="false"/>
                <w:sz w:val="15"/>
                <w:szCs w:val="15"/>
              </w:rPr>
              <w:t xml:space="preserve"> (sobre la línea de interacción)</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Alerta automática de transacción.</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Asistente Blue Buddy, asesor telefónico o de oficina.</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Respuesta de estado ante consulta del cliente.</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Comunicación formal del resultado.</w:t>
            </w:r>
          </w:p>
        </w:tc>
      </w:tr>
      <w:tr>
        <w:tc>
          <w:tcPr>
            <w:tcW w:type="dxa" w:w="18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5"/>
                <w:szCs w:val="15"/>
              </w:rPr>
              <w:t xml:space="preserve">Soporte no visible</w:t>
            </w:r>
            <w:r>
              <w:rPr>
                <w:rFonts w:ascii="Times New Roman" w:cs="Times New Roman" w:eastAsia="Times New Roman" w:hAnsi="Times New Roman"/>
                <w:b w:val="false"/>
                <w:bCs w:val="false"/>
                <w:i w:val="false"/>
                <w:iCs w:val="false"/>
                <w:sz w:val="15"/>
                <w:szCs w:val="15"/>
              </w:rPr>
              <w:t xml:space="preserve"> (bajo la línea de visibilidad)</w:t>
            </w:r>
          </w:p>
        </w:tc>
        <w:tc>
          <w:tcPr>
            <w:tcW w:type="dxa" w:w="1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Motor de monitoreo transaccional y reglas antifraude.</w:t>
            </w:r>
          </w:p>
        </w:tc>
        <w:tc>
          <w:tcPr>
            <w:tcW w:type="dxa" w:w="1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Registro y tipificación del reclamo.</w:t>
            </w:r>
          </w:p>
        </w:tc>
        <w:tc>
          <w:tcPr>
            <w:tcW w:type="dxa" w:w="1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Análisis del caso, trazas del canal y coordinación entre áreas de fraude y operaciones.</w:t>
            </w:r>
          </w:p>
        </w:tc>
        <w:tc>
          <w:tcPr>
            <w:tcW w:type="dxa" w:w="1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Decisión sobre procedencia y ejecución del abono o rechazo.</w:t>
            </w:r>
          </w:p>
        </w:tc>
      </w:tr>
      <w:tr>
        <w:tc>
          <w:tcPr>
            <w:tcW w:type="dxa" w:w="18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5"/>
                <w:szCs w:val="15"/>
              </w:rPr>
              <w:t xml:space="preserve">Procesos de apoyo</w:t>
            </w:r>
            <w:r>
              <w:rPr>
                <w:rFonts w:ascii="Times New Roman" w:cs="Times New Roman" w:eastAsia="Times New Roman" w:hAnsi="Times New Roman"/>
                <w:b w:val="false"/>
                <w:bCs w:val="false"/>
                <w:i w:val="false"/>
                <w:iCs w:val="false"/>
                <w:sz w:val="15"/>
                <w:szCs w:val="15"/>
              </w:rPr>
              <w:t xml:space="preserve"> (bajo la línea de interacción interna)</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Plataforma de datos ADA y modelos analíticos.</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Sistema de gestión de reclamos.</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Gestión de identidades, monitoreo y respuesta a incidentes.</w:t>
            </w:r>
          </w:p>
        </w:tc>
        <w:tc>
          <w:tcPr>
            <w:tcW w:type="dxa" w:w="1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Reporte regulatorio y gestión de la conducta de mercado.</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siguiendo la estructura de capas y líneas de separación propuesta por Bitner et al. (2008), aplicada a los canales y sistemas declarados por la entidad. Las funcionalidades de trazabilidad de reclamos del asistente Blue Buddy corresponden a lo reportado en Banco BBVA Perú (2026b).</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El blueprint revela que las tres primeras capas están ampliamente digitalizadas, mientras que la capa de soporte no visible concentra actividades de coordinación entre áreas cuya duración determina el cumplimiento del plazo regulatorio de respuesta, fijado en quince días hábiles (Andina, 2025). El tiempo efectivo que el banco emplea en ese tramo no es información pública: </w:t>
      </w:r>
      <w:r>
        <w:rPr>
          <w:rFonts w:ascii="Times New Roman" w:cs="Times New Roman" w:eastAsia="Times New Roman" w:hAnsi="Times New Roman"/>
          <w:b/>
          <w:bCs/>
          <w:i w:val="false"/>
          <w:iCs w:val="false"/>
          <w:sz w:val="22"/>
          <w:szCs w:val="22"/>
        </w:rPr>
        <w:t xml:space="preserve">NO HAY FUENTES EN INTERNET DISPONIBLES</w:t>
      </w:r>
      <w:r>
        <w:rPr>
          <w:rFonts w:ascii="Times New Roman" w:cs="Times New Roman" w:eastAsia="Times New Roman" w:hAnsi="Times New Roman"/>
          <w:b w:val="false"/>
          <w:bCs w:val="false"/>
          <w:i w:val="false"/>
          <w:iCs w:val="false"/>
          <w:sz w:val="22"/>
          <w:szCs w:val="22"/>
        </w:rPr>
        <w:t xml:space="preserve">.</w:t>
      </w:r>
    </w:p>
    <w:p>
      <w:pPr>
        <w:pStyle w:val="Heading2"/>
        <w:spacing w:after="160" w:before="260"/>
      </w:pPr>
      <w:r>
        <w:rPr>
          <w:rFonts w:ascii="Times New Roman" w:cs="Times New Roman" w:eastAsia="Times New Roman" w:hAnsi="Times New Roman"/>
          <w:b/>
          <w:bCs/>
          <w:i w:val="false"/>
          <w:iCs w:val="false"/>
          <w:sz w:val="24"/>
          <w:szCs w:val="24"/>
        </w:rPr>
        <w:t xml:space="preserve">3.5. Customer journey map del proceso E2E-3: contratación de productos por canal digital</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El tercer proceso analiza la contratación de productos en banca de personas. El punto de partida es un dato del propio informe de gestión: al cierre del segundo trimestre de 2026 las ventas digitales representaron el 79.57 % de las ventas totales del banco, la app concentró el 85 % de las operaciones monetarias y se acumularon más de 350 millones de transacciones, con un crecimiento de 38 % (Banco BBVA Perú, 2026a, p. 3).</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Ese promedio agregado, sin embargo, oculta una dispersión considerable cuando se desagrega por producto. La penetración digital alcanza 93 % en operaciones de cambio de moneda y 54 % en préstamos de consumo, pero desciende a 50 % en tarjetas de crédito y a 33 % en cuentas (Banco BBVA Perú, 2026a, p. 3). Dicho de otro modo: pese a existir una apertura de cuenta digital que se completa en cuatro minutos, dos de cada tres cuentas siguen contratándose por canal asistido.</w:t>
      </w:r>
    </w:p>
    <w:p>
      <w:pPr>
        <w:spacing w:after="0" w:before="200"/>
      </w:pPr>
      <w:r>
        <w:rPr>
          <w:rFonts w:ascii="Times New Roman" w:cs="Times New Roman" w:eastAsia="Times New Roman" w:hAnsi="Times New Roman"/>
          <w:b/>
          <w:bCs/>
          <w:i w:val="false"/>
          <w:iCs w:val="false"/>
          <w:sz w:val="22"/>
          <w:szCs w:val="22"/>
        </w:rPr>
        <w:t xml:space="preserve">Tabla 17</w:t>
      </w:r>
    </w:p>
    <w:p>
      <w:pPr>
        <w:spacing w:after="100"/>
      </w:pPr>
      <w:r>
        <w:rPr>
          <w:rFonts w:ascii="Times New Roman" w:cs="Times New Roman" w:eastAsia="Times New Roman" w:hAnsi="Times New Roman"/>
          <w:b w:val="false"/>
          <w:bCs w:val="false"/>
          <w:i/>
          <w:iCs/>
          <w:sz w:val="22"/>
          <w:szCs w:val="22"/>
        </w:rPr>
        <w:t xml:space="preserve">Customer journey map de la contratación de productos por canal digital</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1500"/>
        <w:gridCol w:w="2100"/>
        <w:gridCol w:w="2300"/>
        <w:gridCol w:w="3126"/>
      </w:tblGrid>
      <w:tr>
        <w:trPr>
          <w:tblHeader/>
        </w:trPr>
        <w:tc>
          <w:tcPr>
            <w:tcW w:type="dxa" w:w="15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Etapa</w:t>
            </w:r>
          </w:p>
        </w:tc>
        <w:tc>
          <w:tcPr>
            <w:tcW w:type="dxa" w:w="21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Acciones del cliente</w:t>
            </w:r>
          </w:p>
        </w:tc>
        <w:tc>
          <w:tcPr>
            <w:tcW w:type="dxa" w:w="23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Puntos de contacto y sistemas</w:t>
            </w:r>
          </w:p>
        </w:tc>
        <w:tc>
          <w:tcPr>
            <w:tcW w:type="dxa" w:w="31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Dolor observado</w:t>
            </w:r>
          </w:p>
        </w:tc>
      </w:tr>
      <w:tr>
        <w:tc>
          <w:tcPr>
            <w:tcW w:type="dxa" w:w="1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1. Descubrimiento</w:t>
            </w:r>
          </w:p>
        </w:tc>
        <w:tc>
          <w:tcPr>
            <w:tcW w:type="dxa" w:w="21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Identifica una necesidad y explora la oferta.</w:t>
            </w:r>
          </w:p>
        </w:tc>
        <w:tc>
          <w:tcPr>
            <w:tcW w:type="dxa" w:w="2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App BBVA, web, publicidad, oficina.</w:t>
            </w:r>
          </w:p>
        </w:tc>
        <w:tc>
          <w:tcPr>
            <w:tcW w:type="dxa" w:w="3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NO HAY FUENTES EN INTERNET DISPONIBLES sobre tasas de conversión por punto de entrada.</w:t>
            </w:r>
          </w:p>
        </w:tc>
      </w:tr>
      <w:tr>
        <w:tc>
          <w:tcPr>
            <w:tcW w:type="dxa" w:w="1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2. Evaluación y elección</w:t>
            </w:r>
          </w:p>
        </w:tc>
        <w:tc>
          <w:tcPr>
            <w:tcW w:type="dxa" w:w="21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Compara condiciones, tasas y requisitos.</w:t>
            </w:r>
          </w:p>
        </w:tc>
        <w:tc>
          <w:tcPr>
            <w:tcW w:type="dxa" w:w="23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App, simuladores, asistente Blue Buddy.</w:t>
            </w:r>
          </w:p>
        </w:tc>
        <w:tc>
          <w:tcPr>
            <w:tcW w:type="dxa" w:w="3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La asimetría de penetración digital sugiere que ciertos productos no resultan comprensibles o confiables en autoservicio.</w:t>
            </w:r>
          </w:p>
        </w:tc>
      </w:tr>
      <w:tr>
        <w:tc>
          <w:tcPr>
            <w:tcW w:type="dxa" w:w="1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3. Contratación</w:t>
            </w:r>
          </w:p>
        </w:tc>
        <w:tc>
          <w:tcPr>
            <w:tcW w:type="dxa" w:w="21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Completa el proceso de alta del producto.</w:t>
            </w:r>
          </w:p>
        </w:tc>
        <w:tc>
          <w:tcPr>
            <w:tcW w:type="dxa" w:w="2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Apertura digital en cuatro minutos, oficina, contact center.</w:t>
            </w:r>
          </w:p>
        </w:tc>
        <w:tc>
          <w:tcPr>
            <w:tcW w:type="dxa" w:w="3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Penetración digital de solo 33 % en cuentas y 50 % en tarjetas, frente a 93 % en cambio de moneda (Banco BBVA Perú, 2026a, p. 3).</w:t>
            </w:r>
          </w:p>
        </w:tc>
      </w:tr>
      <w:tr>
        <w:tc>
          <w:tcPr>
            <w:tcW w:type="dxa" w:w="1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4. Activación y primer uso</w:t>
            </w:r>
          </w:p>
        </w:tc>
        <w:tc>
          <w:tcPr>
            <w:tcW w:type="dxa" w:w="21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Recibe el producto y realiza su primera operación.</w:t>
            </w:r>
          </w:p>
        </w:tc>
        <w:tc>
          <w:tcPr>
            <w:tcW w:type="dxa" w:w="23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App BBVA, cajeros, agentes, Plin y QR.</w:t>
            </w:r>
          </w:p>
        </w:tc>
        <w:tc>
          <w:tcPr>
            <w:tcW w:type="dxa" w:w="3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NO HAY FUENTES EN INTERNET DISPONIBLES sobre el porcentaje de productos contratados que no registran primer uso.</w:t>
            </w:r>
          </w:p>
        </w:tc>
      </w:tr>
      <w:tr>
        <w:tc>
          <w:tcPr>
            <w:tcW w:type="dxa" w:w="1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5. Uso recurrente</w:t>
            </w:r>
          </w:p>
        </w:tc>
        <w:tc>
          <w:tcPr>
            <w:tcW w:type="dxa" w:w="21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Opera de forma habitual por el canal digital.</w:t>
            </w:r>
          </w:p>
        </w:tc>
        <w:tc>
          <w:tcPr>
            <w:tcW w:type="dxa" w:w="2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App BBVA (85 % de operaciones monetarias), Blue Buddy.</w:t>
            </w:r>
          </w:p>
        </w:tc>
        <w:tc>
          <w:tcPr>
            <w:tcW w:type="dxa" w:w="3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Blue Buddy alcanzó 90 % de adopción con más de 14,000 consultas en junio, concentrando demanda que antes atendía el canal asistido (Banco BBVA Perú, 2026a, p. 4).</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con base en Banco BBVA Perú (2026a, pp. 3-4) y en los sistemas declarados en la Tabla 8 del Entregable 1.</w:t>
      </w:r>
    </w:p>
    <w:p>
      <w:pPr>
        <w:pStyle w:val="Heading2"/>
        <w:spacing w:after="160" w:before="260"/>
      </w:pPr>
      <w:r>
        <w:rPr>
          <w:rFonts w:ascii="Times New Roman" w:cs="Times New Roman" w:eastAsia="Times New Roman" w:hAnsi="Times New Roman"/>
          <w:b/>
          <w:bCs/>
          <w:i w:val="false"/>
          <w:iCs w:val="false"/>
          <w:sz w:val="24"/>
          <w:szCs w:val="24"/>
        </w:rPr>
        <w:t xml:space="preserve">3.6. Inventario de dolores identificados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Del análisis de los tres recorridos se desprenden diez dolores de negocio. La Tabla 18 los consolida indicando el proceso al que pertenecen, su formulación y la evidencia que los sustenta. Se incluyen dos dolores de carácter transversal (D4 y D10) que no se localizan en una etapa específica del recorrido, pero que condicionan la rentabilidad y el riesgo de los procesos analizados.</w:t>
      </w:r>
    </w:p>
    <w:p>
      <w:pPr>
        <w:spacing w:after="0" w:before="200"/>
      </w:pPr>
      <w:r>
        <w:rPr>
          <w:rFonts w:ascii="Times New Roman" w:cs="Times New Roman" w:eastAsia="Times New Roman" w:hAnsi="Times New Roman"/>
          <w:b/>
          <w:bCs/>
          <w:i w:val="false"/>
          <w:iCs w:val="false"/>
          <w:sz w:val="22"/>
          <w:szCs w:val="22"/>
        </w:rPr>
        <w:t xml:space="preserve">Tabla 18</w:t>
      </w:r>
    </w:p>
    <w:p>
      <w:pPr>
        <w:spacing w:after="100"/>
      </w:pPr>
      <w:r>
        <w:rPr>
          <w:rFonts w:ascii="Times New Roman" w:cs="Times New Roman" w:eastAsia="Times New Roman" w:hAnsi="Times New Roman"/>
          <w:b w:val="false"/>
          <w:bCs w:val="false"/>
          <w:i/>
          <w:iCs/>
          <w:sz w:val="22"/>
          <w:szCs w:val="22"/>
        </w:rPr>
        <w:t xml:space="preserve">Inventario de dolores de negocio identificados</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800"/>
        <w:gridCol w:w="2900"/>
        <w:gridCol w:w="1200"/>
        <w:gridCol w:w="4126"/>
      </w:tblGrid>
      <w:tr>
        <w:trPr>
          <w:tblHeader/>
        </w:trPr>
        <w:tc>
          <w:tcPr>
            <w:tcW w:type="dxa" w:w="8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Código</w:t>
            </w:r>
          </w:p>
        </w:tc>
        <w:tc>
          <w:tcPr>
            <w:tcW w:type="dxa" w:w="29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Dolor de negocio</w:t>
            </w:r>
          </w:p>
        </w:tc>
        <w:tc>
          <w:tcPr>
            <w:tcW w:type="dxa" w:w="12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Proceso E2E</w:t>
            </w:r>
          </w:p>
        </w:tc>
        <w:tc>
          <w:tcPr>
            <w:tcW w:type="dxa" w:w="41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Evidencia de sustento</w:t>
            </w:r>
          </w:p>
        </w:tc>
      </w:tr>
      <w:tr>
        <w:tc>
          <w:tcPr>
            <w:tcW w:type="dxa" w:w="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D1</w:t>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Dos tercios de las colocaciones Pyme se originan por canal asistido, pese a que la ruta digital resuelve el crédito en tres minutos.</w:t>
            </w:r>
          </w:p>
        </w:tc>
        <w:tc>
          <w:tcPr>
            <w:tcW w:type="dxa" w:w="1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E2E-1</w:t>
            </w:r>
          </w:p>
        </w:tc>
        <w:tc>
          <w:tcPr>
            <w:tcW w:type="dxa" w:w="4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Los créditos digitales representan un tercio de las colocaciones y se obtienen en tres minutos promedio (Reusche, 2026).</w:t>
            </w:r>
          </w:p>
        </w:tc>
      </w:tr>
      <w:tr>
        <w:tc>
          <w:tcPr>
            <w:tcW w:type="dxa" w:w="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D2</w:t>
            </w:r>
          </w:p>
        </w:tc>
        <w:tc>
          <w:tcPr>
            <w:tcW w:type="dxa" w:w="2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La satisfacción del segmento Pyme es la más baja de la entidad, en contraste con su crecimiento comercial.</w:t>
            </w:r>
          </w:p>
        </w:tc>
        <w:tc>
          <w:tcPr>
            <w:tcW w:type="dxa" w:w="1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E2E-1</w:t>
            </w:r>
          </w:p>
        </w:tc>
        <w:tc>
          <w:tcPr>
            <w:tcW w:type="dxa" w:w="4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NPS Pyme de 33.6 % frente a 52.57 % en retail (Banco BBVA Perú, 2026b), con crecimiento de facturación de 48 % (Reusche, 2026).</w:t>
            </w:r>
          </w:p>
        </w:tc>
      </w:tr>
      <w:tr>
        <w:tc>
          <w:tcPr>
            <w:tcW w:type="dxa" w:w="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D3</w:t>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La evaluación crediticia depende de información financiera que la microempresa no produce de forma estructurada.</w:t>
            </w:r>
          </w:p>
        </w:tc>
        <w:tc>
          <w:tcPr>
            <w:tcW w:type="dxa" w:w="1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E2E-1</w:t>
            </w:r>
          </w:p>
        </w:tc>
        <w:tc>
          <w:tcPr>
            <w:tcW w:type="dxa" w:w="4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Solo una de cada cuatro microempresas accede a crédito; la falta de información verificable eleva tasas y restringe líneas (Melo, 2026).</w:t>
            </w:r>
          </w:p>
        </w:tc>
      </w:tr>
      <w:tr>
        <w:tc>
          <w:tcPr>
            <w:tcW w:type="dxa" w:w="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D4</w:t>
            </w:r>
          </w:p>
        </w:tc>
        <w:tc>
          <w:tcPr>
            <w:tcW w:type="dxa" w:w="2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El segmento de microempresa concentra el mayor riesgo crediticio del sistema.</w:t>
            </w:r>
          </w:p>
        </w:tc>
        <w:tc>
          <w:tcPr>
            <w:tcW w:type="dxa" w:w="1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Transversal E2E-1</w:t>
            </w:r>
          </w:p>
        </w:tc>
        <w:tc>
          <w:tcPr>
            <w:tcW w:type="dxa" w:w="4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Morosidad MYPE de 6.9 % frente a 3.3 % del sistema financiero a marzo de 2026 (Salazar Herrada, 2026).</w:t>
            </w:r>
          </w:p>
        </w:tc>
      </w:tr>
      <w:tr>
        <w:tc>
          <w:tcPr>
            <w:tcW w:type="dxa" w:w="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D5</w:t>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Alta exposición sancionatoria del sector por operaciones no reconocidas.</w:t>
            </w:r>
          </w:p>
        </w:tc>
        <w:tc>
          <w:tcPr>
            <w:tcW w:type="dxa" w:w="1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E2E-2</w:t>
            </w:r>
          </w:p>
        </w:tc>
        <w:tc>
          <w:tcPr>
            <w:tcW w:type="dxa" w:w="4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2,601 de 2,891 sanciones del Indecopi recayeron en el sistema financiero, con multas por 3,978.8 UIT (Andina, 2025).</w:t>
            </w:r>
          </w:p>
        </w:tc>
      </w:tr>
      <w:tr>
        <w:tc>
          <w:tcPr>
            <w:tcW w:type="dxa" w:w="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D6</w:t>
            </w:r>
          </w:p>
        </w:tc>
        <w:tc>
          <w:tcPr>
            <w:tcW w:type="dxa" w:w="2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El ritmo de sanciones por operaciones no reconocidas se ha acelerado.</w:t>
            </w:r>
          </w:p>
        </w:tc>
        <w:tc>
          <w:tcPr>
            <w:tcW w:type="dxa" w:w="1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E2E-2</w:t>
            </w:r>
          </w:p>
        </w:tc>
        <w:tc>
          <w:tcPr>
            <w:tcW w:type="dxa" w:w="4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De 1,284 sanciones acumuladas a julio de 2023 (Diario Oficial El Peruano, 2023) a 2,601 a marzo de 2025 (Andina, 2025).</w:t>
            </w:r>
          </w:p>
        </w:tc>
      </w:tr>
      <w:tr>
        <w:tc>
          <w:tcPr>
            <w:tcW w:type="dxa" w:w="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D7</w:t>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La resolución del reclamo por operación no reconocida depende de coordinación entre áreas por debajo de la línea de visibilidad, con trazabilidad parcial para el cliente.</w:t>
            </w:r>
          </w:p>
        </w:tc>
        <w:tc>
          <w:tcPr>
            <w:tcW w:type="dxa" w:w="1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E2E-2</w:t>
            </w:r>
          </w:p>
        </w:tc>
        <w:tc>
          <w:tcPr>
            <w:tcW w:type="dxa" w:w="4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Análisis de la Tabla 16; plazo regulatorio de quince días hábiles (Andina, 2025). Tiempo efectivo: NO HAY FUENTES EN INTERNET DISPONIBLES.</w:t>
            </w:r>
          </w:p>
        </w:tc>
      </w:tr>
      <w:tr>
        <w:tc>
          <w:tcPr>
            <w:tcW w:type="dxa" w:w="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D8</w:t>
            </w:r>
          </w:p>
        </w:tc>
        <w:tc>
          <w:tcPr>
            <w:tcW w:type="dxa" w:w="2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La superficie de exposición al fraude crece más rápido que la base de clientes.</w:t>
            </w:r>
          </w:p>
        </w:tc>
        <w:tc>
          <w:tcPr>
            <w:tcW w:type="dxa" w:w="1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E2E-2</w:t>
            </w:r>
          </w:p>
        </w:tc>
        <w:tc>
          <w:tcPr>
            <w:tcW w:type="dxa" w:w="4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Más de 350 millones de transacciones acumuladas, con crecimiento de 38 % (Banco BBVA Perú, 2026a, p. 3).</w:t>
            </w:r>
          </w:p>
        </w:tc>
      </w:tr>
      <w:tr>
        <w:tc>
          <w:tcPr>
            <w:tcW w:type="dxa" w:w="8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D9</w:t>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La penetración digital es muy dispar entre productos: dos de cada tres cuentas se contratan por canal asistido.</w:t>
            </w:r>
          </w:p>
        </w:tc>
        <w:tc>
          <w:tcPr>
            <w:tcW w:type="dxa" w:w="1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E2E-3</w:t>
            </w:r>
          </w:p>
        </w:tc>
        <w:tc>
          <w:tcPr>
            <w:tcW w:type="dxa" w:w="4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Penetración digital de 33 % en cuentas y 50 % en tarjetas, frente a 93 % en cambio de moneda (Banco BBVA Perú, 2026a, p. 3).</w:t>
            </w:r>
          </w:p>
        </w:tc>
      </w:tr>
      <w:tr>
        <w:tc>
          <w:tcPr>
            <w:tcW w:type="dxa" w:w="8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D10</w:t>
            </w:r>
          </w:p>
        </w:tc>
        <w:tc>
          <w:tcPr>
            <w:tcW w:type="dxa" w:w="2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La rentabilidad se ubica por debajo del promedio de los bancos grandes del sistema.</w:t>
            </w:r>
          </w:p>
        </w:tc>
        <w:tc>
          <w:tcPr>
            <w:tcW w:type="dxa" w:w="1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Transversal E2E-3</w:t>
            </w:r>
          </w:p>
        </w:tc>
        <w:tc>
          <w:tcPr>
            <w:tcW w:type="dxa" w:w="4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ROE de 18.7 % a junio de 2026 (Banco BBVA Perú, 2026a, p. 32) frente a 20.4 % de los bancos grandes a marzo de 2026 (Salazar Herrada, 2026).</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La comparación del dolor D10 combina cortes de información distintos (junio de 2026 para la entidad y marzo de 2026 para el sistema), por lo que debe interpretarse como referencia direccional y no como una brecha exacta.</w:t>
      </w:r>
    </w:p>
    <w:p>
      <w:pPr>
        <w:pStyle w:val="Heading2"/>
        <w:spacing w:after="160" w:before="260"/>
      </w:pPr>
      <w:r>
        <w:rPr>
          <w:rFonts w:ascii="Times New Roman" w:cs="Times New Roman" w:eastAsia="Times New Roman" w:hAnsi="Times New Roman"/>
          <w:b/>
          <w:bCs/>
          <w:i w:val="false"/>
          <w:iCs w:val="false"/>
          <w:sz w:val="24"/>
          <w:szCs w:val="24"/>
        </w:rPr>
        <w:t xml:space="preserve">3.7. Criterios y escala de evaluación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Los seis criterios exigidos por el enunciado se operacionalizan en la Tabla 19. La ponderación asignada refleja el propósito del plan estratégico de sistemas de información: se privilegia el impacto estratégico porque un dolor que no compromete un objetivo declarado no justifica inversión tecnológica, y se otorga peso equivalente al impacto económico y al impacto en la experiencia, que son las dos vías por las que un dolor destruye valor. La viabilidad tecnológica opera como filtro de realismo, mientras que urgencia y medición modulan la secuencia de atención sin alterar sustantivamente la jerarquía.</w:t>
      </w:r>
    </w:p>
    <w:p>
      <w:pPr>
        <w:spacing w:after="0" w:before="200"/>
      </w:pPr>
      <w:r>
        <w:rPr>
          <w:rFonts w:ascii="Times New Roman" w:cs="Times New Roman" w:eastAsia="Times New Roman" w:hAnsi="Times New Roman"/>
          <w:b/>
          <w:bCs/>
          <w:i w:val="false"/>
          <w:iCs w:val="false"/>
          <w:sz w:val="22"/>
          <w:szCs w:val="22"/>
        </w:rPr>
        <w:t xml:space="preserve">Tabla 19</w:t>
      </w:r>
    </w:p>
    <w:p>
      <w:pPr>
        <w:spacing w:after="100"/>
      </w:pPr>
      <w:r>
        <w:rPr>
          <w:rFonts w:ascii="Times New Roman" w:cs="Times New Roman" w:eastAsia="Times New Roman" w:hAnsi="Times New Roman"/>
          <w:b w:val="false"/>
          <w:bCs w:val="false"/>
          <w:i/>
          <w:iCs/>
          <w:sz w:val="22"/>
          <w:szCs w:val="22"/>
        </w:rPr>
        <w:t xml:space="preserve">Criterios de evaluación, pregunta orientadora y ponderación</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1700"/>
        <w:gridCol w:w="2500"/>
        <w:gridCol w:w="700"/>
        <w:gridCol w:w="4126"/>
      </w:tblGrid>
      <w:tr>
        <w:trPr>
          <w:tblHeader/>
        </w:trPr>
        <w:tc>
          <w:tcPr>
            <w:tcW w:type="dxa" w:w="17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Criterio</w:t>
            </w:r>
          </w:p>
        </w:tc>
        <w:tc>
          <w:tcPr>
            <w:tcW w:type="dxa" w:w="25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Pregunta orientadora</w:t>
            </w:r>
          </w:p>
        </w:tc>
        <w:tc>
          <w:tcPr>
            <w:tcW w:type="dxa" w:w="7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Peso</w:t>
            </w:r>
          </w:p>
        </w:tc>
        <w:tc>
          <w:tcPr>
            <w:tcW w:type="dxa" w:w="41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Escala de calificación (1 a 5)</w:t>
            </w:r>
          </w:p>
        </w:tc>
      </w:tr>
      <w:tr>
        <w:tc>
          <w:tcPr>
            <w:tcW w:type="dxa" w:w="1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Impacto estratégico</w:t>
            </w:r>
          </w:p>
        </w:tc>
        <w:tc>
          <w:tcPr>
            <w:tcW w:type="dxa" w:w="2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¿El dolor afecta objetivos clave del negocio?</w:t>
            </w:r>
          </w:p>
        </w:tc>
        <w:tc>
          <w:tcPr>
            <w:tcW w:type="dxa" w:w="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25 %</w:t>
            </w:r>
          </w:p>
        </w:tc>
        <w:tc>
          <w:tcPr>
            <w:tcW w:type="dxa" w:w="4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 no se vincula a ningún objetivo. 5: compromete dos o más prioridades del ciclo 2025-2029.</w:t>
            </w:r>
          </w:p>
        </w:tc>
      </w:tr>
      <w:tr>
        <w:tc>
          <w:tcPr>
            <w:tcW w:type="dxa" w:w="17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Impacto económico</w:t>
            </w:r>
          </w:p>
        </w:tc>
        <w:tc>
          <w:tcPr>
            <w:tcW w:type="dxa" w:w="2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¿Genera pérdida de ingresos o sobrecostos?</w:t>
            </w:r>
          </w:p>
        </w:tc>
        <w:tc>
          <w:tcPr>
            <w:tcW w:type="dxa" w:w="7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20 %</w:t>
            </w:r>
          </w:p>
        </w:tc>
        <w:tc>
          <w:tcPr>
            <w:tcW w:type="dxa" w:w="4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 efecto económico no identificable. 5: pérdida o sobrecosto material y recurrente.</w:t>
            </w:r>
          </w:p>
        </w:tc>
      </w:tr>
      <w:tr>
        <w:tc>
          <w:tcPr>
            <w:tcW w:type="dxa" w:w="1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Impacto en experiencia</w:t>
            </w:r>
          </w:p>
        </w:tc>
        <w:tc>
          <w:tcPr>
            <w:tcW w:type="dxa" w:w="2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¿Afecta al cliente?</w:t>
            </w:r>
          </w:p>
        </w:tc>
        <w:tc>
          <w:tcPr>
            <w:tcW w:type="dxa" w:w="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20 %</w:t>
            </w:r>
          </w:p>
        </w:tc>
        <w:tc>
          <w:tcPr>
            <w:tcW w:type="dxa" w:w="4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 imperceptible para el cliente. 5: afecta directamente su satisfacción o permanencia.</w:t>
            </w:r>
          </w:p>
        </w:tc>
      </w:tr>
      <w:tr>
        <w:tc>
          <w:tcPr>
            <w:tcW w:type="dxa" w:w="17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Viabilidad tecnológica</w:t>
            </w:r>
          </w:p>
        </w:tc>
        <w:tc>
          <w:tcPr>
            <w:tcW w:type="dxa" w:w="2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¿Puede abordarse con datos, sistemas y automatización?</w:t>
            </w:r>
          </w:p>
        </w:tc>
        <w:tc>
          <w:tcPr>
            <w:tcW w:type="dxa" w:w="7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15 %</w:t>
            </w:r>
          </w:p>
        </w:tc>
        <w:tc>
          <w:tcPr>
            <w:tcW w:type="dxa" w:w="4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 requiere capacidades inexistentes. 5: abordable con la plataforma y los datos ya disponibles.</w:t>
            </w:r>
          </w:p>
        </w:tc>
      </w:tr>
      <w:tr>
        <w:tc>
          <w:tcPr>
            <w:tcW w:type="dxa" w:w="1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Urgencia</w:t>
            </w:r>
          </w:p>
        </w:tc>
        <w:tc>
          <w:tcPr>
            <w:tcW w:type="dxa" w:w="2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¿Es un problema relevante para la dirección?</w:t>
            </w:r>
          </w:p>
        </w:tc>
        <w:tc>
          <w:tcPr>
            <w:tcW w:type="dxa" w:w="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10 %</w:t>
            </w:r>
          </w:p>
        </w:tc>
        <w:tc>
          <w:tcPr>
            <w:tcW w:type="dxa" w:w="4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 sin presión temporal. 5: exposición regulatoria o competitiva inmediata.</w:t>
            </w:r>
          </w:p>
        </w:tc>
      </w:tr>
      <w:tr>
        <w:tc>
          <w:tcPr>
            <w:tcW w:type="dxa" w:w="17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Medición</w:t>
            </w:r>
          </w:p>
        </w:tc>
        <w:tc>
          <w:tcPr>
            <w:tcW w:type="dxa" w:w="2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¿Se puede medir antes y después?</w:t>
            </w:r>
          </w:p>
        </w:tc>
        <w:tc>
          <w:tcPr>
            <w:tcW w:type="dxa" w:w="7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10 %</w:t>
            </w:r>
          </w:p>
        </w:tc>
        <w:tc>
          <w:tcPr>
            <w:tcW w:type="dxa" w:w="4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 sin indicador disponible ni construible. 5: indicador con línea base pública y medición periódica.</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sobre la base de los criterios establecidos en el enunciado del trabajo del curso.</w:t>
      </w:r>
    </w:p>
    <w:p>
      <w:pPr>
        <w:pStyle w:val="Heading2"/>
        <w:spacing w:after="160" w:before="260"/>
      </w:pPr>
      <w:r>
        <w:rPr>
          <w:rFonts w:ascii="Times New Roman" w:cs="Times New Roman" w:eastAsia="Times New Roman" w:hAnsi="Times New Roman"/>
          <w:b/>
          <w:bCs/>
          <w:i w:val="false"/>
          <w:iCs w:val="false"/>
          <w:sz w:val="24"/>
          <w:szCs w:val="24"/>
        </w:rPr>
        <w:t xml:space="preserve">3.8. Matriz de priorización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La Tabla 20 presenta la calificación de cada dolor en los seis criterios y el puntaje ponderado resultante. La calificación constituye un juicio del equipo fundamentado en la evidencia consignada en la Tabla 18; no se trata de una medición efectuada por la entidad.</w:t>
      </w:r>
    </w:p>
    <w:p>
      <w:pPr>
        <w:spacing w:after="0" w:before="200"/>
      </w:pPr>
      <w:r>
        <w:rPr>
          <w:rFonts w:ascii="Times New Roman" w:cs="Times New Roman" w:eastAsia="Times New Roman" w:hAnsi="Times New Roman"/>
          <w:b/>
          <w:bCs/>
          <w:i w:val="false"/>
          <w:iCs w:val="false"/>
          <w:sz w:val="22"/>
          <w:szCs w:val="22"/>
        </w:rPr>
        <w:t xml:space="preserve">Tabla 20</w:t>
      </w:r>
    </w:p>
    <w:p>
      <w:pPr>
        <w:spacing w:after="100"/>
      </w:pPr>
      <w:r>
        <w:rPr>
          <w:rFonts w:ascii="Times New Roman" w:cs="Times New Roman" w:eastAsia="Times New Roman" w:hAnsi="Times New Roman"/>
          <w:b w:val="false"/>
          <w:bCs w:val="false"/>
          <w:i/>
          <w:iCs/>
          <w:sz w:val="22"/>
          <w:szCs w:val="22"/>
        </w:rPr>
        <w:t xml:space="preserve">Matriz de priorización de los dolores de negocio</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850"/>
        <w:gridCol w:w="950"/>
        <w:gridCol w:w="950"/>
        <w:gridCol w:w="1200"/>
        <w:gridCol w:w="1000"/>
        <w:gridCol w:w="900"/>
        <w:gridCol w:w="900"/>
        <w:gridCol w:w="1050"/>
        <w:gridCol w:w="1226"/>
      </w:tblGrid>
      <w:tr>
        <w:trPr>
          <w:tblHeader/>
        </w:trPr>
        <w:tc>
          <w:tcPr>
            <w:tcW w:type="dxa" w:w="85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Dolor</w:t>
            </w:r>
          </w:p>
        </w:tc>
        <w:tc>
          <w:tcPr>
            <w:tcW w:type="dxa" w:w="95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Impacto</w:t>
            </w:r>
          </w:p>
          <w:p>
            <w:pPr>
              <w:spacing w:after="0" w:line="240"/>
              <w:jc w:val="center"/>
            </w:pPr>
            <w:r>
              <w:rPr>
                <w:rFonts w:ascii="Times New Roman" w:cs="Times New Roman" w:eastAsia="Times New Roman" w:hAnsi="Times New Roman"/>
                <w:b/>
                <w:bCs/>
                <w:i w:val="false"/>
                <w:iCs w:val="false"/>
                <w:color w:val="FFFFFF"/>
                <w:sz w:val="16"/>
                <w:szCs w:val="16"/>
              </w:rPr>
              <w:t xml:space="preserve">estratégico</w:t>
            </w:r>
          </w:p>
          <w:p>
            <w:pPr>
              <w:spacing w:after="0" w:line="240"/>
              <w:jc w:val="center"/>
            </w:pPr>
            <w:r>
              <w:rPr>
                <w:rFonts w:ascii="Times New Roman" w:cs="Times New Roman" w:eastAsia="Times New Roman" w:hAnsi="Times New Roman"/>
                <w:b/>
                <w:bCs/>
                <w:i w:val="false"/>
                <w:iCs w:val="false"/>
                <w:color w:val="FFFFFF"/>
                <w:sz w:val="16"/>
                <w:szCs w:val="16"/>
              </w:rPr>
              <w:t xml:space="preserve">(25 %)</w:t>
            </w:r>
          </w:p>
        </w:tc>
        <w:tc>
          <w:tcPr>
            <w:tcW w:type="dxa" w:w="95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Impacto</w:t>
            </w:r>
          </w:p>
          <w:p>
            <w:pPr>
              <w:spacing w:after="0" w:line="240"/>
              <w:jc w:val="center"/>
            </w:pPr>
            <w:r>
              <w:rPr>
                <w:rFonts w:ascii="Times New Roman" w:cs="Times New Roman" w:eastAsia="Times New Roman" w:hAnsi="Times New Roman"/>
                <w:b/>
                <w:bCs/>
                <w:i w:val="false"/>
                <w:iCs w:val="false"/>
                <w:color w:val="FFFFFF"/>
                <w:sz w:val="16"/>
                <w:szCs w:val="16"/>
              </w:rPr>
              <w:t xml:space="preserve">económico</w:t>
            </w:r>
          </w:p>
          <w:p>
            <w:pPr>
              <w:spacing w:after="0" w:line="240"/>
              <w:jc w:val="center"/>
            </w:pPr>
            <w:r>
              <w:rPr>
                <w:rFonts w:ascii="Times New Roman" w:cs="Times New Roman" w:eastAsia="Times New Roman" w:hAnsi="Times New Roman"/>
                <w:b/>
                <w:bCs/>
                <w:i w:val="false"/>
                <w:iCs w:val="false"/>
                <w:color w:val="FFFFFF"/>
                <w:sz w:val="16"/>
                <w:szCs w:val="16"/>
              </w:rPr>
              <w:t xml:space="preserve">(20 %)</w:t>
            </w:r>
          </w:p>
        </w:tc>
        <w:tc>
          <w:tcPr>
            <w:tcW w:type="dxa" w:w="12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Impacto en</w:t>
            </w:r>
          </w:p>
          <w:p>
            <w:pPr>
              <w:spacing w:after="0" w:line="240"/>
              <w:jc w:val="center"/>
            </w:pPr>
            <w:r>
              <w:rPr>
                <w:rFonts w:ascii="Times New Roman" w:cs="Times New Roman" w:eastAsia="Times New Roman" w:hAnsi="Times New Roman"/>
                <w:b/>
                <w:bCs/>
                <w:i w:val="false"/>
                <w:iCs w:val="false"/>
                <w:color w:val="FFFFFF"/>
                <w:sz w:val="16"/>
                <w:szCs w:val="16"/>
              </w:rPr>
              <w:t xml:space="preserve">experiencia</w:t>
            </w:r>
          </w:p>
          <w:p>
            <w:pPr>
              <w:spacing w:after="0" w:line="240"/>
              <w:jc w:val="center"/>
            </w:pPr>
            <w:r>
              <w:rPr>
                <w:rFonts w:ascii="Times New Roman" w:cs="Times New Roman" w:eastAsia="Times New Roman" w:hAnsi="Times New Roman"/>
                <w:b/>
                <w:bCs/>
                <w:i w:val="false"/>
                <w:iCs w:val="false"/>
                <w:color w:val="FFFFFF"/>
                <w:sz w:val="16"/>
                <w:szCs w:val="16"/>
              </w:rPr>
              <w:t xml:space="preserve">(20 %)</w:t>
            </w:r>
          </w:p>
        </w:tc>
        <w:tc>
          <w:tcPr>
            <w:tcW w:type="dxa" w:w="10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Viabilidad</w:t>
            </w:r>
          </w:p>
          <w:p>
            <w:pPr>
              <w:spacing w:after="0" w:line="240"/>
              <w:jc w:val="center"/>
            </w:pPr>
            <w:r>
              <w:rPr>
                <w:rFonts w:ascii="Times New Roman" w:cs="Times New Roman" w:eastAsia="Times New Roman" w:hAnsi="Times New Roman"/>
                <w:b/>
                <w:bCs/>
                <w:i w:val="false"/>
                <w:iCs w:val="false"/>
                <w:color w:val="FFFFFF"/>
                <w:sz w:val="16"/>
                <w:szCs w:val="16"/>
              </w:rPr>
              <w:t xml:space="preserve">tecnológica</w:t>
            </w:r>
          </w:p>
          <w:p>
            <w:pPr>
              <w:spacing w:after="0" w:line="240"/>
              <w:jc w:val="center"/>
            </w:pPr>
            <w:r>
              <w:rPr>
                <w:rFonts w:ascii="Times New Roman" w:cs="Times New Roman" w:eastAsia="Times New Roman" w:hAnsi="Times New Roman"/>
                <w:b/>
                <w:bCs/>
                <w:i w:val="false"/>
                <w:iCs w:val="false"/>
                <w:color w:val="FFFFFF"/>
                <w:sz w:val="16"/>
                <w:szCs w:val="16"/>
              </w:rPr>
              <w:t xml:space="preserve">(15 %)</w:t>
            </w:r>
          </w:p>
        </w:tc>
        <w:tc>
          <w:tcPr>
            <w:tcW w:type="dxa" w:w="9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Urgencia</w:t>
            </w:r>
          </w:p>
          <w:p>
            <w:pPr>
              <w:spacing w:after="0" w:line="240"/>
              <w:jc w:val="center"/>
            </w:pPr>
            <w:r>
              <w:rPr>
                <w:rFonts w:ascii="Times New Roman" w:cs="Times New Roman" w:eastAsia="Times New Roman" w:hAnsi="Times New Roman"/>
                <w:b/>
                <w:bCs/>
                <w:i w:val="false"/>
                <w:iCs w:val="false"/>
                <w:color w:val="FFFFFF"/>
                <w:sz w:val="16"/>
                <w:szCs w:val="16"/>
              </w:rPr>
              <w:t xml:space="preserve">(10 %)</w:t>
            </w:r>
          </w:p>
        </w:tc>
        <w:tc>
          <w:tcPr>
            <w:tcW w:type="dxa" w:w="9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Medición</w:t>
            </w:r>
          </w:p>
          <w:p>
            <w:pPr>
              <w:spacing w:after="0" w:line="240"/>
              <w:jc w:val="center"/>
            </w:pPr>
            <w:r>
              <w:rPr>
                <w:rFonts w:ascii="Times New Roman" w:cs="Times New Roman" w:eastAsia="Times New Roman" w:hAnsi="Times New Roman"/>
                <w:b/>
                <w:bCs/>
                <w:i w:val="false"/>
                <w:iCs w:val="false"/>
                <w:color w:val="FFFFFF"/>
                <w:sz w:val="16"/>
                <w:szCs w:val="16"/>
              </w:rPr>
              <w:t xml:space="preserve">(10 %)</w:t>
            </w:r>
          </w:p>
        </w:tc>
        <w:tc>
          <w:tcPr>
            <w:tcW w:type="dxa" w:w="105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Puntaje</w:t>
            </w:r>
          </w:p>
          <w:p>
            <w:pPr>
              <w:spacing w:after="0" w:line="240"/>
              <w:jc w:val="center"/>
            </w:pPr>
            <w:r>
              <w:rPr>
                <w:rFonts w:ascii="Times New Roman" w:cs="Times New Roman" w:eastAsia="Times New Roman" w:hAnsi="Times New Roman"/>
                <w:b/>
                <w:bCs/>
                <w:i w:val="false"/>
                <w:iCs w:val="false"/>
                <w:color w:val="FFFFFF"/>
                <w:sz w:val="16"/>
                <w:szCs w:val="16"/>
              </w:rPr>
              <w:t xml:space="preserve">ponderado</w:t>
            </w:r>
          </w:p>
        </w:tc>
        <w:tc>
          <w:tcPr>
            <w:tcW w:type="dxa" w:w="12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Orden</w:t>
            </w:r>
          </w:p>
        </w:tc>
      </w:tr>
      <w:tr>
        <w:tc>
          <w:tcPr>
            <w:tcW w:type="dxa" w:w="8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D1</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2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0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4.70</w:t>
            </w:r>
          </w:p>
        </w:tc>
        <w:tc>
          <w:tcPr>
            <w:tcW w:type="dxa" w:w="1226"/>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1.º</w:t>
            </w:r>
          </w:p>
        </w:tc>
      </w:tr>
      <w:tr>
        <w:tc>
          <w:tcPr>
            <w:tcW w:type="dxa" w:w="8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D5</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2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0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4.55</w:t>
            </w:r>
          </w:p>
        </w:tc>
        <w:tc>
          <w:tcPr>
            <w:tcW w:type="dxa" w:w="1226"/>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2.º</w:t>
            </w:r>
          </w:p>
        </w:tc>
      </w:tr>
      <w:tr>
        <w:tc>
          <w:tcPr>
            <w:tcW w:type="dxa" w:w="8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D7</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2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0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0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4.50</w:t>
            </w:r>
          </w:p>
        </w:tc>
        <w:tc>
          <w:tcPr>
            <w:tcW w:type="dxa" w:w="1226"/>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3.º</w:t>
            </w:r>
          </w:p>
        </w:tc>
      </w:tr>
      <w:tr>
        <w:tc>
          <w:tcPr>
            <w:tcW w:type="dxa" w:w="8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D9</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2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0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4.40</w:t>
            </w:r>
          </w:p>
        </w:tc>
        <w:tc>
          <w:tcPr>
            <w:tcW w:type="dxa" w:w="1226"/>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4.º</w:t>
            </w:r>
          </w:p>
        </w:tc>
      </w:tr>
      <w:tr>
        <w:tc>
          <w:tcPr>
            <w:tcW w:type="dxa" w:w="8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D2</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2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0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4.10</w:t>
            </w:r>
          </w:p>
        </w:tc>
        <w:tc>
          <w:tcPr>
            <w:tcW w:type="dxa" w:w="1226"/>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5.º</w:t>
            </w:r>
          </w:p>
        </w:tc>
      </w:tr>
      <w:tr>
        <w:tc>
          <w:tcPr>
            <w:tcW w:type="dxa" w:w="8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D8</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2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4.00</w:t>
            </w:r>
          </w:p>
        </w:tc>
        <w:tc>
          <w:tcPr>
            <w:tcW w:type="dxa" w:w="1226"/>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6.º</w:t>
            </w:r>
          </w:p>
        </w:tc>
      </w:tr>
      <w:tr>
        <w:tc>
          <w:tcPr>
            <w:tcW w:type="dxa" w:w="8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D6</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2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3.95</w:t>
            </w:r>
          </w:p>
        </w:tc>
        <w:tc>
          <w:tcPr>
            <w:tcW w:type="dxa" w:w="1226"/>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7.º</w:t>
            </w:r>
          </w:p>
        </w:tc>
      </w:tr>
      <w:tr>
        <w:tc>
          <w:tcPr>
            <w:tcW w:type="dxa" w:w="8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D4</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2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2</w:t>
            </w:r>
          </w:p>
        </w:tc>
        <w:tc>
          <w:tcPr>
            <w:tcW w:type="dxa" w:w="10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0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3.90</w:t>
            </w:r>
          </w:p>
        </w:tc>
        <w:tc>
          <w:tcPr>
            <w:tcW w:type="dxa" w:w="1226"/>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8.º</w:t>
            </w:r>
          </w:p>
        </w:tc>
      </w:tr>
      <w:tr>
        <w:tc>
          <w:tcPr>
            <w:tcW w:type="dxa" w:w="8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D3</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2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90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050"/>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3.80</w:t>
            </w:r>
          </w:p>
        </w:tc>
        <w:tc>
          <w:tcPr>
            <w:tcW w:type="dxa" w:w="1226"/>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9.º</w:t>
            </w:r>
          </w:p>
        </w:tc>
      </w:tr>
      <w:tr>
        <w:tc>
          <w:tcPr>
            <w:tcW w:type="dxa" w:w="8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sz w:val="16"/>
                <w:szCs w:val="16"/>
              </w:rPr>
              <w:t xml:space="preserve">D10</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12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1</w:t>
            </w:r>
          </w:p>
        </w:tc>
        <w:tc>
          <w:tcPr>
            <w:tcW w:type="dxa" w:w="10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2</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1050"/>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3.30</w:t>
            </w:r>
          </w:p>
        </w:tc>
        <w:tc>
          <w:tcPr>
            <w:tcW w:type="dxa" w:w="1226"/>
            <w:shd w:fill="F2F5FA"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10.º</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El puntaje ponderado se obtiene como la suma del producto de cada calificación por el peso del criterio correspondiente definido en la Tabla 19.</w:t>
      </w:r>
    </w:p>
    <w:p>
      <w:pPr>
        <w:pStyle w:val="Heading2"/>
        <w:spacing w:after="160" w:before="260"/>
      </w:pPr>
      <w:r>
        <w:rPr>
          <w:rFonts w:ascii="Times New Roman" w:cs="Times New Roman" w:eastAsia="Times New Roman" w:hAnsi="Times New Roman"/>
          <w:b/>
          <w:bCs/>
          <w:i w:val="false"/>
          <w:iCs w:val="false"/>
          <w:sz w:val="24"/>
          <w:szCs w:val="24"/>
        </w:rPr>
        <w:t xml:space="preserve">3.9. Resultado de la priorización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La matriz ordena los diez dolores en tres bloques claramente diferenciados. Un primer bloque de alta prioridad, con puntajes entre 4.40 y 4.70, reúne a D1, D5, D7 y D9: son dolores que comprometen simultáneamente objetivos estratégicos, resultado económico y experiencia del cliente, y que además resultan abordables con la plataforma de datos e inteligencia artificial ya desplegada. Un segundo bloque, entre 3.90 y 4.10, agrupa dolores relevantes cuya atención depende de resolver primero los del primer bloque. Finalmente, D10 queda en último lugar: aunque su impacto económico es máximo, se trata de un efecto agregado antes que de un dolor de proceso, y su viabilidad tecnológica directa es baja.</w:t>
      </w:r>
    </w:p>
    <w:p>
      <w:pPr>
        <w:spacing w:after="120" w:before="0" w:line="360"/>
        <w:jc w:val="both"/>
      </w:pPr>
      <w:r>
        <w:rPr>
          <w:rFonts w:ascii="Times New Roman" w:cs="Times New Roman" w:eastAsia="Times New Roman" w:hAnsi="Times New Roman"/>
          <w:b/>
          <w:bCs/>
          <w:i w:val="false"/>
          <w:iCs w:val="false"/>
          <w:sz w:val="22"/>
          <w:szCs w:val="22"/>
        </w:rPr>
        <w:t xml:space="preserve">Regla de no redundancia.</w:t>
      </w:r>
      <w:r>
        <w:rPr>
          <w:rFonts w:ascii="Times New Roman" w:cs="Times New Roman" w:eastAsia="Times New Roman" w:hAnsi="Times New Roman"/>
          <w:b w:val="false"/>
          <w:bCs w:val="false"/>
          <w:i w:val="false"/>
          <w:iCs w:val="false"/>
          <w:sz w:val="22"/>
          <w:szCs w:val="22"/>
        </w:rPr>
        <w:t xml:space="preserve"> Los dolores D5 y D7 pertenecen al mismo proceso extremo a extremo y guardan una relación de causa y efecto: D7 describe la debilidad operativa en la resolución del reclamo y D5 su consecuencia sancionatoria. Tratarlos como dos dolores críticos independientes conduciría a formular dos veces la misma iniciativa. Por ello se consolidan en un único dolor crítico, conservando el puntaje del componente de mayor calificación, y se incorpora D9 como tercer dolor crítico. Este criterio se declara de forma explícita porque modifica la selección respecto del orden estricto de la matriz.</w:t>
      </w:r>
    </w:p>
    <w:p>
      <w:pPr>
        <w:pStyle w:val="Heading1"/>
        <w:spacing w:after="200" w:before="320"/>
      </w:pPr>
      <w:r>
        <w:rPr>
          <w:rFonts w:ascii="Times New Roman" w:cs="Times New Roman" w:eastAsia="Times New Roman" w:hAnsi="Times New Roman"/>
          <w:b/>
          <w:bCs/>
          <w:i w:val="false"/>
          <w:iCs w:val="false"/>
          <w:sz w:val="26"/>
          <w:szCs w:val="26"/>
        </w:rPr>
        <w:t xml:space="preserve">4. Alineamiento estratégico del dolor priorizado</w:t>
      </w:r>
    </w:p>
    <w:p>
      <w:pPr>
        <w:pStyle w:val="Heading2"/>
        <w:spacing w:after="160" w:before="260"/>
      </w:pPr>
      <w:r>
        <w:rPr>
          <w:rFonts w:ascii="Times New Roman" w:cs="Times New Roman" w:eastAsia="Times New Roman" w:hAnsi="Times New Roman"/>
          <w:b/>
          <w:bCs/>
          <w:i w:val="false"/>
          <w:iCs w:val="false"/>
          <w:sz w:val="24"/>
          <w:szCs w:val="24"/>
        </w:rPr>
        <w:t xml:space="preserve">4.1. Selección de los tres dolores críticos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Aplicando el resultado de la matriz y la regla de no redundancia, se seleccionan los tres dolores críticos que se detallan en la Tabla 21. Los tres cubren procesos extremo a extremo distintos, lo que evita que el plan estratégico de sistemas de información concentre toda su capacidad de intervención en un solo frente.</w:t>
      </w:r>
    </w:p>
    <w:p>
      <w:pPr>
        <w:spacing w:after="0" w:before="200"/>
      </w:pPr>
      <w:r>
        <w:rPr>
          <w:rFonts w:ascii="Times New Roman" w:cs="Times New Roman" w:eastAsia="Times New Roman" w:hAnsi="Times New Roman"/>
          <w:b/>
          <w:bCs/>
          <w:i w:val="false"/>
          <w:iCs w:val="false"/>
          <w:sz w:val="22"/>
          <w:szCs w:val="22"/>
        </w:rPr>
        <w:t xml:space="preserve">Tabla 21</w:t>
      </w:r>
    </w:p>
    <w:p>
      <w:pPr>
        <w:spacing w:after="100"/>
      </w:pPr>
      <w:r>
        <w:rPr>
          <w:rFonts w:ascii="Times New Roman" w:cs="Times New Roman" w:eastAsia="Times New Roman" w:hAnsi="Times New Roman"/>
          <w:b w:val="false"/>
          <w:bCs w:val="false"/>
          <w:i/>
          <w:iCs/>
          <w:sz w:val="22"/>
          <w:szCs w:val="22"/>
        </w:rPr>
        <w:t xml:space="preserve">Dolores críticos seleccionados</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900"/>
        <w:gridCol w:w="4700"/>
        <w:gridCol w:w="1200"/>
        <w:gridCol w:w="2226"/>
      </w:tblGrid>
      <w:tr>
        <w:trPr>
          <w:tblHeader/>
        </w:trPr>
        <w:tc>
          <w:tcPr>
            <w:tcW w:type="dxa" w:w="9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Código</w:t>
            </w:r>
          </w:p>
        </w:tc>
        <w:tc>
          <w:tcPr>
            <w:tcW w:type="dxa" w:w="47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Denominación del dolor crítico</w:t>
            </w:r>
          </w:p>
        </w:tc>
        <w:tc>
          <w:tcPr>
            <w:tcW w:type="dxa" w:w="12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Proceso E2E</w:t>
            </w:r>
          </w:p>
        </w:tc>
        <w:tc>
          <w:tcPr>
            <w:tcW w:type="dxa" w:w="22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Puntaje</w:t>
            </w:r>
          </w:p>
        </w:tc>
      </w:tr>
      <w:tr>
        <w:tc>
          <w:tcPr>
            <w:tcW w:type="dxa" w:w="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DC1</w:t>
            </w:r>
          </w:p>
        </w:tc>
        <w:tc>
          <w:tcPr>
            <w:tcW w:type="dxa" w:w="4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Baja digitalización de la originación de crédito Pyme: dos tercios de las colocaciones transitan por una ruta asistida de mayor tiempo y costo unitario, mientras la ruta digital resuelve la operación en tres minutos.</w:t>
            </w:r>
          </w:p>
        </w:tc>
        <w:tc>
          <w:tcPr>
            <w:tcW w:type="dxa" w:w="1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E2E-1</w:t>
            </w:r>
          </w:p>
        </w:tc>
        <w:tc>
          <w:tcPr>
            <w:tcW w:type="dxa" w:w="22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4.70</w:t>
            </w:r>
          </w:p>
        </w:tc>
      </w:tr>
      <w:tr>
        <w:tc>
          <w:tcPr>
            <w:tcW w:type="dxa" w:w="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DC2</w:t>
            </w:r>
          </w:p>
        </w:tc>
        <w:tc>
          <w:tcPr>
            <w:tcW w:type="dxa" w:w="47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Resolución opaca y lenta de operaciones no reconocidas: la coordinación bajo la línea de visibilidad determina el cumplimiento del plazo regulatorio y expone a la entidad al régimen sancionatorio del sector (integra D5 y D7).</w:t>
            </w:r>
          </w:p>
        </w:tc>
        <w:tc>
          <w:tcPr>
            <w:tcW w:type="dxa" w:w="1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E2E-2</w:t>
            </w:r>
          </w:p>
        </w:tc>
        <w:tc>
          <w:tcPr>
            <w:tcW w:type="dxa" w:w="22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4.55</w:t>
            </w:r>
          </w:p>
        </w:tc>
      </w:tr>
      <w:tr>
        <w:tc>
          <w:tcPr>
            <w:tcW w:type="dxa" w:w="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DC3</w:t>
            </w:r>
          </w:p>
        </w:tc>
        <w:tc>
          <w:tcPr>
            <w:tcW w:type="dxa" w:w="4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Penetración digital dispar en la contratación de productos: dos de cada tres cuentas se contratan por canal asistido pese a existir apertura digital en cuatro minutos.</w:t>
            </w:r>
          </w:p>
        </w:tc>
        <w:tc>
          <w:tcPr>
            <w:tcW w:type="dxa" w:w="1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E2E-3</w:t>
            </w:r>
          </w:p>
        </w:tc>
        <w:tc>
          <w:tcPr>
            <w:tcW w:type="dxa" w:w="22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4.40</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con base en la Tabla 20 y en la regla de no redundancia enunciada en la sección 3.9.</w:t>
      </w:r>
    </w:p>
    <w:p>
      <w:pPr>
        <w:pStyle w:val="Heading2"/>
        <w:spacing w:after="160" w:before="260"/>
      </w:pPr>
      <w:r>
        <w:rPr>
          <w:rFonts w:ascii="Times New Roman" w:cs="Times New Roman" w:eastAsia="Times New Roman" w:hAnsi="Times New Roman"/>
          <w:b/>
          <w:bCs/>
          <w:i w:val="false"/>
          <w:iCs w:val="false"/>
          <w:sz w:val="24"/>
          <w:szCs w:val="24"/>
        </w:rPr>
        <w:t xml:space="preserve">4.2. Matriz de alineamiento entre dolores críticos y objetivos estratégicos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Cada dolor crítico se vincula con los objetivos estratégicos definidos en la Tabla 10 del Entregable 1, que traducen a la operación peruana las seis prioridades del ciclo 2025-2029 declaradas por el grupo (BBVA, 2025). La Tabla 22 explicita el mecanismo por el cual el dolor compromete cada objetivo, requisito indispensable para que la iniciativa que se formule en la siguiente práctica pueda justificar su inversión.</w:t>
      </w:r>
    </w:p>
    <w:p>
      <w:pPr>
        <w:spacing w:after="0" w:before="200"/>
      </w:pPr>
      <w:r>
        <w:rPr>
          <w:rFonts w:ascii="Times New Roman" w:cs="Times New Roman" w:eastAsia="Times New Roman" w:hAnsi="Times New Roman"/>
          <w:b/>
          <w:bCs/>
          <w:i w:val="false"/>
          <w:iCs w:val="false"/>
          <w:sz w:val="22"/>
          <w:szCs w:val="22"/>
        </w:rPr>
        <w:t xml:space="preserve">Tabla 22</w:t>
      </w:r>
    </w:p>
    <w:p>
      <w:pPr>
        <w:spacing w:after="100"/>
      </w:pPr>
      <w:r>
        <w:rPr>
          <w:rFonts w:ascii="Times New Roman" w:cs="Times New Roman" w:eastAsia="Times New Roman" w:hAnsi="Times New Roman"/>
          <w:b w:val="false"/>
          <w:bCs w:val="false"/>
          <w:i/>
          <w:iCs/>
          <w:sz w:val="22"/>
          <w:szCs w:val="22"/>
        </w:rPr>
        <w:t xml:space="preserve">Matriz de alineamiento entre dolores críticos y objetivos estratégicos</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1300"/>
        <w:gridCol w:w="2900"/>
        <w:gridCol w:w="4826"/>
      </w:tblGrid>
      <w:tr>
        <w:trPr>
          <w:tblHeader/>
        </w:trPr>
        <w:tc>
          <w:tcPr>
            <w:tcW w:type="dxa" w:w="13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Dolor crítico</w:t>
            </w:r>
          </w:p>
        </w:tc>
        <w:tc>
          <w:tcPr>
            <w:tcW w:type="dxa" w:w="29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Objetivo afectado</w:t>
            </w:r>
          </w:p>
        </w:tc>
        <w:tc>
          <w:tcPr>
            <w:tcW w:type="dxa" w:w="48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7"/>
                <w:szCs w:val="17"/>
              </w:rPr>
              <w:t xml:space="preserve">Mecanismo de afectación</w:t>
            </w:r>
          </w:p>
        </w:tc>
      </w:tr>
      <w:tr>
        <w:tc>
          <w:tcPr>
            <w:tcW w:type="dxa" w:w="1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DC1</w:t>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OE3.</w:t>
            </w:r>
            <w:r>
              <w:rPr>
                <w:rFonts w:ascii="Times New Roman" w:cs="Times New Roman" w:eastAsia="Times New Roman" w:hAnsi="Times New Roman"/>
                <w:b w:val="false"/>
                <w:bCs w:val="false"/>
                <w:i w:val="false"/>
                <w:iCs w:val="false"/>
                <w:sz w:val="17"/>
                <w:szCs w:val="17"/>
              </w:rPr>
              <w:t xml:space="preserve"> Crecer en todos los segmentos de empresas</w:t>
            </w:r>
          </w:p>
        </w:tc>
        <w:tc>
          <w:tcPr>
            <w:tcW w:type="dxa" w:w="48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El canal asistido limita la capacidad de atender más solicitudes sin ampliar proporcionalmente la fuerza comercial, restringiendo la escala del crecimiento.</w:t>
            </w:r>
          </w:p>
        </w:tc>
      </w:tr>
      <w:tr>
        <w:tc>
          <w:tcPr>
            <w:tcW w:type="dxa" w:w="13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w:r>
          </w:p>
        </w:tc>
        <w:tc>
          <w:tcPr>
            <w:tcW w:type="dxa" w:w="2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OE4.</w:t>
            </w:r>
            <w:r>
              <w:rPr>
                <w:rFonts w:ascii="Times New Roman" w:cs="Times New Roman" w:eastAsia="Times New Roman" w:hAnsi="Times New Roman"/>
                <w:b w:val="false"/>
                <w:bCs w:val="false"/>
                <w:i w:val="false"/>
                <w:iCs w:val="false"/>
                <w:sz w:val="17"/>
                <w:szCs w:val="17"/>
              </w:rPr>
              <w:t xml:space="preserve"> Creación de valor y capital</w:t>
            </w:r>
          </w:p>
        </w:tc>
        <w:tc>
          <w:tcPr>
            <w:tcW w:type="dxa" w:w="48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El mayor costo unitario de la originación asistida y el tiempo de ciclo prolongado deterioran la rentabilidad ajustada por riesgo del segmento.</w:t>
            </w:r>
          </w:p>
        </w:tc>
      </w:tr>
      <w:tr>
        <w:tc>
          <w:tcPr>
            <w:tcW w:type="dxa" w:w="1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OE5.</w:t>
            </w:r>
            <w:r>
              <w:rPr>
                <w:rFonts w:ascii="Times New Roman" w:cs="Times New Roman" w:eastAsia="Times New Roman" w:hAnsi="Times New Roman"/>
                <w:b w:val="false"/>
                <w:bCs w:val="false"/>
                <w:i w:val="false"/>
                <w:iCs w:val="false"/>
                <w:sz w:val="17"/>
                <w:szCs w:val="17"/>
              </w:rPr>
              <w:t xml:space="preserve"> IA, innovación, datos y tecnologías Next Gen</w:t>
            </w:r>
          </w:p>
        </w:tc>
        <w:tc>
          <w:tcPr>
            <w:tcW w:type="dxa" w:w="48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La ruta asistida no genera datos estructurados aprovechables por modelos de decisión, lo que perpetúa la dependencia del criterio manual.</w:t>
            </w:r>
          </w:p>
        </w:tc>
      </w:tr>
      <w:tr>
        <w:tc>
          <w:tcPr>
            <w:tcW w:type="dxa" w:w="13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DC2</w:t>
            </w:r>
          </w:p>
        </w:tc>
        <w:tc>
          <w:tcPr>
            <w:tcW w:type="dxa" w:w="2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OE1.</w:t>
            </w:r>
            <w:r>
              <w:rPr>
                <w:rFonts w:ascii="Times New Roman" w:cs="Times New Roman" w:eastAsia="Times New Roman" w:hAnsi="Times New Roman"/>
                <w:b w:val="false"/>
                <w:bCs w:val="false"/>
                <w:i w:val="false"/>
                <w:iCs w:val="false"/>
                <w:sz w:val="17"/>
                <w:szCs w:val="17"/>
              </w:rPr>
              <w:t xml:space="preserve"> Perspectiva del cliente de manera radical</w:t>
            </w:r>
          </w:p>
        </w:tc>
        <w:tc>
          <w:tcPr>
            <w:tcW w:type="dxa" w:w="48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La falta de trazabilidad durante la investigación deja al cliente sin información en el momento de mayor ansiedad del recorrido.</w:t>
            </w:r>
          </w:p>
        </w:tc>
      </w:tr>
      <w:tr>
        <w:tc>
          <w:tcPr>
            <w:tcW w:type="dxa" w:w="1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OE5.</w:t>
            </w:r>
            <w:r>
              <w:rPr>
                <w:rFonts w:ascii="Times New Roman" w:cs="Times New Roman" w:eastAsia="Times New Roman" w:hAnsi="Times New Roman"/>
                <w:b w:val="false"/>
                <w:bCs w:val="false"/>
                <w:i w:val="false"/>
                <w:iCs w:val="false"/>
                <w:sz w:val="17"/>
                <w:szCs w:val="17"/>
              </w:rPr>
              <w:t xml:space="preserve"> IA, innovación, datos y tecnologías Next Gen</w:t>
            </w:r>
          </w:p>
        </w:tc>
        <w:tc>
          <w:tcPr>
            <w:tcW w:type="dxa" w:w="48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La detección y la resolución del caso dependen de capacidades analíticas sobre datos transaccionales que la plataforma ADA ya soporta.</w:t>
            </w:r>
          </w:p>
        </w:tc>
      </w:tr>
      <w:tr>
        <w:tc>
          <w:tcPr>
            <w:tcW w:type="dxa" w:w="13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w:r>
          </w:p>
        </w:tc>
        <w:tc>
          <w:tcPr>
            <w:tcW w:type="dxa" w:w="2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OE6.</w:t>
            </w:r>
            <w:r>
              <w:rPr>
                <w:rFonts w:ascii="Times New Roman" w:cs="Times New Roman" w:eastAsia="Times New Roman" w:hAnsi="Times New Roman"/>
                <w:b w:val="false"/>
                <w:bCs w:val="false"/>
                <w:i w:val="false"/>
                <w:iCs w:val="false"/>
                <w:sz w:val="17"/>
                <w:szCs w:val="17"/>
              </w:rPr>
              <w:t xml:space="preserve"> Empatía y equipo ganador</w:t>
            </w:r>
          </w:p>
        </w:tc>
        <w:tc>
          <w:tcPr>
            <w:tcW w:type="dxa" w:w="48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La coordinación manual entre áreas de fraude, operaciones y atención consume capacidad interna que podría destinarse a tareas de mayor valor.</w:t>
            </w:r>
          </w:p>
        </w:tc>
      </w:tr>
      <w:tr>
        <w:tc>
          <w:tcPr>
            <w:tcW w:type="dxa" w:w="1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DC3</w:t>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OE1.</w:t>
            </w:r>
            <w:r>
              <w:rPr>
                <w:rFonts w:ascii="Times New Roman" w:cs="Times New Roman" w:eastAsia="Times New Roman" w:hAnsi="Times New Roman"/>
                <w:b w:val="false"/>
                <w:bCs w:val="false"/>
                <w:i w:val="false"/>
                <w:iCs w:val="false"/>
                <w:sz w:val="17"/>
                <w:szCs w:val="17"/>
              </w:rPr>
              <w:t xml:space="preserve"> Perspectiva del cliente de manera radical</w:t>
            </w:r>
          </w:p>
        </w:tc>
        <w:tc>
          <w:tcPr>
            <w:tcW w:type="dxa" w:w="48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La brecha entre productos revela que el autoservicio no resuelve con igual claridad todas las decisiones de contratación del cliente.</w:t>
            </w:r>
          </w:p>
        </w:tc>
      </w:tr>
      <w:tr>
        <w:tc>
          <w:tcPr>
            <w:tcW w:type="dxa" w:w="13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w:r>
          </w:p>
        </w:tc>
        <w:tc>
          <w:tcPr>
            <w:tcW w:type="dxa" w:w="2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OE4.</w:t>
            </w:r>
            <w:r>
              <w:rPr>
                <w:rFonts w:ascii="Times New Roman" w:cs="Times New Roman" w:eastAsia="Times New Roman" w:hAnsi="Times New Roman"/>
                <w:b w:val="false"/>
                <w:bCs w:val="false"/>
                <w:i w:val="false"/>
                <w:iCs w:val="false"/>
                <w:sz w:val="17"/>
                <w:szCs w:val="17"/>
              </w:rPr>
              <w:t xml:space="preserve"> Creación de valor y capital</w:t>
            </w:r>
          </w:p>
        </w:tc>
        <w:tc>
          <w:tcPr>
            <w:tcW w:type="dxa" w:w="48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Sostener dos de cada tres aperturas de cuenta por canal asistido mantiene un costo de adquisición superior al del canal digital.</w:t>
            </w:r>
          </w:p>
        </w:tc>
      </w:tr>
      <w:tr>
        <w:tc>
          <w:tcPr>
            <w:tcW w:type="dxa" w:w="13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w:r>
          </w:p>
        </w:tc>
        <w:tc>
          <w:tcPr>
            <w:tcW w:type="dxa" w:w="2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7"/>
                <w:szCs w:val="17"/>
              </w:rPr>
              <w:t xml:space="preserve">OE5.</w:t>
            </w:r>
            <w:r>
              <w:rPr>
                <w:rFonts w:ascii="Times New Roman" w:cs="Times New Roman" w:eastAsia="Times New Roman" w:hAnsi="Times New Roman"/>
                <w:b w:val="false"/>
                <w:bCs w:val="false"/>
                <w:i w:val="false"/>
                <w:iCs w:val="false"/>
                <w:sz w:val="17"/>
                <w:szCs w:val="17"/>
              </w:rPr>
              <w:t xml:space="preserve"> IA, innovación, datos y tecnologías Next Gen</w:t>
            </w:r>
          </w:p>
        </w:tc>
        <w:tc>
          <w:tcPr>
            <w:tcW w:type="dxa" w:w="48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La personalización y la asistencia conversacional en el punto de contratación son capacidades directamente habilitadas por la plataforma de datos e IA.</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La codificación de objetivos corresponde a la Tabla 10 del Entregable 1, elaborada a partir de BBVA (2025).</w:t>
      </w:r>
    </w:p>
    <w:p>
      <w:pPr>
        <w:pStyle w:val="Heading2"/>
        <w:spacing w:after="160" w:before="260"/>
      </w:pPr>
      <w:r>
        <w:rPr>
          <w:rFonts w:ascii="Times New Roman" w:cs="Times New Roman" w:eastAsia="Times New Roman" w:hAnsi="Times New Roman"/>
          <w:b/>
          <w:bCs/>
          <w:i w:val="false"/>
          <w:iCs w:val="false"/>
          <w:sz w:val="24"/>
          <w:szCs w:val="24"/>
        </w:rPr>
        <w:t xml:space="preserve">4.3. Indicadores base de los dolores críticos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Un dolor solo es gestionable si admite medición antes y después de la intervención. Las Tablas 23, 24 y 25 definen, para cada dolor crítico, los indicadores que deben monitorearse, su línea base y la fuente que la sustenta. Se distingue de forma explícita entre indicadores con línea base pública verificable e indicadores cuya línea base requiere levantamiento interno, señalados con la leyenda </w:t>
      </w:r>
      <w:r>
        <w:rPr>
          <w:rFonts w:ascii="Times New Roman" w:cs="Times New Roman" w:eastAsia="Times New Roman" w:hAnsi="Times New Roman"/>
          <w:b/>
          <w:bCs/>
          <w:i w:val="false"/>
          <w:iCs w:val="false"/>
          <w:sz w:val="22"/>
          <w:szCs w:val="22"/>
        </w:rPr>
        <w:t xml:space="preserve">NO HAY FUENTES EN INTERNET DISPONIBLES</w:t>
      </w:r>
      <w:r>
        <w:rPr>
          <w:rFonts w:ascii="Times New Roman" w:cs="Times New Roman" w:eastAsia="Times New Roman" w:hAnsi="Times New Roman"/>
          <w:b w:val="false"/>
          <w:bCs w:val="false"/>
          <w:i w:val="false"/>
          <w:iCs w:val="false"/>
          <w:sz w:val="22"/>
          <w:szCs w:val="22"/>
        </w:rPr>
        <w:t xml:space="preserve">. Las metas propuestas constituyen elaboración del equipo y deberán validarse con la entidad.</w:t>
      </w:r>
    </w:p>
    <w:p>
      <w:pPr>
        <w:spacing w:after="0" w:before="200"/>
      </w:pPr>
      <w:r>
        <w:rPr>
          <w:rFonts w:ascii="Times New Roman" w:cs="Times New Roman" w:eastAsia="Times New Roman" w:hAnsi="Times New Roman"/>
          <w:b/>
          <w:bCs/>
          <w:i w:val="false"/>
          <w:iCs w:val="false"/>
          <w:sz w:val="22"/>
          <w:szCs w:val="22"/>
        </w:rPr>
        <w:t xml:space="preserve">Tabla 23</w:t>
      </w:r>
    </w:p>
    <w:p>
      <w:pPr>
        <w:spacing w:after="100"/>
      </w:pPr>
      <w:r>
        <w:rPr>
          <w:rFonts w:ascii="Times New Roman" w:cs="Times New Roman" w:eastAsia="Times New Roman" w:hAnsi="Times New Roman"/>
          <w:b w:val="false"/>
          <w:bCs w:val="false"/>
          <w:i/>
          <w:iCs/>
          <w:sz w:val="22"/>
          <w:szCs w:val="22"/>
        </w:rPr>
        <w:t xml:space="preserve">Indicadores base del dolor crítico DC1: originación de crédito Pyme</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1900"/>
        <w:gridCol w:w="2400"/>
        <w:gridCol w:w="3126"/>
        <w:gridCol w:w="1600"/>
      </w:tblGrid>
      <w:tr>
        <w:trPr>
          <w:tblHeader/>
        </w:trPr>
        <w:tc>
          <w:tcPr>
            <w:tcW w:type="dxa" w:w="19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Indicador</w:t>
            </w:r>
          </w:p>
        </w:tc>
        <w:tc>
          <w:tcPr>
            <w:tcW w:type="dxa" w:w="24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Definición operativa</w:t>
            </w:r>
          </w:p>
        </w:tc>
        <w:tc>
          <w:tcPr>
            <w:tcW w:type="dxa" w:w="31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Línea base y fuente</w:t>
            </w:r>
          </w:p>
        </w:tc>
        <w:tc>
          <w:tcPr>
            <w:tcW w:type="dxa" w:w="16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Meta propuesta</w:t>
            </w:r>
          </w:p>
        </w:tc>
      </w:tr>
      <w:tr>
        <w:tc>
          <w:tcPr>
            <w:tcW w:type="dxa" w:w="1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Tasa de originación digital Pyme</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Colocaciones Pyme originadas íntegramente por canal digital sobre el total de colocaciones del segmento.</w:t>
            </w:r>
          </w:p>
        </w:tc>
        <w:tc>
          <w:tcPr>
            <w:tcW w:type="dxa" w:w="3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33 % (un tercio de las colocaciones). Fuente: Reusche (2026).</w:t>
            </w:r>
          </w:p>
        </w:tc>
        <w:tc>
          <w:tcPr>
            <w:tcW w:type="dxa" w:w="1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60 % en dieciocho meses.</w:t>
            </w:r>
          </w:p>
        </w:tc>
      </w:tr>
      <w:tr>
        <w:tc>
          <w:tcPr>
            <w:tcW w:type="dxa" w:w="1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Tiempo de ciclo de la ruta digital</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Tiempo desde la solicitud hasta la aprobación en canal digital.</w:t>
            </w:r>
          </w:p>
        </w:tc>
        <w:tc>
          <w:tcPr>
            <w:tcW w:type="dxa" w:w="3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3 minutos promedio. Fuente: Reusche (2026).</w:t>
            </w:r>
          </w:p>
        </w:tc>
        <w:tc>
          <w:tcPr>
            <w:tcW w:type="dxa" w:w="16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Mantener por debajo de 5 minutos.</w:t>
            </w:r>
          </w:p>
        </w:tc>
      </w:tr>
      <w:tr>
        <w:tc>
          <w:tcPr>
            <w:tcW w:type="dxa" w:w="1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Tiempo de ciclo de la ruta asistida</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Tiempo desde la solicitud hasta la aprobación en canal asistido.</w:t>
            </w:r>
          </w:p>
        </w:tc>
        <w:tc>
          <w:tcPr>
            <w:tcW w:type="dxa" w:w="3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w:t>
            </w:r>
          </w:p>
        </w:tc>
        <w:tc>
          <w:tcPr>
            <w:tcW w:type="dxa" w:w="1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Por definir tras el levantamiento de la línea base.</w:t>
            </w:r>
          </w:p>
        </w:tc>
      </w:tr>
      <w:tr>
        <w:tc>
          <w:tcPr>
            <w:tcW w:type="dxa" w:w="1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Costo unitario de originación por canal</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Costo total del proceso dividido entre el número de créditos originados en cada canal.</w:t>
            </w:r>
          </w:p>
        </w:tc>
        <w:tc>
          <w:tcPr>
            <w:tcW w:type="dxa" w:w="3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w:t>
            </w:r>
          </w:p>
        </w:tc>
        <w:tc>
          <w:tcPr>
            <w:tcW w:type="dxa" w:w="16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Por definir tras el levantamiento de la línea base.</w:t>
            </w:r>
          </w:p>
        </w:tc>
      </w:tr>
      <w:tr>
        <w:tc>
          <w:tcPr>
            <w:tcW w:type="dxa" w:w="1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Digitalización de la cartera Pyme</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Clientes Pyme que operan por canales digitales sobre el total del segmento.</w:t>
            </w:r>
          </w:p>
        </w:tc>
        <w:tc>
          <w:tcPr>
            <w:tcW w:type="dxa" w:w="3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74 %. Fuente: BBVA (2026b).</w:t>
            </w:r>
          </w:p>
        </w:tc>
        <w:tc>
          <w:tcPr>
            <w:tcW w:type="dxa" w:w="1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85 % en doce meses.</w:t>
            </w:r>
          </w:p>
        </w:tc>
      </w:tr>
      <w:tr>
        <w:tc>
          <w:tcPr>
            <w:tcW w:type="dxa" w:w="1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NPS del segmento Pyme</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Índice de recomendación neta del segmento.</w:t>
            </w:r>
          </w:p>
        </w:tc>
        <w:tc>
          <w:tcPr>
            <w:tcW w:type="dxa" w:w="31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33.6 %. Fuente: Banco BBVA Perú (2026b).</w:t>
            </w:r>
          </w:p>
        </w:tc>
        <w:tc>
          <w:tcPr>
            <w:tcW w:type="dxa" w:w="16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Reducir a la mitad la brecha con el NPS retail (52.57 %).</w:t>
            </w:r>
          </w:p>
        </w:tc>
      </w:tr>
      <w:tr>
        <w:tc>
          <w:tcPr>
            <w:tcW w:type="dxa" w:w="1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Tasa de aprobación de solicitudes Pyme</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Solicitudes aprobadas sobre solicitudes presentadas.</w:t>
            </w:r>
          </w:p>
        </w:tc>
        <w:tc>
          <w:tcPr>
            <w:tcW w:type="dxa" w:w="31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 Referencia sectorial: una de cada cuatro microempresas accede a crédito (Melo, 2026).</w:t>
            </w:r>
          </w:p>
        </w:tc>
        <w:tc>
          <w:tcPr>
            <w:tcW w:type="dxa" w:w="1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Por definir tras el levantamiento de la línea base.</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Las metas propuestas son elaboración del equipo y no corresponden a compromisos declarados por la entidad.</w:t>
      </w:r>
    </w:p>
    <w:p>
      <w:pPr>
        <w:spacing w:after="0" w:before="200"/>
      </w:pPr>
      <w:r>
        <w:rPr>
          <w:rFonts w:ascii="Times New Roman" w:cs="Times New Roman" w:eastAsia="Times New Roman" w:hAnsi="Times New Roman"/>
          <w:b/>
          <w:bCs/>
          <w:i w:val="false"/>
          <w:iCs w:val="false"/>
          <w:sz w:val="22"/>
          <w:szCs w:val="22"/>
        </w:rPr>
        <w:t xml:space="preserve">Tabla 24</w:t>
      </w:r>
    </w:p>
    <w:p>
      <w:pPr>
        <w:spacing w:after="100"/>
      </w:pPr>
      <w:r>
        <w:rPr>
          <w:rFonts w:ascii="Times New Roman" w:cs="Times New Roman" w:eastAsia="Times New Roman" w:hAnsi="Times New Roman"/>
          <w:b w:val="false"/>
          <w:bCs w:val="false"/>
          <w:i/>
          <w:iCs/>
          <w:sz w:val="22"/>
          <w:szCs w:val="22"/>
        </w:rPr>
        <w:t xml:space="preserve">Indicadores base del dolor crítico DC2: operaciones no reconocidas</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1900"/>
        <w:gridCol w:w="2200"/>
        <w:gridCol w:w="3426"/>
        <w:gridCol w:w="1500"/>
      </w:tblGrid>
      <w:tr>
        <w:trPr>
          <w:tblHeader/>
        </w:trPr>
        <w:tc>
          <w:tcPr>
            <w:tcW w:type="dxa" w:w="19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Indicador</w:t>
            </w:r>
          </w:p>
        </w:tc>
        <w:tc>
          <w:tcPr>
            <w:tcW w:type="dxa" w:w="22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Definición operativa</w:t>
            </w:r>
          </w:p>
        </w:tc>
        <w:tc>
          <w:tcPr>
            <w:tcW w:type="dxa" w:w="34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Línea base y fuente</w:t>
            </w:r>
          </w:p>
        </w:tc>
        <w:tc>
          <w:tcPr>
            <w:tcW w:type="dxa" w:w="15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Meta propuesta</w:t>
            </w:r>
          </w:p>
        </w:tc>
      </w:tr>
      <w:tr>
        <w:tc>
          <w:tcPr>
            <w:tcW w:type="dxa" w:w="1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Sanciones sectoriales por operaciones no reconocidas</w:t>
            </w:r>
          </w:p>
        </w:tc>
        <w:tc>
          <w:tcPr>
            <w:tcW w:type="dxa" w:w="2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Sanciones impuestas por el Indecopi al sistema financiero por esta materia.</w:t>
            </w:r>
          </w:p>
        </w:tc>
        <w:tc>
          <w:tcPr>
            <w:tcW w:type="dxa" w:w="34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2,601 sanciones y 3,978.8 UIT acumuladas entre 2021 y marzo de 2025. Fuente: Andina (2025).</w:t>
            </w:r>
          </w:p>
        </w:tc>
        <w:tc>
          <w:tcPr>
            <w:tcW w:type="dxa" w:w="1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Referencia de contexto sectorial; no constituye meta de la entidad.</w:t>
            </w:r>
          </w:p>
        </w:tc>
      </w:tr>
      <w:tr>
        <w:tc>
          <w:tcPr>
            <w:tcW w:type="dxa" w:w="1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Sanciones a la entidad</w:t>
            </w:r>
          </w:p>
        </w:tc>
        <w:tc>
          <w:tcPr>
            <w:tcW w:type="dxa" w:w="2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Sanciones firmes impuestas a BBVA Perú por operaciones no reconocidas.</w:t>
            </w:r>
          </w:p>
        </w:tc>
        <w:tc>
          <w:tcPr>
            <w:tcW w:type="dxa" w:w="34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 con desagregación por entidad y periodo. La entidad figura entre las cinco con mayor número de infracciones según Alarcón (2023).</w:t>
            </w:r>
          </w:p>
        </w:tc>
        <w:tc>
          <w:tcPr>
            <w:tcW w:type="dxa" w:w="1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Reducción sostenida año a año.</w:t>
            </w:r>
          </w:p>
        </w:tc>
      </w:tr>
      <w:tr>
        <w:tc>
          <w:tcPr>
            <w:tcW w:type="dxa" w:w="1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Tiempo promedio de resolución del reclamo</w:t>
            </w:r>
          </w:p>
        </w:tc>
        <w:tc>
          <w:tcPr>
            <w:tcW w:type="dxa" w:w="2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Días hábiles entre el registro del reclamo y la comunicación de la decisión.</w:t>
            </w:r>
          </w:p>
        </w:tc>
        <w:tc>
          <w:tcPr>
            <w:tcW w:type="dxa" w:w="34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 Plazo regulatorio de referencia: quince días hábiles (Andina, 2025).</w:t>
            </w:r>
          </w:p>
        </w:tc>
        <w:tc>
          <w:tcPr>
            <w:tcW w:type="dxa" w:w="1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Resolver por debajo de la mitad del plazo regulatorio.</w:t>
            </w:r>
          </w:p>
        </w:tc>
      </w:tr>
      <w:tr>
        <w:tc>
          <w:tcPr>
            <w:tcW w:type="dxa" w:w="1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Tasa de reclamos por operaciones no reconocidas</w:t>
            </w:r>
          </w:p>
        </w:tc>
        <w:tc>
          <w:tcPr>
            <w:tcW w:type="dxa" w:w="2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Reclamos de esta materia por cada cien mil transacciones digitales.</w:t>
            </w:r>
          </w:p>
        </w:tc>
        <w:tc>
          <w:tcPr>
            <w:tcW w:type="dxa" w:w="34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 Denominador disponible: más de 350 millones de transacciones acumuladas (Banco BBVA Perú, 2026a, p. 3).</w:t>
            </w:r>
          </w:p>
        </w:tc>
        <w:tc>
          <w:tcPr>
            <w:tcW w:type="dxa" w:w="1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Por definir tras el levantamiento de la línea base.</w:t>
            </w:r>
          </w:p>
        </w:tc>
      </w:tr>
      <w:tr>
        <w:tc>
          <w:tcPr>
            <w:tcW w:type="dxa" w:w="19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Tasa de resolución a favor del cliente</w:t>
            </w:r>
          </w:p>
        </w:tc>
        <w:tc>
          <w:tcPr>
            <w:tcW w:type="dxa" w:w="22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Reclamos resueltos a favor del usuario sobre el total de reclamos de la materia.</w:t>
            </w:r>
          </w:p>
        </w:tc>
        <w:tc>
          <w:tcPr>
            <w:tcW w:type="dxa" w:w="34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 para la entidad.</w:t>
            </w:r>
          </w:p>
        </w:tc>
        <w:tc>
          <w:tcPr>
            <w:tcW w:type="dxa" w:w="15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Por definir tras el levantamiento de la línea base.</w:t>
            </w:r>
          </w:p>
        </w:tc>
      </w:tr>
      <w:tr>
        <w:tc>
          <w:tcPr>
            <w:tcW w:type="dxa" w:w="19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Trazabilidad del reclamo en autoservicio</w:t>
            </w:r>
          </w:p>
        </w:tc>
        <w:tc>
          <w:tcPr>
            <w:tcW w:type="dxa" w:w="22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Reclamos cuyo estado el cliente puede consultar en la app sin intervención de un asesor.</w:t>
            </w:r>
          </w:p>
        </w:tc>
        <w:tc>
          <w:tcPr>
            <w:tcW w:type="dxa" w:w="34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 Capacidad habilitada: Blue Buddy incorporó trazabilidad de reclamos, con 90 % de adopción (Banco BBVA Perú, 2026a, p. 4; 2026b).</w:t>
            </w:r>
          </w:p>
        </w:tc>
        <w:tc>
          <w:tcPr>
            <w:tcW w:type="dxa" w:w="15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100 % de los reclamos trazables en autoservicio.</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Las cifras de sanciones corresponden al conjunto del sistema financiero y no a la entidad de forma individual, por lo que operan como contexto de exposición sectorial.</w:t>
      </w:r>
    </w:p>
    <w:p>
      <w:pPr>
        <w:spacing w:after="0" w:before="200"/>
      </w:pPr>
      <w:r>
        <w:rPr>
          <w:rFonts w:ascii="Times New Roman" w:cs="Times New Roman" w:eastAsia="Times New Roman" w:hAnsi="Times New Roman"/>
          <w:b/>
          <w:bCs/>
          <w:i w:val="false"/>
          <w:iCs w:val="false"/>
          <w:sz w:val="22"/>
          <w:szCs w:val="22"/>
        </w:rPr>
        <w:t xml:space="preserve">Tabla 25</w:t>
      </w:r>
    </w:p>
    <w:p>
      <w:pPr>
        <w:spacing w:after="100"/>
      </w:pPr>
      <w:r>
        <w:rPr>
          <w:rFonts w:ascii="Times New Roman" w:cs="Times New Roman" w:eastAsia="Times New Roman" w:hAnsi="Times New Roman"/>
          <w:b w:val="false"/>
          <w:bCs w:val="false"/>
          <w:i/>
          <w:iCs/>
          <w:sz w:val="22"/>
          <w:szCs w:val="22"/>
        </w:rPr>
        <w:t xml:space="preserve">Indicadores base del dolor crítico DC3: contratación por canal digital</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2000"/>
        <w:gridCol w:w="2400"/>
        <w:gridCol w:w="3026"/>
        <w:gridCol w:w="1600"/>
      </w:tblGrid>
      <w:tr>
        <w:trPr>
          <w:tblHeader/>
        </w:trPr>
        <w:tc>
          <w:tcPr>
            <w:tcW w:type="dxa" w:w="20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Indicador</w:t>
            </w:r>
          </w:p>
        </w:tc>
        <w:tc>
          <w:tcPr>
            <w:tcW w:type="dxa" w:w="24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Definición operativa</w:t>
            </w:r>
          </w:p>
        </w:tc>
        <w:tc>
          <w:tcPr>
            <w:tcW w:type="dxa" w:w="30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Línea base y fuente</w:t>
            </w:r>
          </w:p>
        </w:tc>
        <w:tc>
          <w:tcPr>
            <w:tcW w:type="dxa" w:w="16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Meta propuesta</w:t>
            </w:r>
          </w:p>
        </w:tc>
      </w:tr>
      <w:tr>
        <w:tc>
          <w:tcPr>
            <w:tcW w:type="dxa" w:w="20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Penetración digital en cuentas</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Cuentas contratadas por canal digital sobre el total de cuentas contratadas.</w:t>
            </w:r>
          </w:p>
        </w:tc>
        <w:tc>
          <w:tcPr>
            <w:tcW w:type="dxa" w:w="3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33 %. Fuente: Banco BBVA Perú (2026a, p. 3).</w:t>
            </w:r>
          </w:p>
        </w:tc>
        <w:tc>
          <w:tcPr>
            <w:tcW w:type="dxa" w:w="1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55 % en dieciocho meses.</w:t>
            </w:r>
          </w:p>
        </w:tc>
      </w:tr>
      <w:tr>
        <w:tc>
          <w:tcPr>
            <w:tcW w:type="dxa" w:w="20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Penetración digital en tarjetas de crédito</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Tarjetas contratadas por canal digital sobre el total.</w:t>
            </w:r>
          </w:p>
        </w:tc>
        <w:tc>
          <w:tcPr>
            <w:tcW w:type="dxa" w:w="30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50 %. Fuente: Banco BBVA Perú (2026a, p. 3).</w:t>
            </w:r>
          </w:p>
        </w:tc>
        <w:tc>
          <w:tcPr>
            <w:tcW w:type="dxa" w:w="16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70 % en dieciocho meses.</w:t>
            </w:r>
          </w:p>
        </w:tc>
      </w:tr>
      <w:tr>
        <w:tc>
          <w:tcPr>
            <w:tcW w:type="dxa" w:w="20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Penetración digital en préstamos de consumo</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Préstamos de consumo contratados por canal digital sobre el total.</w:t>
            </w:r>
          </w:p>
        </w:tc>
        <w:tc>
          <w:tcPr>
            <w:tcW w:type="dxa" w:w="3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54 %. Fuente: Banco BBVA Perú (2026a, p. 3).</w:t>
            </w:r>
          </w:p>
        </w:tc>
        <w:tc>
          <w:tcPr>
            <w:tcW w:type="dxa" w:w="1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70 % en dieciocho meses.</w:t>
            </w:r>
          </w:p>
        </w:tc>
      </w:tr>
      <w:tr>
        <w:tc>
          <w:tcPr>
            <w:tcW w:type="dxa" w:w="20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Ventas digitales totales</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Ventas realizadas por canal digital sobre las ventas totales del banco.</w:t>
            </w:r>
          </w:p>
        </w:tc>
        <w:tc>
          <w:tcPr>
            <w:tcW w:type="dxa" w:w="30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79.57 %. Fuente: Banco BBVA Perú (2026a, p. 3).</w:t>
            </w:r>
          </w:p>
        </w:tc>
        <w:tc>
          <w:tcPr>
            <w:tcW w:type="dxa" w:w="16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85 % en dieciocho meses.</w:t>
            </w:r>
          </w:p>
        </w:tc>
      </w:tr>
      <w:tr>
        <w:tc>
          <w:tcPr>
            <w:tcW w:type="dxa" w:w="20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Tasa de abandono en el flujo de contratación</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Solicitudes iniciadas en canal digital que no se completan.</w:t>
            </w:r>
          </w:p>
        </w:tc>
        <w:tc>
          <w:tcPr>
            <w:tcW w:type="dxa" w:w="3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w:t>
            </w:r>
          </w:p>
        </w:tc>
        <w:tc>
          <w:tcPr>
            <w:tcW w:type="dxa" w:w="1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Por definir tras el levantamiento de la línea base.</w:t>
            </w:r>
          </w:p>
        </w:tc>
      </w:tr>
      <w:tr>
        <w:tc>
          <w:tcPr>
            <w:tcW w:type="dxa" w:w="20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Tasa de activación del producto</w:t>
            </w:r>
          </w:p>
        </w:tc>
        <w:tc>
          <w:tcPr>
            <w:tcW w:type="dxa" w:w="24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Productos contratados que registran una primera operación dentro de los treinta días.</w:t>
            </w:r>
          </w:p>
        </w:tc>
        <w:tc>
          <w:tcPr>
            <w:tcW w:type="dxa" w:w="30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w:t>
            </w:r>
          </w:p>
        </w:tc>
        <w:tc>
          <w:tcPr>
            <w:tcW w:type="dxa" w:w="16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Por definir tras el levantamiento de la línea base.</w:t>
            </w:r>
          </w:p>
        </w:tc>
      </w:tr>
      <w:tr>
        <w:tc>
          <w:tcPr>
            <w:tcW w:type="dxa" w:w="20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Costo de adquisición por canal</w:t>
            </w:r>
          </w:p>
        </w:tc>
        <w:tc>
          <w:tcPr>
            <w:tcW w:type="dxa" w:w="24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Costo de captación de un cliente en canal digital frente a canal asistido.</w:t>
            </w:r>
          </w:p>
        </w:tc>
        <w:tc>
          <w:tcPr>
            <w:tcW w:type="dxa" w:w="30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 HAY FUENTES EN INTERNET DISPONIBLES.</w:t>
            </w:r>
          </w:p>
        </w:tc>
        <w:tc>
          <w:tcPr>
            <w:tcW w:type="dxa" w:w="1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Por definir tras el levantamiento de la línea base.</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con base en Banco BBVA Perú (2026a, p. 3). Las metas propuestas son elaboración del equipo.</w:t>
      </w:r>
    </w:p>
    <w:p>
      <w:pPr>
        <w:pStyle w:val="Heading2"/>
        <w:spacing w:after="160" w:before="260"/>
      </w:pPr>
      <w:r>
        <w:rPr>
          <w:rFonts w:ascii="Times New Roman" w:cs="Times New Roman" w:eastAsia="Times New Roman" w:hAnsi="Times New Roman"/>
          <w:b/>
          <w:bCs/>
          <w:i w:val="false"/>
          <w:iCs w:val="false"/>
          <w:sz w:val="24"/>
          <w:szCs w:val="24"/>
        </w:rPr>
        <w:t xml:space="preserve">4.4. Condiciones de medición y vacíos de información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De los veinte indicadores definidos, nueve cuentan con línea base pública verificable y once requieren levantamiento interno. Esta proporción no invalida el análisis, pero sí condiciona su alcance y debe declararse con transparencia. Los indicadores sin línea base pública comparten una característica: corresponden a tiempos de ciclo, costos unitarios y tasas de conversión, es decir, información de gestión que ninguna entidad bancaria publica en sus reportes al mercado.</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En consecuencia, antes de formular las iniciativas de la siguiente práctica deberán cumplirse tres condiciones. Primera, establecer una línea base homogénea: los indicadores deben corresponder al mismo periodo de corte y al mismo universo de medición, evitando comparaciones entre magnitudes construidas con criterios distintos, según la advertencia ya formulada en la sección 1.5 del Entregable 1. Segunda, definir la fuente de dato autoritativa para cada indicador dentro de la plataforma de datos, de modo que la medición posterior sea reproducible. Tercera, fijar la frecuencia de medición y el responsable de cada indicador, sin lo cual el seguimiento se vuelve declarativo.</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Cabe precisar, finalmente, que los indicadores de línea base pública provienen de dos cortes distintos: junio de 2026 para los reportados en el informe de gestión trimestral y diciembre de 2025 para los provenientes de la memoria anual. Ambos se identifican individualmente en las Tablas 23 a 25 y no deben combinarse en un mismo cálculo sin advertirlo.</w:t>
      </w:r>
    </w:p>
    <w:p>
      <w:r>
        <w:br w:type="page"/>
      </w:r>
    </w:p>
    <w:p>
      <w:pPr>
        <w:pStyle w:val="Heading1"/>
        <w:spacing w:after="200" w:before="320"/>
      </w:pPr>
      <w:r>
        <w:rPr>
          <w:rFonts w:ascii="Times New Roman" w:cs="Times New Roman" w:eastAsia="Times New Roman" w:hAnsi="Times New Roman"/>
          <w:b/>
          <w:bCs/>
          <w:i w:val="false"/>
          <w:iCs w:val="false"/>
          <w:sz w:val="26"/>
          <w:szCs w:val="26"/>
        </w:rPr>
        <w:t xml:space="preserve">5. Referencias bibliográficas</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Alarcón, L. (2023, 27 de agosto). Robos digitales: las millonarias multas a los bancos por consumos no reconocidos. </w:t>
      </w:r>
      <w:r>
        <w:rPr>
          <w:rFonts w:ascii="Times New Roman" w:cs="Times New Roman" w:eastAsia="Times New Roman" w:hAnsi="Times New Roman"/>
          <w:b w:val="false"/>
          <w:bCs w:val="false"/>
          <w:i/>
          <w:iCs/>
          <w:sz w:val="22"/>
          <w:szCs w:val="22"/>
        </w:rPr>
        <w:t xml:space="preserve">Ojo Público</w:t>
      </w:r>
      <w:r>
        <w:rPr>
          <w:rFonts w:ascii="Times New Roman" w:cs="Times New Roman" w:eastAsia="Times New Roman" w:hAnsi="Times New Roman"/>
          <w:b w:val="false"/>
          <w:bCs w:val="false"/>
          <w:i w:val="false"/>
          <w:iCs w:val="false"/>
          <w:sz w:val="22"/>
          <w:szCs w:val="22"/>
        </w:rPr>
        <w:t xml:space="preserve">. https://ojo-publico.com/4559/las-millonarias-multas-los-bancos-por-consumos-no-reconocidos</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Andina. (2025, 16 de abril). Indecopi: sistema financiero concentra 90 % de sanciones por operaciones no reconocidas. </w:t>
      </w:r>
      <w:r>
        <w:rPr>
          <w:rFonts w:ascii="Times New Roman" w:cs="Times New Roman" w:eastAsia="Times New Roman" w:hAnsi="Times New Roman"/>
          <w:b w:val="false"/>
          <w:bCs w:val="false"/>
          <w:i/>
          <w:iCs/>
          <w:sz w:val="22"/>
          <w:szCs w:val="22"/>
        </w:rPr>
        <w:t xml:space="preserve">Agencia Peruana de Noticias Andina</w:t>
      </w:r>
      <w:r>
        <w:rPr>
          <w:rFonts w:ascii="Times New Roman" w:cs="Times New Roman" w:eastAsia="Times New Roman" w:hAnsi="Times New Roman"/>
          <w:b w:val="false"/>
          <w:bCs w:val="false"/>
          <w:i w:val="false"/>
          <w:iCs w:val="false"/>
          <w:sz w:val="22"/>
          <w:szCs w:val="22"/>
        </w:rPr>
        <w:t xml:space="preserve">. https://andina.pe/agencia/noticia-indecopi-sistema-financiero-concentra-90-sanciones-operaciones-no-reconocidas-1026373.aspx</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Banco BBVA Perú. (2026a). </w:t>
      </w:r>
      <w:r>
        <w:rPr>
          <w:rFonts w:ascii="Times New Roman" w:cs="Times New Roman" w:eastAsia="Times New Roman" w:hAnsi="Times New Roman"/>
          <w:b w:val="false"/>
          <w:bCs w:val="false"/>
          <w:i/>
          <w:iCs/>
          <w:sz w:val="22"/>
          <w:szCs w:val="22"/>
        </w:rPr>
        <w:t xml:space="preserve">Informe de gestión 2T 2026</w:t>
      </w:r>
      <w:r>
        <w:rPr>
          <w:rFonts w:ascii="Times New Roman" w:cs="Times New Roman" w:eastAsia="Times New Roman" w:hAnsi="Times New Roman"/>
          <w:b w:val="false"/>
          <w:bCs w:val="false"/>
          <w:i w:val="false"/>
          <w:iCs w:val="false"/>
          <w:sz w:val="22"/>
          <w:szCs w:val="22"/>
        </w:rPr>
        <w:t xml:space="preserve">. https://www.bbva.pe/content/dam/public-web/peru/documents/prefooter/informacion-financiera/informacion-anual/2026/informe-de-gestion-2T2026.pdf</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Banco BBVA Perú. (2026b). </w:t>
      </w:r>
      <w:r>
        <w:rPr>
          <w:rFonts w:ascii="Times New Roman" w:cs="Times New Roman" w:eastAsia="Times New Roman" w:hAnsi="Times New Roman"/>
          <w:b w:val="false"/>
          <w:bCs w:val="false"/>
          <w:i/>
          <w:iCs/>
          <w:sz w:val="22"/>
          <w:szCs w:val="22"/>
        </w:rPr>
        <w:t xml:space="preserve">Memoria anual 2025: ¿Avanzamos? Informe integrado</w:t>
      </w:r>
      <w:r>
        <w:rPr>
          <w:rFonts w:ascii="Times New Roman" w:cs="Times New Roman" w:eastAsia="Times New Roman" w:hAnsi="Times New Roman"/>
          <w:b w:val="false"/>
          <w:bCs w:val="false"/>
          <w:i w:val="false"/>
          <w:iCs w:val="false"/>
          <w:sz w:val="22"/>
          <w:szCs w:val="22"/>
        </w:rPr>
        <w:t xml:space="preserve">. https://www.bbva.pe/content/dam/public-web/peru/documents/personas/investor-relations/vii-Memoria-Anual-2025.pdf</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BBVA. (2025, 30 de abril). </w:t>
      </w:r>
      <w:r>
        <w:rPr>
          <w:rFonts w:ascii="Times New Roman" w:cs="Times New Roman" w:eastAsia="Times New Roman" w:hAnsi="Times New Roman"/>
          <w:b w:val="false"/>
          <w:bCs w:val="false"/>
          <w:i/>
          <w:iCs/>
          <w:sz w:val="22"/>
          <w:szCs w:val="22"/>
        </w:rPr>
        <w:t xml:space="preserve">Prioridades estratégicas</w:t>
      </w:r>
      <w:r>
        <w:rPr>
          <w:rFonts w:ascii="Times New Roman" w:cs="Times New Roman" w:eastAsia="Times New Roman" w:hAnsi="Times New Roman"/>
          <w:b w:val="false"/>
          <w:bCs w:val="false"/>
          <w:i w:val="false"/>
          <w:iCs w:val="false"/>
          <w:sz w:val="22"/>
          <w:szCs w:val="22"/>
        </w:rPr>
        <w:t xml:space="preserve">. https://accionistaseinversores.bbva.com/grupo-bbva/estrategia-la-transformacion-en-bbva/prioridades-estrategicas/</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BBVA. (2026a, 12 de enero). </w:t>
      </w:r>
      <w:r>
        <w:rPr>
          <w:rFonts w:ascii="Times New Roman" w:cs="Times New Roman" w:eastAsia="Times New Roman" w:hAnsi="Times New Roman"/>
          <w:b w:val="false"/>
          <w:bCs w:val="false"/>
          <w:i/>
          <w:iCs/>
          <w:sz w:val="22"/>
          <w:szCs w:val="22"/>
        </w:rPr>
        <w:t xml:space="preserve">BBVA completes its global move to the cloud with a single data and artificial intelligence platform</w:t>
      </w:r>
      <w:r>
        <w:rPr>
          <w:rFonts w:ascii="Times New Roman" w:cs="Times New Roman" w:eastAsia="Times New Roman" w:hAnsi="Times New Roman"/>
          <w:b w:val="false"/>
          <w:bCs w:val="false"/>
          <w:i w:val="false"/>
          <w:iCs w:val="false"/>
          <w:sz w:val="22"/>
          <w:szCs w:val="22"/>
        </w:rPr>
        <w:t xml:space="preserve">. https://www.bbva.com/en/innovation/bbva-completes-its-global-move-to-the-cloud-with-a-single-data-and-artificial-intelligence-platform/</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BBVA. (2026b, 5 de marzo). </w:t>
      </w:r>
      <w:r>
        <w:rPr>
          <w:rFonts w:ascii="Times New Roman" w:cs="Times New Roman" w:eastAsia="Times New Roman" w:hAnsi="Times New Roman"/>
          <w:b w:val="false"/>
          <w:bCs w:val="false"/>
          <w:i/>
          <w:iCs/>
          <w:sz w:val="22"/>
          <w:szCs w:val="22"/>
        </w:rPr>
        <w:t xml:space="preserve">La app BBVA Empresas 2.0 crece 141 % y acelera la digitalización de las pymes</w:t>
      </w:r>
      <w:r>
        <w:rPr>
          <w:rFonts w:ascii="Times New Roman" w:cs="Times New Roman" w:eastAsia="Times New Roman" w:hAnsi="Times New Roman"/>
          <w:b w:val="false"/>
          <w:bCs w:val="false"/>
          <w:i w:val="false"/>
          <w:iCs w:val="false"/>
          <w:sz w:val="22"/>
          <w:szCs w:val="22"/>
        </w:rPr>
        <w:t xml:space="preserve">. https://www.bbva.com/es/pe/empresas/la-app-bbva-empresas-2-0-crece-141-y-acelera-la-digitalizacion-de-las-pymes/</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Bitner, M. J., Ostrom, A. L., &amp; Morgan, F. N. (2008). Service blueprinting: A practical technique for service innovation. </w:t>
      </w:r>
      <w:r>
        <w:rPr>
          <w:rFonts w:ascii="Times New Roman" w:cs="Times New Roman" w:eastAsia="Times New Roman" w:hAnsi="Times New Roman"/>
          <w:b w:val="false"/>
          <w:bCs w:val="false"/>
          <w:i/>
          <w:iCs/>
          <w:sz w:val="22"/>
          <w:szCs w:val="22"/>
        </w:rPr>
        <w:t xml:space="preserve">California Management Review, 50</w:t>
      </w:r>
      <w:r>
        <w:rPr>
          <w:rFonts w:ascii="Times New Roman" w:cs="Times New Roman" w:eastAsia="Times New Roman" w:hAnsi="Times New Roman"/>
          <w:b w:val="false"/>
          <w:bCs w:val="false"/>
          <w:i w:val="false"/>
          <w:iCs w:val="false"/>
          <w:sz w:val="22"/>
          <w:szCs w:val="22"/>
        </w:rPr>
        <w:t xml:space="preserve">(3), 66-94. https://doi.org/10.2307/41166446</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Diario Oficial El Peruano. (2023, 28 de agosto). Indecopi impone 1,284 sanciones a bancos por operaciones no reconocidas por clientes. </w:t>
      </w:r>
      <w:r>
        <w:rPr>
          <w:rFonts w:ascii="Times New Roman" w:cs="Times New Roman" w:eastAsia="Times New Roman" w:hAnsi="Times New Roman"/>
          <w:b w:val="false"/>
          <w:bCs w:val="false"/>
          <w:i/>
          <w:iCs/>
          <w:sz w:val="22"/>
          <w:szCs w:val="22"/>
        </w:rPr>
        <w:t xml:space="preserve">El Peruano</w:t>
      </w:r>
      <w:r>
        <w:rPr>
          <w:rFonts w:ascii="Times New Roman" w:cs="Times New Roman" w:eastAsia="Times New Roman" w:hAnsi="Times New Roman"/>
          <w:b w:val="false"/>
          <w:bCs w:val="false"/>
          <w:i w:val="false"/>
          <w:iCs w:val="false"/>
          <w:sz w:val="22"/>
          <w:szCs w:val="22"/>
        </w:rPr>
        <w:t xml:space="preserve">. https://www.elperuano.pe/noticia/221705-indecopi-impone-1284-sanciones-a-bancos-por-operaciones-no-reconocidas-por-clientes</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Lemon, K. N., &amp; Verhoef, P. C. (2016). Understanding customer experience throughout the customer journey. </w:t>
      </w:r>
      <w:r>
        <w:rPr>
          <w:rFonts w:ascii="Times New Roman" w:cs="Times New Roman" w:eastAsia="Times New Roman" w:hAnsi="Times New Roman"/>
          <w:b w:val="false"/>
          <w:bCs w:val="false"/>
          <w:i/>
          <w:iCs/>
          <w:sz w:val="22"/>
          <w:szCs w:val="22"/>
        </w:rPr>
        <w:t xml:space="preserve">Journal of Marketing, 80</w:t>
      </w:r>
      <w:r>
        <w:rPr>
          <w:rFonts w:ascii="Times New Roman" w:cs="Times New Roman" w:eastAsia="Times New Roman" w:hAnsi="Times New Roman"/>
          <w:b w:val="false"/>
          <w:bCs w:val="false"/>
          <w:i w:val="false"/>
          <w:iCs w:val="false"/>
          <w:sz w:val="22"/>
          <w:szCs w:val="22"/>
        </w:rPr>
        <w:t xml:space="preserve">(6), 69-96. https://doi.org/10.1509/jm.15.0420</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Melo, Y. (2026, 24 de marzo). Solo 1 de cada 4 mypes accede a crédito y paga más por falta de información financiera. </w:t>
      </w:r>
      <w:r>
        <w:rPr>
          <w:rFonts w:ascii="Times New Roman" w:cs="Times New Roman" w:eastAsia="Times New Roman" w:hAnsi="Times New Roman"/>
          <w:b w:val="false"/>
          <w:bCs w:val="false"/>
          <w:i/>
          <w:iCs/>
          <w:sz w:val="22"/>
          <w:szCs w:val="22"/>
        </w:rPr>
        <w:t xml:space="preserve">Infobae</w:t>
      </w:r>
      <w:r>
        <w:rPr>
          <w:rFonts w:ascii="Times New Roman" w:cs="Times New Roman" w:eastAsia="Times New Roman" w:hAnsi="Times New Roman"/>
          <w:b w:val="false"/>
          <w:bCs w:val="false"/>
          <w:i w:val="false"/>
          <w:iCs w:val="false"/>
          <w:sz w:val="22"/>
          <w:szCs w:val="22"/>
        </w:rPr>
        <w:t xml:space="preserve">. https://www.infobae.com/peru/2026/03/24/solo-1-de-cada-4-mypes-accede-a-credito-y-paga-mas-por-falta-de-informacion-financiera/</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Reusche, I. (2026, 4 de agosto). </w:t>
      </w:r>
      <w:r>
        <w:rPr>
          <w:rFonts w:ascii="Times New Roman" w:cs="Times New Roman" w:eastAsia="Times New Roman" w:hAnsi="Times New Roman"/>
          <w:b w:val="false"/>
          <w:bCs w:val="false"/>
          <w:i/>
          <w:iCs/>
          <w:sz w:val="22"/>
          <w:szCs w:val="22"/>
        </w:rPr>
        <w:t xml:space="preserve">BBVA en Perú alcanza una facturación trimestral histórica en el segmento Pymes con 48 % de crecimiento versus 2025</w:t>
      </w:r>
      <w:r>
        <w:rPr>
          <w:rFonts w:ascii="Times New Roman" w:cs="Times New Roman" w:eastAsia="Times New Roman" w:hAnsi="Times New Roman"/>
          <w:b w:val="false"/>
          <w:bCs w:val="false"/>
          <w:i w:val="false"/>
          <w:iCs w:val="false"/>
          <w:sz w:val="22"/>
          <w:szCs w:val="22"/>
        </w:rPr>
        <w:t xml:space="preserve">. BBVA. https://www.bbva.com/es/pe/empresas/bbva-en-peru-alcanza-una-facturacion-trimestral-historica-en-el-segmento-pymes-con-48-de-crecimiento-versus-2025/</w:t>
      </w:r>
    </w:p>
    <w:p>
      <w:pPr>
        <w:spacing w:after="160" w:line="360"/>
        <w:ind w:left="720" w:hanging="720"/>
        <w:jc w:val="left"/>
      </w:pPr>
      <w:r>
        <w:rPr>
          <w:rFonts w:ascii="Times New Roman" w:cs="Times New Roman" w:eastAsia="Times New Roman" w:hAnsi="Times New Roman"/>
          <w:b w:val="false"/>
          <w:bCs w:val="false"/>
          <w:i w:val="false"/>
          <w:iCs w:val="false"/>
          <w:sz w:val="22"/>
          <w:szCs w:val="22"/>
        </w:rPr>
        <w:t xml:space="preserve">Salazar Herrada, E. (2026, 3 de junio). SBS: Utilidad del sistema financiero alcanza los S/ 17,934 millones y la morosidad vuelve a niveles prepandemia. </w:t>
      </w:r>
      <w:r>
        <w:rPr>
          <w:rFonts w:ascii="Times New Roman" w:cs="Times New Roman" w:eastAsia="Times New Roman" w:hAnsi="Times New Roman"/>
          <w:b w:val="false"/>
          <w:bCs w:val="false"/>
          <w:i/>
          <w:iCs/>
          <w:sz w:val="22"/>
          <w:szCs w:val="22"/>
        </w:rPr>
        <w:t xml:space="preserve">Infobae</w:t>
      </w:r>
      <w:r>
        <w:rPr>
          <w:rFonts w:ascii="Times New Roman" w:cs="Times New Roman" w:eastAsia="Times New Roman" w:hAnsi="Times New Roman"/>
          <w:b w:val="false"/>
          <w:bCs w:val="false"/>
          <w:i w:val="false"/>
          <w:iCs w:val="false"/>
          <w:sz w:val="22"/>
          <w:szCs w:val="22"/>
        </w:rPr>
        <w:t xml:space="preserve">. https://www.infobae.com/peru/2026/06/03/sbs-utilidad-del-sistema-financiero-alcanza-los-s17934-millones-y-la-morosidad-vuelve-a-niveles-prepandemia/</w:t>
      </w:r>
    </w:p>
    <w:p>
      <w:pPr>
        <w:spacing w:after="200" w:before="0" w:line="360"/>
        <w:jc w:val="both"/>
      </w:pPr>
      <w:r>
        <w:rPr>
          <w:rFonts w:ascii="Times New Roman" w:cs="Times New Roman" w:eastAsia="Times New Roman" w:hAnsi="Times New Roman"/>
          <w:b/>
          <w:bCs/>
          <w:i w:val="false"/>
          <w:iCs w:val="false"/>
          <w:sz w:val="22"/>
          <w:szCs w:val="22"/>
        </w:rPr>
        <w:t xml:space="preserve">Nota sobre las referencias.</w:t>
      </w:r>
      <w:r>
        <w:rPr>
          <w:rFonts w:ascii="Times New Roman" w:cs="Times New Roman" w:eastAsia="Times New Roman" w:hAnsi="Times New Roman"/>
          <w:b w:val="false"/>
          <w:bCs w:val="false"/>
          <w:i w:val="false"/>
          <w:iCs w:val="false"/>
          <w:sz w:val="22"/>
          <w:szCs w:val="22"/>
        </w:rPr>
        <w:t xml:space="preserve"> Las entradas BBVA (2025) y BBVA (2026a) provienen del Entregable 1 y se conservan para mantener la consistencia de la codificación alfabética al integrar ambos documentos. Todas las demás fuentes fueron consultadas y verificadas para la elaboración de esta entrega.</w:t>
      </w:r>
    </w:p>
    <w:p>
      <w:r>
        <w:br w:type="page"/>
      </w:r>
    </w:p>
    <w:p>
      <w:pPr>
        <w:pStyle w:val="Heading1"/>
        <w:spacing w:after="200" w:before="320"/>
      </w:pPr>
      <w:r>
        <w:rPr>
          <w:rFonts w:ascii="Times New Roman" w:cs="Times New Roman" w:eastAsia="Times New Roman" w:hAnsi="Times New Roman"/>
          <w:b/>
          <w:bCs/>
          <w:i w:val="false"/>
          <w:iCs w:val="false"/>
          <w:sz w:val="26"/>
          <w:szCs w:val="26"/>
        </w:rPr>
        <w:t xml:space="preserve">Anexo A. Observaciones de consistencia respecto del Entregable 1</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Durante la elaboración de esta práctica se contrastaron las cifras del Entregable 1 con la información publicada por la entidad al segundo trimestre de 2026. El ejercicio arrojó cuatro observaciones que conviene atender antes de la integración de ambos documentos.</w:t>
      </w:r>
    </w:p>
    <w:p>
      <w:pPr>
        <w:spacing w:after="0" w:before="200"/>
      </w:pPr>
      <w:r>
        <w:rPr>
          <w:rFonts w:ascii="Times New Roman" w:cs="Times New Roman" w:eastAsia="Times New Roman" w:hAnsi="Times New Roman"/>
          <w:b/>
          <w:bCs/>
          <w:i w:val="false"/>
          <w:iCs w:val="false"/>
          <w:sz w:val="22"/>
          <w:szCs w:val="22"/>
        </w:rPr>
        <w:t xml:space="preserve">Tabla 26</w:t>
      </w:r>
    </w:p>
    <w:p>
      <w:pPr>
        <w:spacing w:after="100"/>
      </w:pPr>
      <w:r>
        <w:rPr>
          <w:rFonts w:ascii="Times New Roman" w:cs="Times New Roman" w:eastAsia="Times New Roman" w:hAnsi="Times New Roman"/>
          <w:b w:val="false"/>
          <w:bCs w:val="false"/>
          <w:i/>
          <w:iCs/>
          <w:sz w:val="22"/>
          <w:szCs w:val="22"/>
        </w:rPr>
        <w:t xml:space="preserve">Observaciones de consistencia sobre el Entregable 1</w:t>
      </w:r>
    </w:p>
    <w:tbl>
      <w:tblPr>
        <w:tblW w:type="dxa" w:w="9026"/>
        <w:tblBorders>
          <w:top w:val="single" w:color="8496B0" w:sz="4"/>
          <w:left w:val="single" w:color="8496B0" w:sz="4"/>
          <w:bottom w:val="single" w:color="8496B0" w:sz="4"/>
          <w:right w:val="single" w:color="8496B0" w:sz="4"/>
          <w:insideH w:val="single" w:color="B4C6E7" w:sz="2"/>
          <w:insideV w:val="single" w:color="B4C6E7" w:sz="2"/>
        </w:tblBorders>
      </w:tblPr>
      <w:tblGrid>
        <w:gridCol w:w="700"/>
        <w:gridCol w:w="4600"/>
        <w:gridCol w:w="3726"/>
      </w:tblGrid>
      <w:tr>
        <w:trPr>
          <w:tblHeader/>
        </w:trPr>
        <w:tc>
          <w:tcPr>
            <w:tcW w:type="dxa" w:w="7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N.º</w:t>
            </w:r>
          </w:p>
        </w:tc>
        <w:tc>
          <w:tcPr>
            <w:tcW w:type="dxa" w:w="4600"/>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Observación</w:t>
            </w:r>
          </w:p>
        </w:tc>
        <w:tc>
          <w:tcPr>
            <w:tcW w:type="dxa" w:w="3726"/>
            <w:shd w:fill="1F3864" w:color="auto" w:val="clear"/>
            <w:tcMar>
              <w:top w:type="dxa" w:w="60"/>
              <w:left w:type="dxa" w:w="90"/>
              <w:bottom w:type="dxa" w:w="60"/>
              <w:right w:type="dxa" w:w="90"/>
            </w:tcMar>
            <w:vAlign w:val="center"/>
          </w:tcPr>
          <w:p>
            <w:pPr>
              <w:spacing w:after="0" w:line="240"/>
              <w:jc w:val="center"/>
            </w:pPr>
            <w:r>
              <w:rPr>
                <w:rFonts w:ascii="Times New Roman" w:cs="Times New Roman" w:eastAsia="Times New Roman" w:hAnsi="Times New Roman"/>
                <w:b/>
                <w:bCs/>
                <w:i w:val="false"/>
                <w:iCs w:val="false"/>
                <w:color w:val="FFFFFF"/>
                <w:sz w:val="16"/>
                <w:szCs w:val="16"/>
              </w:rPr>
              <w:t xml:space="preserve">Corrección sugerida</w:t>
            </w:r>
          </w:p>
        </w:tc>
      </w:tr>
      <w:tr>
        <w:tc>
          <w:tcPr>
            <w:tcW w:type="dxa" w:w="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1</w:t>
            </w:r>
          </w:p>
        </w:tc>
        <w:tc>
          <w:tcPr>
            <w:tcW w:type="dxa" w:w="4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La sección 1.6 afirma que la morosidad de la entidad (3.38 % a junio de 2025) supera el promedio del sistema (2.28 %) y lo califica como frente abierto. Con información posterior esa relación se invirtió: la morosidad de la entidad cerró en 2.69 % a junio de 2026, con una mejora de 69 puntos básicos interanuales y una cobertura de 164 % (Banco BBVA Perú, 2026a, p. 24), mientras que la morosidad del sistema financiero se situó en 3.3 % a marzo de 2026 (Salazar Herrada, 2026).</w:t>
            </w:r>
          </w:p>
        </w:tc>
        <w:tc>
          <w:tcPr>
            <w:tcW w:type="dxa" w:w="37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Actualizar la Tabla 6 y el texto de la sección 1.6. La entidad presenta hoy mejor calidad de cartera que el sistema, de modo que la morosidad ya no constituye un dolor sostenible y por ello no fue incorporada como dolor crítico en esta práctica.</w:t>
            </w:r>
          </w:p>
        </w:tc>
      </w:tr>
      <w:tr>
        <w:tc>
          <w:tcPr>
            <w:tcW w:type="dxa" w:w="7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2</w:t>
            </w:r>
          </w:p>
        </w:tc>
        <w:tc>
          <w:tcPr>
            <w:tcW w:type="dxa" w:w="46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Las citas de la sección 3 emplean las formas (Banco BBVA Perú, 2025) y (Banco BBVA Perú, 2026), que no corresponden a ninguna entrada de la lista de referencias, donde las obras figuran como 2026a y 2026b.</w:t>
            </w:r>
          </w:p>
        </w:tc>
        <w:tc>
          <w:tcPr>
            <w:tcW w:type="dxa" w:w="37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Reemplazar (Banco BBVA Perú, 2025) por (Banco BBVA Perú, 2026b) y (Banco BBVA Perú, 2026) por (Banco BBVA Perú, 2026a). Una cita que no resuelve a una entrada de la lista compromete el criterio de uso correcto de fuentes.</w:t>
            </w:r>
          </w:p>
        </w:tc>
      </w:tr>
      <w:tr>
        <w:tc>
          <w:tcPr>
            <w:tcW w:type="dxa" w:w="7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3</w:t>
            </w:r>
          </w:p>
        </w:tc>
        <w:tc>
          <w:tcPr>
            <w:tcW w:type="dxa" w:w="4600"/>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El título de la sección 1.2 anuncia participación de mercado, pero las cuotas (22.09 % en colocaciones vigentes y 20.90 % en depósitos) aparecen recién en la sección 3, dentro del análisis de fuerzas de Porter.</w:t>
            </w:r>
          </w:p>
        </w:tc>
        <w:tc>
          <w:tcPr>
            <w:tcW w:type="dxa" w:w="3726"/>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Trasladar o replicar ese párrafo al cierre de la sección 1.2, de modo que el contenido corresponda al título.</w:t>
            </w:r>
          </w:p>
        </w:tc>
      </w:tr>
      <w:tr>
        <w:tc>
          <w:tcPr>
            <w:tcW w:type="dxa" w:w="7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i w:val="false"/>
                <w:iCs w:val="false"/>
                <w:sz w:val="16"/>
                <w:szCs w:val="16"/>
              </w:rPr>
              <w:t xml:space="preserve">4</w:t>
            </w:r>
          </w:p>
        </w:tc>
        <w:tc>
          <w:tcPr>
            <w:tcW w:type="dxa" w:w="4600"/>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El inventario de la Tabla 11 agrupa exclusivamente macroprocesos de tecnología, sin incorporar los macroprocesos de negocio bancario (originación de crédito, captación, medios de pago, servicio al cliente, cobranzas).</w:t>
            </w:r>
          </w:p>
        </w:tc>
        <w:tc>
          <w:tcPr>
            <w:tcW w:type="dxa" w:w="3726"/>
            <w:shd w:fill="F2F5FA"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Ampliar la Tabla 11 con los macroprocesos de negocio. Mientras tanto, la Tabla 14 de este documento establece la correspondencia entre los procesos extremo a extremo analizados y los macroprocesos tecnológicos ya declarados.</w:t>
            </w:r>
          </w:p>
        </w:tc>
      </w:tr>
    </w:tbl>
    <w:p>
      <w:pPr>
        <w:spacing w:after="220" w:before="60"/>
        <w:jc w:val="both"/>
      </w:pPr>
      <w:r>
        <w:rPr>
          <w:rFonts w:ascii="Times New Roman" w:cs="Times New Roman" w:eastAsia="Times New Roman" w:hAnsi="Times New Roman"/>
          <w:b w:val="false"/>
          <w:bCs w:val="false"/>
          <w:i/>
          <w:iCs/>
          <w:sz w:val="18"/>
          <w:szCs w:val="18"/>
        </w:rPr>
        <w:t xml:space="preserve">Nota. </w:t>
      </w:r>
      <w:r>
        <w:rPr>
          <w:rFonts w:ascii="Times New Roman" w:cs="Times New Roman" w:eastAsia="Times New Roman" w:hAnsi="Times New Roman"/>
          <w:b w:val="false"/>
          <w:bCs w:val="false"/>
          <w:i w:val="false"/>
          <w:iCs w:val="false"/>
          <w:sz w:val="18"/>
          <w:szCs w:val="18"/>
        </w:rPr>
        <w:t xml:space="preserve">Elaboración propia a partir del contraste entre el Entregable 1 y la información publicada por la entidad al segundo trimestre de 2026.</w:t>
      </w:r>
    </w:p>
    <w:p>
      <w:pPr>
        <w:spacing w:after="200" w:before="0" w:line="360"/>
        <w:jc w:val="both"/>
      </w:pPr>
      <w:r>
        <w:rPr>
          <w:rFonts w:ascii="Times New Roman" w:cs="Times New Roman" w:eastAsia="Times New Roman" w:hAnsi="Times New Roman"/>
          <w:b/>
          <w:bCs/>
          <w:i w:val="false"/>
          <w:iCs w:val="false"/>
          <w:sz w:val="22"/>
          <w:szCs w:val="22"/>
        </w:rPr>
        <w:t xml:space="preserve">Dato adicional de interés para el objetivo OE4.</w:t>
      </w:r>
      <w:r>
        <w:rPr>
          <w:rFonts w:ascii="Times New Roman" w:cs="Times New Roman" w:eastAsia="Times New Roman" w:hAnsi="Times New Roman"/>
          <w:b w:val="false"/>
          <w:bCs w:val="false"/>
          <w:i w:val="false"/>
          <w:iCs w:val="false"/>
          <w:sz w:val="22"/>
          <w:szCs w:val="22"/>
        </w:rPr>
        <w:t xml:space="preserve"> El retorno sobre patrimonio de la entidad alcanzó 18.7 % a junio de 2026, con una mejora de 200 puntos básicos interanuales (Banco BBVA Perú, 2026a, p. 32), mientras que el promedio de los bancos grandes del sistema se situó en 20.4 % a marzo de 2026 (Salazar Herrada, 2026). La comparación combina cortes distintos y debe tomarse como referencia direccional, pero sugiere que la brecha de rentabilidad frente a sus pares constituye un ángulo pertinente para sustentar iniciativas asociadas a la creación de valor.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2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60" w:before="260"/>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40" w:before="220"/>
    </w:pPr>
    <w:rPr>
      <w:rFonts w:ascii="Times New Roman" w:cs="Times New Roman" w:eastAsia="Times New Roman" w:hAnsi="Times New Roman"/>
      <w:b/>
      <w:bCs/>
      <w:color w:val="1F386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2 - Práctica 2: Identificación y priorización de los dolores de negocio</dc:title>
  <dc:creator>Grupo 1INF48 - BBVA Perú</dc:creator>
  <dc:description>Trabajo del curso 1INF48 Estrategia y Gestión de Sistemas de Información - PUCP 2026-2</dc:description>
  <cp:lastModifiedBy>Un-named</cp:lastModifiedBy>
  <cp:revision>1</cp:revision>
  <dcterms:created xsi:type="dcterms:W3CDTF">2026-09-09T19:10:18.381Z</dcterms:created>
  <dcterms:modified xsi:type="dcterms:W3CDTF">2026-09-09T19:10:18.382Z</dcterms:modified>
</cp:coreProperties>
</file>

<file path=docProps/custom.xml><?xml version="1.0" encoding="utf-8"?>
<Properties xmlns="http://schemas.openxmlformats.org/officeDocument/2006/custom-properties" xmlns:vt="http://schemas.openxmlformats.org/officeDocument/2006/docPropsVTypes"/>
</file>