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3864"/>
          <w:sz w:val="40"/>
        </w:rPr>
        <w:t>Entregable Identificación de Riesgos</w:t>
      </w:r>
    </w:p>
    <w:p>
      <w:pPr>
        <w:spacing w:after="80"/>
      </w:pPr>
      <w:r>
        <w:rPr>
          <w:b w:val="0"/>
          <w:i w:val="0"/>
          <w:sz w:val="19"/>
        </w:rPr>
        <w:t>Proyecto DSC PUCP Workshops (marzo a julio de 2027). Patrocinador: Leonardo Flores Vera. Gerente de Proyecto: Lucas Mattias Alvites Galarza.</w:t>
      </w:r>
    </w:p>
    <w:p>
      <w:pPr>
        <w:spacing w:after="40"/>
      </w:pPr>
      <w:r>
        <w:rPr>
          <w:b w:val="0"/>
          <w:i w:val="0"/>
          <w:sz w:val="20"/>
        </w:rPr>
      </w:r>
      <w:r>
        <w:rPr>
          <w:b/>
          <w:i w:val="0"/>
          <w:sz w:val="20"/>
        </w:rPr>
        <w:t>Resumen.</w:t>
      </w:r>
      <w:r>
        <w:rPr>
          <w:b w:val="0"/>
          <w:i w:val="0"/>
          <w:sz w:val="20"/>
        </w:rPr>
        <w:t xml:space="preserve"> 23 amenazas (14 de nivel Alto y 9 de nivel Medio) y 6 oportunidades. Cada riesgo se lee como: «Debido a (antecedente), podría (evento), lo que impactaría (consecuencia)». Exposición = impacto × probabilidad. Los riesgos de exposición 12 o más superan el apetito (Medio) y se tratan con responsable, estrategia y plazo. Estrategias para amenazas: aceptar, transferir, eliminar o mitigar; para oportunidades: explotar, aumentar, compartir o aceptar. Los valores son propuesta del equipo a validar.</w:t>
      </w:r>
    </w:p>
    <w:p>
      <w:pPr>
        <w:pStyle w:val="Heading1"/>
      </w:pPr>
      <w:r>
        <w:t>1. Escalas</w:t>
      </w:r>
    </w:p>
    <w:p>
      <w:pPr>
        <w:pStyle w:val="Heading3"/>
      </w:pPr>
      <w:r>
        <w:t>Probabilidad (de ocurrir entre marzo y julio de 2027) y semáforo</w:t>
      </w:r>
    </w:p>
    <w:tbl>
      <w:tblPr>
        <w:tblW w:type="dxa" w:w="8505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firstColumn="1" w:firstRow="1" w:lastColumn="0" w:lastRow="0" w:noHBand="0" w:noVBand="1" w:val="04A0"/>
      </w:tblPr>
      <w:tblGrid>
        <w:gridCol w:w="1134"/>
        <w:gridCol w:w="2835"/>
        <w:gridCol w:w="4536"/>
      </w:tblGrid>
      <w:tr>
        <w:trPr>
          <w:cantSplit/>
          <w:tblHeader/>
        </w:trPr>
        <w:tc>
          <w:tcPr>
            <w:tcW w:type="dxa" w:w="1134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Nivel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4535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Probabilidad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83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7"/>
              </w:rPr>
              <w:t>Muy probable</w:t>
            </w:r>
          </w:p>
        </w:tc>
        <w:tc>
          <w:tcPr>
            <w:tcW w:type="dxa" w:w="453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7"/>
              </w:rPr>
              <w:t>Más de 80 %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83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7"/>
              </w:rPr>
              <w:t>Probable</w:t>
            </w:r>
          </w:p>
        </w:tc>
        <w:tc>
          <w:tcPr>
            <w:tcW w:type="dxa" w:w="453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7"/>
              </w:rPr>
              <w:t>Más de 60 % y hasta 80 %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83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7"/>
              </w:rPr>
              <w:t>Moderado</w:t>
            </w:r>
          </w:p>
        </w:tc>
        <w:tc>
          <w:tcPr>
            <w:tcW w:type="dxa" w:w="453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7"/>
              </w:rPr>
              <w:t>Más de 40 % y hasta 60 %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83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7"/>
              </w:rPr>
              <w:t>Poco probable</w:t>
            </w:r>
          </w:p>
        </w:tc>
        <w:tc>
          <w:tcPr>
            <w:tcW w:type="dxa" w:w="453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7"/>
              </w:rPr>
              <w:t>Más de 20 % y hasta 40 %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83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7"/>
              </w:rPr>
              <w:t>Raro</w:t>
            </w:r>
          </w:p>
        </w:tc>
        <w:tc>
          <w:tcPr>
            <w:tcW w:type="dxa" w:w="453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7"/>
              </w:rPr>
              <w:t>Hasta 20 %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tbl>
      <w:tblPr>
        <w:tblW w:type="dxa" w:w="9128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firstColumn="1" w:firstRow="1" w:lastColumn="0" w:lastRow="0" w:noHBand="0" w:noVBand="1" w:val="04A0"/>
      </w:tblPr>
      <w:tblGrid>
        <w:gridCol w:w="1757"/>
        <w:gridCol w:w="1360"/>
        <w:gridCol w:w="1360"/>
        <w:gridCol w:w="1927"/>
        <w:gridCol w:w="1360"/>
        <w:gridCol w:w="1360"/>
      </w:tblGrid>
      <w:tr>
        <w:trPr>
          <w:cantSplit/>
          <w:tblHeader/>
        </w:trPr>
        <w:tc>
          <w:tcPr>
            <w:tcW w:type="dxa" w:w="1757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Semáforo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Muy bajo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Bajo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Medio (apetito)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Alto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Muy alto</w:t>
            </w:r>
          </w:p>
        </w:tc>
      </w:tr>
      <w:tr>
        <w:trPr>
          <w:cantSplit/>
        </w:trPr>
        <w:tc>
          <w:tcPr>
            <w:tcW w:type="dxa" w:w="175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7"/>
              </w:rPr>
              <w:t>Exposición</w:t>
            </w:r>
          </w:p>
        </w:tc>
        <w:tc>
          <w:tcPr>
            <w:tcW w:type="dxa" w:w="1361"/>
            <w:shd w:val="clear" w:color="auto" w:fill="9DC3E6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7"/>
              </w:rPr>
              <w:t>1 a 2</w:t>
            </w:r>
          </w:p>
        </w:tc>
        <w:tc>
          <w:tcPr>
            <w:tcW w:type="dxa" w:w="1361"/>
            <w:shd w:val="clear" w:color="auto" w:fill="A9D18E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7"/>
              </w:rPr>
              <w:t>3 a 4</w:t>
            </w:r>
          </w:p>
        </w:tc>
        <w:tc>
          <w:tcPr>
            <w:tcW w:type="dxa" w:w="1928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7"/>
              </w:rPr>
              <w:t>5 a 10</w:t>
            </w:r>
          </w:p>
        </w:tc>
        <w:tc>
          <w:tcPr>
            <w:tcW w:type="dxa" w:w="1361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7"/>
              </w:rPr>
              <w:t>12 a 16</w:t>
            </w:r>
          </w:p>
        </w:tc>
        <w:tc>
          <w:tcPr>
            <w:tcW w:type="dxa" w:w="1361"/>
            <w:shd w:val="clear" w:color="auto" w:fill="FF7C8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7"/>
              </w:rPr>
              <w:t>20 a 25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pStyle w:val="Heading3"/>
      </w:pPr>
      <w:r>
        <w:t>Impacto (se toma el nivel más alto de las dimensiones afectadas)</w:t>
      </w:r>
    </w:p>
    <w:tbl>
      <w:tblPr>
        <w:tblW w:type="dxa" w:w="15365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firstColumn="1" w:firstRow="1" w:lastColumn="0" w:lastRow="0" w:noHBand="0" w:noVBand="1" w:val="04A0"/>
      </w:tblPr>
      <w:tblGrid>
        <w:gridCol w:w="3572"/>
        <w:gridCol w:w="1927"/>
        <w:gridCol w:w="1927"/>
        <w:gridCol w:w="2211"/>
        <w:gridCol w:w="2664"/>
        <w:gridCol w:w="3061"/>
      </w:tblGrid>
      <w:tr>
        <w:trPr>
          <w:cantSplit/>
          <w:tblHeader/>
        </w:trPr>
        <w:tc>
          <w:tcPr>
            <w:tcW w:type="dxa" w:w="3572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Dimensión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1 Menor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2 Moderado</w:t>
            </w:r>
          </w:p>
        </w:tc>
        <w:tc>
          <w:tcPr>
            <w:tcW w:type="dxa" w:w="2211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3 Significativo</w:t>
            </w:r>
          </w:p>
        </w:tc>
        <w:tc>
          <w:tcPr>
            <w:tcW w:type="dxa" w:w="2665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4 Mayor</w:t>
            </w:r>
          </w:p>
        </w:tc>
        <w:tc>
          <w:tcPr>
            <w:tcW w:type="dxa" w:w="3061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5 Catastrófico</w:t>
            </w:r>
          </w:p>
        </w:tc>
      </w:tr>
      <w:tr>
        <w:trPr>
          <w:cantSplit/>
        </w:trPr>
        <w:tc>
          <w:tcPr>
            <w:tcW w:type="dxa" w:w="35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6"/>
              </w:rPr>
              <w:t>Finanzas (S/)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Hasta 100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100 a 300</w:t>
            </w:r>
          </w:p>
        </w:tc>
        <w:tc>
          <w:tcPr>
            <w:tcW w:type="dxa" w:w="221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300 a 600</w:t>
            </w:r>
          </w:p>
        </w:tc>
        <w:tc>
          <w:tcPr>
            <w:tcW w:type="dxa" w:w="266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600 a 1,160 (agota la contingencia)</w:t>
            </w:r>
          </w:p>
        </w:tc>
        <w:tc>
          <w:tcPr>
            <w:tcW w:type="dxa" w:w="306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Más de 1,160 (usa la reserva de gestión de S/ 784)</w:t>
            </w:r>
          </w:p>
        </w:tc>
      </w:tr>
      <w:tr>
        <w:trPr>
          <w:cantSplit/>
        </w:trPr>
        <w:tc>
          <w:tcPr>
            <w:tcW w:type="dxa" w:w="35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6"/>
              </w:rPr>
              <w:t>Cronograma (hitos en días; evento en horas)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Hasta 1 día (1 h)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1 a 3 días (2 h)</w:t>
            </w:r>
          </w:p>
        </w:tc>
        <w:tc>
          <w:tcPr>
            <w:tcW w:type="dxa" w:w="221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3 a 7 días (3 h)</w:t>
            </w:r>
          </w:p>
        </w:tc>
        <w:tc>
          <w:tcPr>
            <w:tcW w:type="dxa" w:w="266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7 a 14 días (6 h)</w:t>
            </w:r>
          </w:p>
        </w:tc>
        <w:tc>
          <w:tcPr>
            <w:tcW w:type="dxa" w:w="306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Más de 14 días (más de 6 h o suspensión)</w:t>
            </w:r>
          </w:p>
        </w:tc>
      </w:tr>
      <w:tr>
        <w:trPr>
          <w:cantSplit/>
        </w:trPr>
        <w:tc>
          <w:tcPr>
            <w:tcW w:type="dxa" w:w="35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6"/>
              </w:rPr>
              <w:t>Participación (déficit frente a la meta)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Hasta 10 %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10 a 20 %</w:t>
            </w:r>
          </w:p>
        </w:tc>
        <w:tc>
          <w:tcPr>
            <w:tcW w:type="dxa" w:w="221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20 a 35 %</w:t>
            </w:r>
          </w:p>
        </w:tc>
        <w:tc>
          <w:tcPr>
            <w:tcW w:type="dxa" w:w="266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35 a 50 %</w:t>
            </w:r>
          </w:p>
        </w:tc>
        <w:tc>
          <w:tcPr>
            <w:tcW w:type="dxa" w:w="306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Más de 50 %</w:t>
            </w:r>
          </w:p>
        </w:tc>
      </w:tr>
      <w:tr>
        <w:trPr>
          <w:cantSplit/>
        </w:trPr>
        <w:tc>
          <w:tcPr>
            <w:tcW w:type="dxa" w:w="35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6"/>
              </w:rPr>
              <w:t>Equipo (voluntarios que abandonan)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0 %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Hasta 20 %</w:t>
            </w:r>
          </w:p>
        </w:tc>
        <w:tc>
          <w:tcPr>
            <w:tcW w:type="dxa" w:w="221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20 a 40 %</w:t>
            </w:r>
          </w:p>
        </w:tc>
        <w:tc>
          <w:tcPr>
            <w:tcW w:type="dxa" w:w="266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40 a 60 %</w:t>
            </w:r>
          </w:p>
        </w:tc>
        <w:tc>
          <w:tcPr>
            <w:tcW w:type="dxa" w:w="306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Más de 60 %</w:t>
            </w:r>
          </w:p>
        </w:tc>
      </w:tr>
      <w:tr>
        <w:trPr>
          <w:cantSplit/>
        </w:trPr>
        <w:tc>
          <w:tcPr>
            <w:tcW w:type="dxa" w:w="35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6"/>
              </w:rPr>
              <w:t>Auspiciadores y alianzas (que abandonan)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221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266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306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Más de 3</w:t>
            </w:r>
          </w:p>
        </w:tc>
      </w:tr>
      <w:tr>
        <w:trPr>
          <w:cantSplit/>
        </w:trPr>
        <w:tc>
          <w:tcPr>
            <w:tcW w:type="dxa" w:w="35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6"/>
              </w:rPr>
              <w:t>Daños personales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Ninguno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1 persona</w:t>
            </w:r>
          </w:p>
        </w:tc>
        <w:tc>
          <w:tcPr>
            <w:tcW w:type="dxa" w:w="221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2 a 5 personas</w:t>
            </w:r>
          </w:p>
        </w:tc>
        <w:tc>
          <w:tcPr>
            <w:tcW w:type="dxa" w:w="266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6 a 10 personas o 1 vida</w:t>
            </w:r>
          </w:p>
        </w:tc>
        <w:tc>
          <w:tcPr>
            <w:tcW w:type="dxa" w:w="306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Más de 10 personas o más de 1 vida</w:t>
            </w:r>
          </w:p>
        </w:tc>
      </w:tr>
      <w:tr>
        <w:trPr>
          <w:cantSplit/>
        </w:trPr>
        <w:tc>
          <w:tcPr>
            <w:tcW w:type="dxa" w:w="35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6"/>
              </w:rPr>
              <w:t>Reputación (seguidores perdidos)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0 %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Hasta 20 %</w:t>
            </w:r>
          </w:p>
        </w:tc>
        <w:tc>
          <w:tcPr>
            <w:tcW w:type="dxa" w:w="221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20 a 40 %</w:t>
            </w:r>
          </w:p>
        </w:tc>
        <w:tc>
          <w:tcPr>
            <w:tcW w:type="dxa" w:w="266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40 a 60 %</w:t>
            </w:r>
          </w:p>
        </w:tc>
        <w:tc>
          <w:tcPr>
            <w:tcW w:type="dxa" w:w="306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Más de 60 %</w:t>
            </w:r>
          </w:p>
        </w:tc>
      </w:tr>
      <w:tr>
        <w:trPr>
          <w:cantSplit/>
        </w:trPr>
        <w:tc>
          <w:tcPr>
            <w:tcW w:type="dxa" w:w="35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6"/>
              </w:rPr>
              <w:t>Datos personales (registros expuestos)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Ninguno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1 a 10</w:t>
            </w:r>
          </w:p>
        </w:tc>
        <w:tc>
          <w:tcPr>
            <w:tcW w:type="dxa" w:w="221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11 a 50</w:t>
            </w:r>
          </w:p>
        </w:tc>
        <w:tc>
          <w:tcPr>
            <w:tcW w:type="dxa" w:w="266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51 a 150</w:t>
            </w:r>
          </w:p>
        </w:tc>
        <w:tc>
          <w:tcPr>
            <w:tcW w:type="dxa" w:w="306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Más de 150</w:t>
            </w:r>
          </w:p>
        </w:tc>
      </w:tr>
      <w:tr>
        <w:trPr>
          <w:cantSplit/>
        </w:trPr>
        <w:tc>
          <w:tcPr>
            <w:tcW w:type="dxa" w:w="35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6"/>
              </w:rPr>
              <w:t>Calidad y satisfacción (NPS; meta &gt; 60)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Más de 60</w:t>
            </w:r>
          </w:p>
        </w:tc>
        <w:tc>
          <w:tcPr>
            <w:tcW w:type="dxa" w:w="192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51 a 60</w:t>
            </w:r>
          </w:p>
        </w:tc>
        <w:tc>
          <w:tcPr>
            <w:tcW w:type="dxa" w:w="221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31 a 50</w:t>
            </w:r>
          </w:p>
        </w:tc>
        <w:tc>
          <w:tcPr>
            <w:tcW w:type="dxa" w:w="2665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0 a 30</w:t>
            </w:r>
          </w:p>
        </w:tc>
        <w:tc>
          <w:tcPr>
            <w:tcW w:type="dxa" w:w="306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  <w:t>Negativo</w:t>
            </w:r>
          </w:p>
        </w:tc>
      </w:tr>
    </w:tbl>
    <w:p>
      <w:pPr>
        <w:spacing w:after="40"/>
      </w:pPr>
      <w:r>
        <w:rPr>
          <w:b w:val="0"/>
          <w:i/>
          <w:sz w:val="17"/>
        </w:rPr>
        <w:t>Para las oportunidades la misma escala se lee como beneficio (B).</w:t>
      </w:r>
    </w:p>
    <w:p>
      <w:pPr>
        <w:pStyle w:val="Heading1"/>
      </w:pPr>
      <w:r>
        <w:t>2. Servicios, procesos y activos (se citan por código en el registro)</w:t>
      </w:r>
    </w:p>
    <w:tbl>
      <w:tblPr>
        <w:tblW w:type="dxa" w:w="15365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firstColumn="1" w:firstRow="1" w:lastColumn="0" w:lastRow="0" w:noHBand="0" w:noVBand="1" w:val="04A0"/>
      </w:tblPr>
      <w:tblGrid>
        <w:gridCol w:w="5329"/>
        <w:gridCol w:w="4762"/>
        <w:gridCol w:w="5273"/>
      </w:tblGrid>
      <w:tr>
        <w:trPr>
          <w:cantSplit/>
          <w:tblHeader/>
        </w:trPr>
        <w:tc>
          <w:tcPr>
            <w:tcW w:type="dxa" w:w="5329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Servicios</w:t>
            </w:r>
          </w:p>
        </w:tc>
        <w:tc>
          <w:tcPr>
            <w:tcW w:type="dxa" w:w="4762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Procesos</w:t>
            </w:r>
          </w:p>
        </w:tc>
        <w:tc>
          <w:tcPr>
            <w:tcW w:type="dxa" w:w="5272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Activos</w:t>
            </w:r>
          </w:p>
        </w:tc>
      </w:tr>
      <w:tr>
        <w:trPr>
          <w:cantSplit/>
        </w:trPr>
        <w:tc>
          <w:tcPr>
            <w:tcW w:type="dxa" w:w="5329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S1</w:t>
            </w:r>
            <w:r>
              <w:rPr>
                <w:b w:val="0"/>
                <w:i w:val="0"/>
                <w:sz w:val="17"/>
              </w:rPr>
              <w:t xml:space="preserve"> Módulo I "Hack With DSC" y Kachimbo (27/03/2027)</w:t>
            </w:r>
          </w:p>
        </w:tc>
        <w:tc>
          <w:tcPr>
            <w:tcW w:type="dxa" w:w="476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P1</w:t>
            </w:r>
            <w:r>
              <w:rPr>
                <w:b w:val="0"/>
                <w:i w:val="0"/>
                <w:sz w:val="17"/>
              </w:rPr>
              <w:t xml:space="preserve"> Captación de auspicios y adquisiciones</w:t>
            </w:r>
          </w:p>
        </w:tc>
        <w:tc>
          <w:tcPr>
            <w:tcW w:type="dxa" w:w="52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A1</w:t>
            </w:r>
            <w:r>
              <w:rPr>
                <w:b w:val="0"/>
                <w:i w:val="0"/>
                <w:sz w:val="17"/>
              </w:rPr>
              <w:t xml:space="preserve"> Plataforma web de inscripción</w:t>
            </w:r>
          </w:p>
        </w:tc>
      </w:tr>
      <w:tr>
        <w:trPr>
          <w:cantSplit/>
        </w:trPr>
        <w:tc>
          <w:tcPr>
            <w:tcW w:type="dxa" w:w="5329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S2</w:t>
            </w:r>
            <w:r>
              <w:rPr>
                <w:b w:val="0"/>
                <w:i w:val="0"/>
                <w:sz w:val="17"/>
              </w:rPr>
              <w:t xml:space="preserve"> Módulo II "IA y Machine Learning" y Competencia de Kaggle (24/04/2027)</w:t>
            </w:r>
          </w:p>
        </w:tc>
        <w:tc>
          <w:tcPr>
            <w:tcW w:type="dxa" w:w="476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P2</w:t>
            </w:r>
            <w:r>
              <w:rPr>
                <w:b w:val="0"/>
                <w:i w:val="0"/>
                <w:sz w:val="17"/>
              </w:rPr>
              <w:t xml:space="preserve"> Difusión, convocatoria e inscripción</w:t>
            </w:r>
          </w:p>
        </w:tc>
        <w:tc>
          <w:tcPr>
            <w:tcW w:type="dxa" w:w="52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A2</w:t>
            </w:r>
            <w:r>
              <w:rPr>
                <w:b w:val="0"/>
                <w:i w:val="0"/>
                <w:sz w:val="17"/>
              </w:rPr>
              <w:t xml:space="preserve"> Base de datos de participantes y voluntarios</w:t>
            </w:r>
          </w:p>
        </w:tc>
      </w:tr>
      <w:tr>
        <w:trPr>
          <w:cantSplit/>
        </w:trPr>
        <w:tc>
          <w:tcPr>
            <w:tcW w:type="dxa" w:w="5329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S3</w:t>
            </w:r>
            <w:r>
              <w:rPr>
                <w:b w:val="0"/>
                <w:i w:val="0"/>
                <w:sz w:val="17"/>
              </w:rPr>
              <w:t xml:space="preserve"> Torneo de Vibecoding, hackathon de 8 h (29/05/2027)</w:t>
            </w:r>
          </w:p>
        </w:tc>
        <w:tc>
          <w:tcPr>
            <w:tcW w:type="dxa" w:w="476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P3</w:t>
            </w:r>
            <w:r>
              <w:rPr>
                <w:b w:val="0"/>
                <w:i w:val="0"/>
                <w:sz w:val="17"/>
              </w:rPr>
              <w:t xml:space="preserve"> Espacios y trámites (DAES, Pabellón V, Open PUCP, NTT Data)</w:t>
            </w:r>
          </w:p>
        </w:tc>
        <w:tc>
          <w:tcPr>
            <w:tcW w:type="dxa" w:w="52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A3</w:t>
            </w:r>
            <w:r>
              <w:rPr>
                <w:b w:val="0"/>
                <w:i w:val="0"/>
                <w:sz w:val="17"/>
              </w:rPr>
              <w:t xml:space="preserve"> Espacios y sedes</w:t>
            </w:r>
          </w:p>
        </w:tc>
      </w:tr>
      <w:tr>
        <w:trPr>
          <w:cantSplit/>
        </w:trPr>
        <w:tc>
          <w:tcPr>
            <w:tcW w:type="dxa" w:w="5329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S4</w:t>
            </w:r>
            <w:r>
              <w:rPr>
                <w:b w:val="0"/>
                <w:i w:val="0"/>
                <w:sz w:val="17"/>
              </w:rPr>
              <w:t xml:space="preserve"> Módulo III "Google Cloud Platform" y premiación (26/06/2027)</w:t>
            </w:r>
          </w:p>
        </w:tc>
        <w:tc>
          <w:tcPr>
            <w:tcW w:type="dxa" w:w="476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P4</w:t>
            </w:r>
            <w:r>
              <w:rPr>
                <w:b w:val="0"/>
                <w:i w:val="0"/>
                <w:sz w:val="17"/>
              </w:rPr>
              <w:t xml:space="preserve"> Voluntarios, expositores, mentores y jurados</w:t>
            </w:r>
          </w:p>
        </w:tc>
        <w:tc>
          <w:tcPr>
            <w:tcW w:type="dxa" w:w="52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A4</w:t>
            </w:r>
            <w:r>
              <w:rPr>
                <w:b w:val="0"/>
                <w:i w:val="0"/>
                <w:sz w:val="17"/>
              </w:rPr>
              <w:t xml:space="preserve"> Créditos de Google Cloud</w:t>
            </w:r>
          </w:p>
        </w:tc>
      </w:tr>
      <w:tr>
        <w:trPr>
          <w:cantSplit/>
        </w:trPr>
        <w:tc>
          <w:tcPr>
            <w:tcW w:type="dxa" w:w="5329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S5</w:t>
            </w:r>
            <w:r>
              <w:rPr>
                <w:b w:val="0"/>
                <w:i w:val="0"/>
                <w:sz w:val="17"/>
              </w:rPr>
              <w:t xml:space="preserve"> Hackathon Internacional de 24 h en NTT Data Perú (31/07 al 01/08/2027)</w:t>
            </w:r>
          </w:p>
        </w:tc>
        <w:tc>
          <w:tcPr>
            <w:tcW w:type="dxa" w:w="476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P5</w:t>
            </w:r>
            <w:r>
              <w:rPr>
                <w:b w:val="0"/>
                <w:i w:val="0"/>
                <w:sz w:val="17"/>
              </w:rPr>
              <w:t xml:space="preserve"> Evaluación, premiación y certificados</w:t>
            </w:r>
          </w:p>
        </w:tc>
        <w:tc>
          <w:tcPr>
            <w:tcW w:type="dxa" w:w="52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A5</w:t>
            </w:r>
            <w:r>
              <w:rPr>
                <w:b w:val="0"/>
                <w:i w:val="0"/>
                <w:sz w:val="17"/>
              </w:rPr>
              <w:t xml:space="preserve"> Marca y redes (Instagram y LinkedIn)</w:t>
            </w:r>
          </w:p>
        </w:tc>
      </w:tr>
      <w:tr>
        <w:trPr>
          <w:cantSplit/>
        </w:trPr>
        <w:tc>
          <w:tcPr>
            <w:tcW w:type="dxa" w:w="532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4762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52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A6</w:t>
            </w:r>
            <w:r>
              <w:rPr>
                <w:b w:val="0"/>
                <w:i w:val="0"/>
                <w:sz w:val="17"/>
              </w:rPr>
              <w:t xml:space="preserve"> Staff de voluntarios y red de expertos</w:t>
            </w:r>
          </w:p>
        </w:tc>
      </w:tr>
      <w:tr>
        <w:trPr>
          <w:cantSplit/>
        </w:trPr>
        <w:tc>
          <w:tcPr>
            <w:tcW w:type="dxa" w:w="532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4762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5272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7"/>
              </w:rPr>
              <w:t>A7</w:t>
            </w:r>
            <w:r>
              <w:rPr>
                <w:b w:val="0"/>
                <w:i w:val="0"/>
                <w:sz w:val="17"/>
              </w:rPr>
              <w:t xml:space="preserve"> Fondos (línea base S/ 15,680; presupuesto S/ 16,464)</w:t>
            </w:r>
          </w:p>
        </w:tc>
      </w:tr>
    </w:tbl>
    <w:p>
      <w:pPr>
        <w:pStyle w:val="Heading1"/>
      </w:pPr>
      <w:r>
        <w:t>3. Matriz de exposición de las amenazas</w:t>
      </w:r>
    </w:p>
    <w:tbl>
      <w:tblPr>
        <w:tblW w:type="dxa" w:w="15365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firstColumn="1" w:firstRow="1" w:lastColumn="0" w:lastRow="0" w:noHBand="0" w:noVBand="1" w:val="04A0"/>
      </w:tblPr>
      <w:tblGrid>
        <w:gridCol w:w="680"/>
        <w:gridCol w:w="1927"/>
        <w:gridCol w:w="2551"/>
        <w:gridCol w:w="2551"/>
        <w:gridCol w:w="2551"/>
        <w:gridCol w:w="2551"/>
        <w:gridCol w:w="2551"/>
      </w:tblGrid>
      <w:tr>
        <w:tc>
          <w:tcPr>
            <w:tcW w:type="dxa" w:w="1928"/>
            <w:gridSpan w:val="2"/>
            <w:vMerge w:val="restart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551"/>
            <w:gridSpan w:val="5"/>
            <w:shd w:val="clear" w:color="auto" w:fill="1F386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IMPACTO</w:t>
            </w:r>
          </w:p>
        </w:tc>
      </w:tr>
      <w:tr>
        <w:tc>
          <w:tcPr>
            <w:tcW w:type="dxa" w:w="4390"/>
            <w:gridSpan w:val="2"/>
            <w:vMerge/>
          </w:tcPr>
          <w:p/>
        </w:tc>
        <w:tc>
          <w:tcPr>
            <w:tcW w:type="dxa" w:w="2551"/>
            <w:shd w:val="clear" w:color="auto" w:fill="1F386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1 Menor</w:t>
            </w:r>
          </w:p>
        </w:tc>
        <w:tc>
          <w:tcPr>
            <w:tcW w:type="dxa" w:w="2551"/>
            <w:shd w:val="clear" w:color="auto" w:fill="1F386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2 Moderado</w:t>
            </w:r>
          </w:p>
        </w:tc>
        <w:tc>
          <w:tcPr>
            <w:tcW w:type="dxa" w:w="2551"/>
            <w:shd w:val="clear" w:color="auto" w:fill="1F386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3 Significativo</w:t>
            </w:r>
          </w:p>
        </w:tc>
        <w:tc>
          <w:tcPr>
            <w:tcW w:type="dxa" w:w="2551"/>
            <w:shd w:val="clear" w:color="auto" w:fill="1F386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4 Mayor</w:t>
            </w:r>
          </w:p>
        </w:tc>
        <w:tc>
          <w:tcPr>
            <w:tcW w:type="dxa" w:w="2551"/>
            <w:shd w:val="clear" w:color="auto" w:fill="1F386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5 Catastrófico</w:t>
            </w:r>
          </w:p>
        </w:tc>
      </w:tr>
      <w:tr>
        <w:trPr>
          <w:cantSplit/>
          <w:trHeight w:val="708" w:hRule="atLeast"/>
        </w:trPr>
        <w:tc>
          <w:tcPr>
            <w:tcW w:type="dxa" w:w="680"/>
            <w:vMerge w:val="restart"/>
            <w:shd w:val="clear" w:color="auto" w:fill="1F3864"/>
            <w:textDirection w:val="btLr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PROBABILIDAD</w:t>
            </w:r>
          </w:p>
        </w:tc>
        <w:tc>
          <w:tcPr>
            <w:tcW w:type="dxa" w:w="1928"/>
            <w:shd w:val="clear" w:color="auto" w:fill="1F386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5 Muy probable</w:t>
            </w:r>
          </w:p>
        </w:tc>
        <w:tc>
          <w:tcPr>
            <w:tcW w:type="dxa" w:w="2551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5</w:t>
            </w: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551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10</w:t>
            </w: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551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15</w:t>
            </w: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551"/>
            <w:shd w:val="clear" w:color="auto" w:fill="FF7C8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20</w:t>
            </w: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551"/>
            <w:shd w:val="clear" w:color="auto" w:fill="FF7C8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25</w:t>
            </w:r>
            <w:r>
              <w:rPr>
                <w:b w:val="0"/>
                <w:i w:val="0"/>
                <w:sz w:val="17"/>
              </w:rPr>
            </w:r>
          </w:p>
        </w:tc>
      </w:tr>
      <w:tr>
        <w:trPr>
          <w:cantSplit/>
          <w:trHeight w:val="708" w:hRule="atLeast"/>
        </w:trPr>
        <w:tc>
          <w:tcPr>
            <w:tcW w:type="dxa" w:w="2195"/>
            <w:vMerge/>
          </w:tcPr>
          <w:p/>
        </w:tc>
        <w:tc>
          <w:tcPr>
            <w:tcW w:type="dxa" w:w="1928"/>
            <w:shd w:val="clear" w:color="auto" w:fill="1F386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4 Probable</w:t>
            </w:r>
          </w:p>
        </w:tc>
        <w:tc>
          <w:tcPr>
            <w:tcW w:type="dxa" w:w="2551"/>
            <w:shd w:val="clear" w:color="auto" w:fill="A9D18E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4</w:t>
            </w: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551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8</w:t>
            </w: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551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12</w:t>
            </w:r>
            <w:r>
              <w:rPr>
                <w:b w:val="0"/>
                <w:i w:val="0"/>
                <w:sz w:val="17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7"/>
              </w:rPr>
              <w:t>R4, R6, R15, R12.2, R12.5</w:t>
            </w:r>
          </w:p>
        </w:tc>
        <w:tc>
          <w:tcPr>
            <w:tcW w:type="dxa" w:w="2551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16</w:t>
            </w:r>
            <w:r>
              <w:rPr>
                <w:b w:val="0"/>
                <w:i w:val="0"/>
                <w:sz w:val="17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7"/>
              </w:rPr>
              <w:t>R1, R3, R8</w:t>
            </w:r>
          </w:p>
        </w:tc>
        <w:tc>
          <w:tcPr>
            <w:tcW w:type="dxa" w:w="2551"/>
            <w:shd w:val="clear" w:color="auto" w:fill="FF7C8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20</w:t>
            </w:r>
            <w:r>
              <w:rPr>
                <w:b w:val="0"/>
                <w:i w:val="0"/>
                <w:sz w:val="17"/>
              </w:rPr>
            </w:r>
          </w:p>
        </w:tc>
      </w:tr>
      <w:tr>
        <w:trPr>
          <w:cantSplit/>
          <w:trHeight w:val="708" w:hRule="atLeast"/>
        </w:trPr>
        <w:tc>
          <w:tcPr>
            <w:tcW w:type="dxa" w:w="2195"/>
            <w:vMerge/>
          </w:tcPr>
          <w:p/>
        </w:tc>
        <w:tc>
          <w:tcPr>
            <w:tcW w:type="dxa" w:w="1928"/>
            <w:shd w:val="clear" w:color="auto" w:fill="1F386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3 Moderado</w:t>
            </w:r>
          </w:p>
        </w:tc>
        <w:tc>
          <w:tcPr>
            <w:tcW w:type="dxa" w:w="2551"/>
            <w:shd w:val="clear" w:color="auto" w:fill="A9D18E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3</w:t>
            </w: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551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6</w:t>
            </w: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551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9</w:t>
            </w:r>
            <w:r>
              <w:rPr>
                <w:b w:val="0"/>
                <w:i w:val="0"/>
                <w:sz w:val="17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7"/>
              </w:rPr>
              <w:t>R5, R7, R11.2, R13, R14, R16, R12.6</w:t>
            </w:r>
          </w:p>
        </w:tc>
        <w:tc>
          <w:tcPr>
            <w:tcW w:type="dxa" w:w="2551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12</w:t>
            </w:r>
            <w:r>
              <w:rPr>
                <w:b w:val="0"/>
                <w:i w:val="0"/>
                <w:sz w:val="17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7"/>
              </w:rPr>
              <w:t>R2, R9, R10, R12.1, R12.3, R12.4</w:t>
            </w:r>
          </w:p>
        </w:tc>
        <w:tc>
          <w:tcPr>
            <w:tcW w:type="dxa" w:w="2551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15</w:t>
            </w:r>
            <w:r>
              <w:rPr>
                <w:b w:val="0"/>
                <w:i w:val="0"/>
                <w:sz w:val="17"/>
              </w:rPr>
            </w:r>
          </w:p>
        </w:tc>
      </w:tr>
      <w:tr>
        <w:trPr>
          <w:cantSplit/>
          <w:trHeight w:val="708" w:hRule="atLeast"/>
        </w:trPr>
        <w:tc>
          <w:tcPr>
            <w:tcW w:type="dxa" w:w="2195"/>
            <w:vMerge/>
          </w:tcPr>
          <w:p/>
        </w:tc>
        <w:tc>
          <w:tcPr>
            <w:tcW w:type="dxa" w:w="1928"/>
            <w:shd w:val="clear" w:color="auto" w:fill="1F386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2 Poco probable</w:t>
            </w:r>
          </w:p>
        </w:tc>
        <w:tc>
          <w:tcPr>
            <w:tcW w:type="dxa" w:w="2551"/>
            <w:shd w:val="clear" w:color="auto" w:fill="9DC3E6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2</w:t>
            </w: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551"/>
            <w:shd w:val="clear" w:color="auto" w:fill="A9D18E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4</w:t>
            </w: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551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6</w:t>
            </w: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551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8</w:t>
            </w:r>
            <w:r>
              <w:rPr>
                <w:b w:val="0"/>
                <w:i w:val="0"/>
                <w:sz w:val="17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7"/>
              </w:rPr>
              <w:t>R11.1, R17</w:t>
            </w:r>
          </w:p>
        </w:tc>
        <w:tc>
          <w:tcPr>
            <w:tcW w:type="dxa" w:w="2551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10</w:t>
            </w:r>
            <w:r>
              <w:rPr>
                <w:b w:val="0"/>
                <w:i w:val="0"/>
                <w:sz w:val="17"/>
              </w:rPr>
            </w:r>
          </w:p>
        </w:tc>
      </w:tr>
      <w:tr>
        <w:trPr>
          <w:cantSplit/>
          <w:trHeight w:val="708" w:hRule="atLeast"/>
        </w:trPr>
        <w:tc>
          <w:tcPr>
            <w:tcW w:type="dxa" w:w="2195"/>
            <w:vMerge/>
          </w:tcPr>
          <w:p/>
        </w:tc>
        <w:tc>
          <w:tcPr>
            <w:tcW w:type="dxa" w:w="1928"/>
            <w:shd w:val="clear" w:color="auto" w:fill="1F386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7"/>
              </w:rPr>
              <w:t>1 Raro</w:t>
            </w:r>
          </w:p>
        </w:tc>
        <w:tc>
          <w:tcPr>
            <w:tcW w:type="dxa" w:w="2551"/>
            <w:shd w:val="clear" w:color="auto" w:fill="9DC3E6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1</w:t>
            </w: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551"/>
            <w:shd w:val="clear" w:color="auto" w:fill="9DC3E6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2</w:t>
            </w: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551"/>
            <w:shd w:val="clear" w:color="auto" w:fill="A9D18E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3</w:t>
            </w: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551"/>
            <w:shd w:val="clear" w:color="auto" w:fill="A9D18E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4</w:t>
            </w: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551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7"/>
              </w:rPr>
              <w:t>5</w:t>
            </w:r>
            <w:r>
              <w:rPr>
                <w:b w:val="0"/>
                <w:i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4. Registro de amenazas, ordenado por exposición (ranking)</w:t>
      </w:r>
    </w:p>
    <w:p>
      <w:pPr>
        <w:spacing w:after="60"/>
      </w:pPr>
      <w:r>
        <w:rPr>
          <w:b w:val="0"/>
          <w:i/>
          <w:sz w:val="18"/>
        </w:rPr>
        <w:t>Los empates se ordenan por mayor impacto y luego por fecha más cercana. Dimensión = dimensión de impacto que determina el nivel.</w:t>
      </w:r>
    </w:p>
    <w:tbl>
      <w:tblPr>
        <w:tblW w:type="dxa" w:w="15365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firstColumn="1" w:firstRow="1" w:lastColumn="0" w:lastRow="0" w:noHBand="0" w:noVBand="1" w:val="04A0"/>
      </w:tblPr>
      <w:tblGrid>
        <w:gridCol w:w="453"/>
        <w:gridCol w:w="623"/>
        <w:gridCol w:w="1190"/>
        <w:gridCol w:w="4139"/>
        <w:gridCol w:w="340"/>
        <w:gridCol w:w="340"/>
        <w:gridCol w:w="737"/>
        <w:gridCol w:w="1304"/>
        <w:gridCol w:w="850"/>
        <w:gridCol w:w="2608"/>
        <w:gridCol w:w="1190"/>
        <w:gridCol w:w="1587"/>
      </w:tblGrid>
      <w:tr>
        <w:trPr>
          <w:cantSplit/>
          <w:tblHeader/>
        </w:trPr>
        <w:tc>
          <w:tcPr>
            <w:tcW w:type="dxa" w:w="454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624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191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Afecta a</w:t>
            </w:r>
          </w:p>
        </w:tc>
        <w:tc>
          <w:tcPr>
            <w:tcW w:type="dxa" w:w="4139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Evento (antecedente, evento y consecuencia)</w:t>
            </w:r>
          </w:p>
        </w:tc>
        <w:tc>
          <w:tcPr>
            <w:tcW w:type="dxa" w:w="340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I</w:t>
            </w:r>
          </w:p>
        </w:tc>
        <w:tc>
          <w:tcPr>
            <w:tcW w:type="dxa" w:w="340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P</w:t>
            </w:r>
          </w:p>
        </w:tc>
        <w:tc>
          <w:tcPr>
            <w:tcW w:type="dxa" w:w="737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Exp.</w:t>
            </w:r>
          </w:p>
        </w:tc>
        <w:tc>
          <w:tcPr>
            <w:tcW w:type="dxa" w:w="1304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Responsable</w:t>
            </w:r>
          </w:p>
        </w:tc>
        <w:tc>
          <w:tcPr>
            <w:tcW w:type="dxa" w:w="850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Estrategia</w:t>
            </w:r>
          </w:p>
        </w:tc>
        <w:tc>
          <w:tcPr>
            <w:tcW w:type="dxa" w:w="2608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Acción de respuesta</w:t>
            </w:r>
          </w:p>
        </w:tc>
        <w:tc>
          <w:tcPr>
            <w:tcW w:type="dxa" w:w="1191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Plazo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Indicador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R3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S1 · P2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cronograma y participación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que el calendario oficial 2027-1 se publica en diciembre de 2026 y el ciclo podría empezar a fines de marzo (como en 2026-1), el Módulo I podría caer en vacaciones, lo que bajaría la asistencia del público prioritario.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737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16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Alto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Gerencia de Proyecto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Eliminar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Validar el calendario al publicarse y reprogramar por el control de cambios; alternativa: empezar el Módulo I en la primera semana de clases.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Dic. 2026. Cambios antes del 15/01/2027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Inicio de clases frente al 27/03/2027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2.ª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R1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P1 · A7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finanzas y auspiciadores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que las empresas cierran presupuestos entre noviembre y diciembre y el contacto recién empieza en noviembre de 2026, podría no firmarse el 100 % de la meta de auspicios (S/ 18,400) al 22/01/2027, lo que recortaría premios y catering o cancelaría la hackathon de 24 h.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737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16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Alto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Relaciones Exteriores y Finanzas y Legalidad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Contactar empresas desde el 01/11/2026 con paquetes escalonados, aceptar auspicios en especie y decidir el go/no-go el 22/01/2027 si se logra menos del 60 %.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01/11/2026 y 22/01/2027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Avance de auspicios (100 % al 22/01)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3.ª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R8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P4 · A6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equipo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que los parciales de mayo y los finales de julio sobrecargan a estudiantes que no reciben remuneración, voluntarios del staff podrían dejar el programa, lo que sobrecargaría al resto y causaría fallas operativas.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737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16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Alto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RR.HH.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Titular y respaldo por tarea, carga revisada antes de parciales y finales, reconocimiento y certificados.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Antes de cada evento; revisión 2 semanas antes de parciales y finales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Retención del staff (≥ 85 %)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4.ª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R2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P1 · A7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finanzas y cronograma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pagos corporativos de 30 a 60 días o a cambios internos, un sponsor podría no depositar su tramo (02/02, 29/04 y 30/06/2027) o retirarse, lo que dejaría sin fondos las compras del siguiente evento.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12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Alto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Finanzas y Legalidad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Fijar en el convenio el desembolso 30 días antes de cada evento, no gastar sin fondos recibidos y dar seguimiento a cada tramo.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Convenios: 22/01/2027. Tramos: 02/02, 29/04 y 30/06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Días de atraso de cada tramo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5.ª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R9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S1 a S5 · P2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participación y auspiciadores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que los eventos son gratuitos (alto no-show) y se cruzan con evaluaciones, podría haber poca inscripción, inasistencia o deserción entre sesiones, lo que dejaría aulas vacías y menor retorno para los sponsors.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12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Alto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Marketing y Comunidad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Sobre-inscribir al 150 %, enviar recordatorios, usar lista de espera y condicionar el certificado a la asistencia.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Inscripciones desde 15/02/2027; recordatorios 7 y 2 días antes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Conversión de inscritos a asistentes (≥ 65 %)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6.ª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R10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S1 a S5 · A3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cronograma y calidad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la saturación del Wi-Fi o a la falta de pruebas de la máquina virtual del Pabellón V, podrían fallar la red o el laboratorio durante un taller o hackathon, lo que interrumpiría el evento y dañaría la reputación.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12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Alto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Infraestructura y Ciberseguridad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Prueba técnica una semana antes, routers 4G y datos de respaldo (reserva de S/ 240), entornos en GCP y soporte en sitio.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Una semana antes de cada evento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Tiempo de recuperación (&lt; 15 min por taller)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7.ª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R12.1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S5 · A3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cronograma y participación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que la hackathon dura 24 h con 150–200 personas con equipos conectados y el checklist de la sede no incluye respaldo eléctrico, podría cortarse la energía de noche, lo que interrumpiría el desarrollo y el programa.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12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Alto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Infraestructura y Ciberseguridad con Logística y Eventos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Confirmar con NTT Data el respaldo eléctrico, agregarlo al checklist de la sede y tener baterías para transmisión y soporte.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15/01/2027; checklist 29/07/2027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Ítems críticos aprobados del checklist (100 %)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8.ª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R12.3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S5 · P1 · P5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reputación y alianzas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que los premios en especie no tienen fecha de entrega comprometida, podrían no llegar antes de la premiación del 01/08, lo que dañaría la credibilidad ante participantes y sponsors.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12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Alto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Finanzas y Legalidad y Relaciones Exteriores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Fijar la entrega al menos una semana antes en el convenio, verificar la recepción y cubrir con efectivo del proyecto si el sponsor falla.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24/07/2027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Premios verificados ÷ comprometidos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9.ª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R12.4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S5 · A3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daños personales y reputación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que 150–200 personas permanecen 24 h en una sede no diseñada para pernoctar y el proveedor de alimentos puede no ser formal, podrían surgir baños insuficientes o sucios o alimentos en mal estado, lo que causaría malestar o intoxicación.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12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Alto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Logística y Eventos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Visita previa y checklist de higiene 48 h antes, limpieza nocturna acordada con NTT Data y alimentos sellados de proveedor formal.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15/01/2027; checklist 29/07/2027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Ítems de higiene aprobados (100 %)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10.ª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R6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S5 · A3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alianzas y cronograma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que la alianza aún no está formalizada por escrito, NTT Data podría retirar la sede o limitar el aforo o el acceso nocturno, lo que dejaría sin sede o sin los 150–200 participantes del evento cumbre.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737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12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Alto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Relaciones Exteriores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Firmar la carta de compromiso con horario y aforo, y definir una sede alterna (Open PUCP u otra) con S/ 200 de reserva para el traslado.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15/01/2027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Carta firmada (sí o no)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11.ª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R4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S1 · S3 · S5 · A3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cronograma y participación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Jueves Santo (25/03), Sábado de Gloria (27/03), los parciales de mayo y Fiestas Patrias, podrían cerrarse el campus o bajar la asistencia en el Taller de Pitch, Kachimbo, el Torneo y la hackathon, lo que obligaría a reprogramar.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737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12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Alto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Logística y Eventos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Eliminar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Mover el Taller de Pitch al 24/03, confirmar la apertura del campus el 27/03, ubicar el Torneo después de parciales y recordar el evento del 31/07.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15/01/2027; recordación 2 semanas antes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Conversión de inscritos a asistentes (≥ 65 %)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12.ª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R15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S5 · P2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participación y reputación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los costos de viaje y visas y a que el formato internacional no está definido, podrían participar pocos equipos o jurados internacionales, lo que haría perder al evento cumbre su carácter internacional ante los sponsors.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737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12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Alto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Relaciones Exteriores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Definir el formato (equipos remotos o jurados internacionales) y aliarse con comunidades de la región.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Formato: 15/02/2027. Alianzas: 30/06/2027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Equipos y jurados internacionales confirmados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13.ª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R12.2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S5 · P1 · A7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participación y reputación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que el auspicio de alimentos es en especie y depende de un tercero, la comida podría no llegar o llegar tarde, lo que dejaría sin alimento a los participantes de noche.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737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12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Alto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Relaciones Exteriores y Logística y Eventos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Transferir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Pasar la entrega a un proveedor formal con hora comprometida por escrito y confirmar 72 y 24 h antes.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Convenio antes del 30/06/2027; confirmaciones 28 y 30/07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Entregas confirmadas ÷ programadas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14.ª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R12.5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S5 · A6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daños personales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la permanencia de 24 h con poco descanso y alimentación irregular, un participante o voluntario podría necesitar atención médica, lo que dañaría su integridad y podría interrumpir el evento.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737"/>
            <w:shd w:val="clear" w:color="auto" w:fill="F4B183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12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Alto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Logística y Eventos y RR.HH.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Zona de descanso, botiquín, protocolo de emergencia, relevos del staff y briefing previo.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Antes del 31/07/2027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Protocolo probado (sí o no)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15.ª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R5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P3 · A3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cronograma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cruces con otros eventos PUCP o a solicitudes tardías (DAES 7 días hábiles, Pabellón V 2), podría no asignarse o demorarse un espacio, lo que obligaría a reprogramar o pasar a modalidad virtual.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9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Medio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Logística y Eventos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Reservar todo el semestre en enero, presentar solicitudes con 15 días hábiles, y tener aulas alternas en la FCI y un plan virtual.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15/01/2027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Reservas con confirmación escrita ÷ eventos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16.ª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R13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S4 · S5 · A4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calidad y finanzas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que el programa de Google para comunidades estudiantiles puede cambiar condiciones o cupos, podrían no confirmarse suficientes créditos de GCP, lo que quitaría valor al Módulo III u obligaría a pagar el despliegue.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9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Medio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Relaciones Exteriores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Confirmar los créditos, usar la capa gratuita y premiar con insignias en lugar de certificaciones pagadas.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05/02/2027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Créditos confirmados ÷ requeridos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17.ª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R11.2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P2 · A1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participación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picos de tráfico cerca del cierre de inscripciones sin pruebas de carga, podría caer la web, lo que impediría inscribirse y haría perder inscritos.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9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Medio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Infraestructura y Ciberseguridad y Desarrollo de Software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Pruebas de carga antes de abrir inscripciones, ambiente de pruebas, monitoreo diario y créditos GCP.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15/02/2027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Disponibilidad de la web (≥ 99.5 %)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18.ª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R7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S1 a S5 · P4 · A6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calidad y cronograma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que ponentes, mentores y jurados son voluntarios con agenda laboral, podrían cancelar con poca anticipación, lo que suspendería la sesión o dejaría una competencia sin evaluación legítima.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9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Medio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Relaciones Exteriores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Ponente suplente por sesión, jurados suplentes, cartas de compromiso y confirmación 7 y 2 días antes.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05/02/2027 (E4)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Cobertura de expertos (100 %)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19.ª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R14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S2 · S3 · S5 · P5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calidad y reputación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bases poco claras o a jurados con vínculos con equipos, podría haber proyectos preconstruidos o plagiados, o conflicto de interés, lo que haría impugnar resultados y perder credibilidad.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9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Medio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Gerencia de Proyecto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Bases con código desde cero e historial de repositorio, rúbricas públicas, declaración de conflicto de interés y calibración de jurados.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Antes de publicar las bases de cada competencia (05/02/2027)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Declaraciones firmadas (100 %)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20.ª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R16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S5 · A7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finanzas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la sobre-inscripción al 150 % (respuesta a R9), si asisten casi todos, podría faltar alimentación para 20 a 30 asistentes adicionales, lo que costaría S/ 570.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9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Medio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Logística y Eventos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Aceptar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Usar la reserva de contingencia de S/ 570 y confirmar la asistencia 7 y 2 días antes.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7 y 2 días antes de cada evento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Confirmados ÷ capacidad prevista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21.ª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R12.6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S5 · A3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reputación y finanzas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la gran afluencia con laptops propias y al control de acceso limitado de noche, podrían perderse o robarse equipos de participantes, lo que dañaría la reputación del evento.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9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Medio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Logística y Eventos con Infraestructura y Ciberseguridad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Lista nominal y credenciales en el ingreso y zona de resguardo atendida por voluntarios.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Antes del 31/07/2027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Incidentes de pérdida o robo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22.ª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R11.1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P2 · A1 · A2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datos personales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formularios mal protegidos o accesos sin restricción por rol, podrían filtrarse datos personales de inscritos y voluntarios, lo que incumpliría la Ley N.° 29733.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37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8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Medio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Infraestructura y Ciberseguridad con Finanzas y Legalidad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Pedir solo los datos necesarios, consentimiento informado, acceso por rol, pruebas de seguridad y copias de respaldo.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Auditoría: 15/02/2027 y antes de cada evento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Formularios con consentimiento (100 %)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23.ª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R17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S2 · P5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calidad y reputación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que el dataset podría filtrar la respuesta o el leaderboard fallar sin prueba previa, la competencia de Kaggle (24/04) podría invalidarse, lo que haría impugnar los resultados.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37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8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Medio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Desarrollo de Software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Mitigar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Validar dataset y métrica, ensayar con un envío de prueba y revisarlo con otro integrante antes de publicar las bases.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03/04 al 09/04/2027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Ensayos realizados (100 %)</w:t>
            </w:r>
          </w:p>
        </w:tc>
      </w:tr>
    </w:tbl>
    <w:p>
      <w:pPr>
        <w:pStyle w:val="Heading1"/>
      </w:pPr>
      <w:r>
        <w:t>5. Oportunidades</w:t>
      </w:r>
    </w:p>
    <w:tbl>
      <w:tblPr>
        <w:tblW w:type="dxa" w:w="15365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firstColumn="1" w:firstRow="1" w:lastColumn="0" w:lastRow="0" w:noHBand="0" w:noVBand="1" w:val="04A0"/>
      </w:tblPr>
      <w:tblGrid>
        <w:gridCol w:w="453"/>
        <w:gridCol w:w="623"/>
        <w:gridCol w:w="1190"/>
        <w:gridCol w:w="4139"/>
        <w:gridCol w:w="340"/>
        <w:gridCol w:w="340"/>
        <w:gridCol w:w="737"/>
        <w:gridCol w:w="1304"/>
        <w:gridCol w:w="850"/>
        <w:gridCol w:w="2608"/>
        <w:gridCol w:w="1190"/>
        <w:gridCol w:w="1587"/>
      </w:tblGrid>
      <w:tr>
        <w:trPr>
          <w:cantSplit/>
          <w:tblHeader/>
        </w:trPr>
        <w:tc>
          <w:tcPr>
            <w:tcW w:type="dxa" w:w="454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624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191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Afecta a</w:t>
            </w:r>
          </w:p>
        </w:tc>
        <w:tc>
          <w:tcPr>
            <w:tcW w:type="dxa" w:w="4139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Evento (antecedente, evento y beneficio)</w:t>
            </w:r>
          </w:p>
        </w:tc>
        <w:tc>
          <w:tcPr>
            <w:tcW w:type="dxa" w:w="340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B</w:t>
            </w:r>
          </w:p>
        </w:tc>
        <w:tc>
          <w:tcPr>
            <w:tcW w:type="dxa" w:w="340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P</w:t>
            </w:r>
          </w:p>
        </w:tc>
        <w:tc>
          <w:tcPr>
            <w:tcW w:type="dxa" w:w="737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Exp.</w:t>
            </w:r>
          </w:p>
        </w:tc>
        <w:tc>
          <w:tcPr>
            <w:tcW w:type="dxa" w:w="1304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Responsable</w:t>
            </w:r>
          </w:p>
        </w:tc>
        <w:tc>
          <w:tcPr>
            <w:tcW w:type="dxa" w:w="850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Estrategia</w:t>
            </w:r>
          </w:p>
        </w:tc>
        <w:tc>
          <w:tcPr>
            <w:tcW w:type="dxa" w:w="2608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Acción de respuesta</w:t>
            </w:r>
          </w:p>
        </w:tc>
        <w:tc>
          <w:tcPr>
            <w:tcW w:type="dxa" w:w="1191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Plazo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Indicador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1.ª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O3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S5 · A3 · A6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alianzas y calidad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que NTT Data es aliado estratégico y cede la sede, podría ampliar su apoyo con mentores, jurados o difusión, lo que elevaría la calidad y el alcance del evento cumbre.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9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Medio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Relaciones Exteriores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Compartir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Proponer en la carta de compromiso mentores, jurado y difusión conjunta a cambio de contraprestaciones de marca.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15/01/2027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Aportes adicionales confirmados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2.ª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O4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P5 · A5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respaldo institucional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que la iniciativa aporta a la comunidad PUCP, el director o coordinador de Ingeniería Informática, el decano de la FCI o el rector podrían firmar los certificados, lo que daría respaldo institucional al programa (beneficio 3 si firma el director o coordinador, 4 el decano, 5 el rector).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9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Medio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Gerencia de Proyecto con el Patrocinador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Explotar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Presentar una propuesta formal a la especialidad y, con su aval, al decanato y al rectorado; el trámite pasa por la Oficina Central de Registro (OCR), a validar.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Solicitud antes del 15/02/2027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Respuesta escrita de la autoridad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3.ª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O5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P2 · A5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reputación y participación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la gratuidad, el contenido constante entre marzo y julio y los proyectos desplegados por los equipos, la difusión orgánica en Instagram y LinkedIn podría atraer más inscritos y seguidores sin gasto extra.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9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Medio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Marketing y Comunidad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Explotar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Reforzar los formatos de más alcance y compartir los proyectos ganadores con autorización de los equipos.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Marzo a julio de 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Alcance, interacciones y seguidores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4.ª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O6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P1 · A7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auspiciadores y finanzas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la visibilidad cumplida con evidencia y al acceso a perfiles destacados, al menos el 50 % de las empresas podrían renovar y contratar talento de los equipos finalistas, lo que daría base de auspicios al siguiente ciclo.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37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9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Medio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Relaciones Exteriores y Finanzas y Legalidad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Explotar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Entregar a cada sponsor su informe de contraprestaciones y los perfiles finalistas (con autorización) y aplicar la encuesta de satisfacción.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Cierre del proyecto (20/08/2027)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Satisfacción ≥ 8/10 y renovación ≥ 50 %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5.ª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O1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P1 · A7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finanzas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la visibilidad del programa y a los paquetes escalonados, podrían firmarse auspicios por encima de la meta de S/ 18,400, lo que reforzaría premios y reserva.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37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8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Medio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Relaciones Exteriores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Aumentar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Ofrecer un paquete superior a empresas interesadas y destinar el excedente a premios con aprobación del Patrocinador.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22/01/2027 y tramos del 02/02, 29/04 y 30/06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Avance de auspicios &gt; 100 %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6.ª</w:t>
            </w:r>
          </w:p>
        </w:tc>
        <w:tc>
          <w:tcPr>
            <w:tcW w:type="dxa" w:w="624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O2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S5 · P2 · A5</w:t>
            </w:r>
          </w:p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Dim.: participación y reputación</w:t>
            </w:r>
          </w:p>
        </w:tc>
        <w:tc>
          <w:tcPr>
            <w:tcW w:type="dxa" w:w="4139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Debido a la difusión en comunidades de desarrolladores y universidades de la región, podrían inscribirse más equipos internacionales de los previstos, lo que daría más visibilidad a DSC PUCP y a los sponsors.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340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37"/>
            <w:shd w:val="clear" w:color="auto" w:fill="FFE699"/>
            <w:vAlign w:val="top"/>
          </w:tcPr>
          <w:p>
            <w:pPr>
              <w:spacing w:after="30" w:before="0" w:line="240" w:lineRule="auto"/>
              <w:jc w:val="center"/>
            </w:pPr>
            <w:r>
              <w:rPr>
                <w:b/>
                <w:i w:val="0"/>
                <w:sz w:val="15"/>
              </w:rPr>
              <w:t>6</w:t>
            </w:r>
            <w:r>
              <w:rPr>
                <w:b w:val="0"/>
                <w:i w:val="0"/>
                <w:sz w:val="15"/>
              </w:rPr>
            </w:r>
          </w:p>
          <w:p>
            <w:pPr>
              <w:spacing w:after="30" w:before="0" w:line="240" w:lineRule="auto"/>
              <w:jc w:val="center"/>
            </w:pPr>
            <w:r>
              <w:rPr>
                <w:b w:val="0"/>
                <w:i w:val="0"/>
                <w:sz w:val="15"/>
              </w:rPr>
              <w:t>Medio</w:t>
            </w:r>
          </w:p>
        </w:tc>
        <w:tc>
          <w:tcPr>
            <w:tcW w:type="dxa" w:w="1304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Relaciones Exteriores y Marketing y Comunidad</w:t>
            </w:r>
          </w:p>
        </w:tc>
        <w:tc>
          <w:tcPr>
            <w:tcW w:type="dxa" w:w="850"/>
            <w:vAlign w:val="top"/>
          </w:tcPr>
          <w:p>
            <w:pPr>
              <w:spacing w:after="30" w:before="0" w:line="240" w:lineRule="auto"/>
            </w:pPr>
            <w:r>
              <w:rPr>
                <w:b/>
                <w:i w:val="0"/>
                <w:sz w:val="15"/>
              </w:rPr>
              <w:t>Compartir</w:t>
            </w:r>
          </w:p>
        </w:tc>
        <w:tc>
          <w:tcPr>
            <w:tcW w:type="dxa" w:w="2608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Acordar difusión conjunta con comunidades aliadas y habilitar cupos remotos adicionales.</w:t>
            </w:r>
          </w:p>
        </w:tc>
        <w:tc>
          <w:tcPr>
            <w:tcW w:type="dxa" w:w="1191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Mayo a julio de 2027</w:t>
            </w:r>
          </w:p>
        </w:tc>
        <w:tc>
          <w:tcPr>
            <w:tcW w:type="dxa" w:w="1587"/>
            <w:vAlign w:val="top"/>
          </w:tcPr>
          <w:p>
            <w:pPr>
              <w:spacing w:after="30" w:before="0" w:line="240" w:lineRule="auto"/>
            </w:pPr>
            <w:r>
              <w:rPr>
                <w:b w:val="0"/>
                <w:i w:val="0"/>
                <w:sz w:val="15"/>
              </w:rPr>
              <w:t>Equipos internacionales inscritos</w:t>
            </w:r>
          </w:p>
        </w:tc>
      </w:tr>
    </w:tbl>
    <w:p>
      <w:pPr>
        <w:pStyle w:val="Heading1"/>
      </w:pPr>
      <w:r>
        <w:t>6. Puntos por validar</w:t>
      </w:r>
    </w:p>
    <w:p>
      <w:pPr>
        <w:pStyle w:val="ListBullet"/>
        <w:spacing w:after="40"/>
      </w:pPr>
      <w:r>
        <w:rPr>
          <w:b w:val="0"/>
          <w:i w:val="0"/>
          <w:sz w:val="19"/>
        </w:rPr>
      </w:r>
      <w:r>
        <w:rPr>
          <w:b/>
          <w:i w:val="0"/>
          <w:sz w:val="19"/>
        </w:rPr>
        <w:t>Valores propuestos.</w:t>
      </w:r>
      <w:r>
        <w:rPr>
          <w:b w:val="0"/>
          <w:i w:val="0"/>
          <w:sz w:val="19"/>
        </w:rPr>
        <w:t xml:space="preserve"> Las bandas de probabilidad, los tramos de impacto y los niveles de cada riesgo son propuesta del equipo.</w:t>
      </w:r>
    </w:p>
    <w:p>
      <w:pPr>
        <w:pStyle w:val="ListBullet"/>
        <w:spacing w:after="40"/>
      </w:pPr>
      <w:r>
        <w:rPr>
          <w:b w:val="0"/>
          <w:i w:val="0"/>
          <w:sz w:val="19"/>
        </w:rPr>
      </w:r>
      <w:r>
        <w:rPr>
          <w:b/>
          <w:i w:val="0"/>
          <w:sz w:val="19"/>
        </w:rPr>
        <w:t>Meta de auspicios.</w:t>
      </w:r>
      <w:r>
        <w:rPr>
          <w:b w:val="0"/>
          <w:i w:val="0"/>
          <w:sz w:val="19"/>
        </w:rPr>
        <w:t xml:space="preserve"> Se usa S/ 18,400 (E3 y R1 del Presupuesto); el cuadro de financiamiento indica S/ 18,200 y debe unificarse.</w:t>
      </w:r>
    </w:p>
    <w:p>
      <w:pPr>
        <w:pStyle w:val="ListBullet"/>
        <w:spacing w:after="40"/>
      </w:pPr>
      <w:r>
        <w:rPr>
          <w:b w:val="0"/>
          <w:i w:val="0"/>
          <w:sz w:val="19"/>
        </w:rPr>
      </w:r>
      <w:r>
        <w:rPr>
          <w:b/>
          <w:i w:val="0"/>
          <w:sz w:val="19"/>
        </w:rPr>
        <w:t>Certificados firmados.</w:t>
      </w:r>
      <w:r>
        <w:rPr>
          <w:b w:val="0"/>
          <w:i w:val="0"/>
          <w:sz w:val="19"/>
        </w:rPr>
        <w:t xml:space="preserve"> Que pasen por la Oficina Central de Registro (OCR) es un dato del equipo, pendiente de validar con esa oficina.</w:t>
      </w:r>
    </w:p>
    <w:p>
      <w:pPr>
        <w:pStyle w:val="ListBullet"/>
        <w:spacing w:after="40"/>
      </w:pPr>
      <w:r>
        <w:rPr>
          <w:b w:val="0"/>
          <w:i w:val="0"/>
          <w:sz w:val="19"/>
        </w:rPr>
      </w:r>
      <w:r>
        <w:rPr>
          <w:b/>
          <w:i w:val="0"/>
          <w:sz w:val="19"/>
        </w:rPr>
        <w:t>Reservas.</w:t>
      </w:r>
      <w:r>
        <w:rPr>
          <w:b w:val="0"/>
          <w:i w:val="0"/>
          <w:sz w:val="19"/>
        </w:rPr>
        <w:t xml:space="preserve"> La contingencia de S/ 1,160 cubre R10 (S/ 240), R6 (S/ 200), R4 y R5 (S/ 150) y R16 (S/ 570); los riesgos R12.1 a R12.6 no tienen reserva asignada y deben evaluarse en la próxima versión del Presupuesto.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595959"/>
        <w:sz w:val="16"/>
      </w:rPr>
      <w:t xml:space="preserve">Entregable Identificación de Riesgos  |  IND328 Gestión de Proyectos  |  Página </w:t>
    </w:r>
    <w:fldSimple w:instr="PAGE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i w:val="0"/>
        <w:color w:val="1F3864"/>
        <w:sz w:val="18"/>
      </w:rPr>
      <w:t>DSC PUCP Workshops</w:t>
    </w:r>
    <w:r>
      <w:rPr>
        <w:b w:val="0"/>
        <w:i w:val="0"/>
        <w:color w:val="595959"/>
        <w:sz w:val="18"/>
      </w:rPr>
      <w:t xml:space="preserve">    |    Equipo 5 – Minecrafteros    |    Fecha: 27/10/2026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Identificación de Riesgos</dc:title>
  <dc:subject/>
  <dc:creator>Equipo 5 – Minecrafteros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