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D22CA" w14:textId="77777777" w:rsidR="00AE7E61" w:rsidRDefault="000806E6">
      <w:pPr>
        <w:spacing w:after="0" w:line="240" w:lineRule="auto"/>
        <w:jc w:val="right"/>
        <w:rPr>
          <w:b/>
          <w:color w:val="000000"/>
          <w:sz w:val="40"/>
          <w:szCs w:val="40"/>
        </w:rPr>
      </w:pPr>
      <w:r>
        <w:rPr>
          <w:b/>
          <w:sz w:val="40"/>
          <w:szCs w:val="40"/>
        </w:rPr>
        <w:t>Plan de Calidad</w:t>
      </w:r>
    </w:p>
    <w:p w14:paraId="7F3C80A3" w14:textId="77777777" w:rsidR="00AE7E61" w:rsidRDefault="000806E6">
      <w:pPr>
        <w:spacing w:after="0" w:line="240" w:lineRule="auto"/>
        <w:jc w:val="right"/>
        <w:rPr>
          <w:b/>
          <w:i/>
          <w:color w:val="EFA82F"/>
          <w:sz w:val="28"/>
          <w:szCs w:val="28"/>
        </w:rPr>
      </w:pPr>
      <w:r>
        <w:rPr>
          <w:b/>
          <w:i/>
          <w:color w:val="EFA82F"/>
          <w:sz w:val="28"/>
          <w:szCs w:val="28"/>
        </w:rPr>
        <w:t xml:space="preserve"> DSC PUCP Workshops</w:t>
      </w:r>
    </w:p>
    <w:p w14:paraId="4F1FE493" w14:textId="77777777" w:rsidR="00AE7E61" w:rsidRDefault="000806E6">
      <w:pPr>
        <w:spacing w:after="0" w:line="240" w:lineRule="auto"/>
        <w:jc w:val="right"/>
        <w:rPr>
          <w:b/>
          <w:i/>
          <w:color w:val="EFA82F"/>
          <w:sz w:val="28"/>
          <w:szCs w:val="28"/>
        </w:rPr>
      </w:pPr>
      <w:r>
        <w:rPr>
          <w:b/>
          <w:i/>
          <w:sz w:val="28"/>
          <w:szCs w:val="28"/>
        </w:rPr>
        <w:t>Fecha: 24/10/2026</w:t>
      </w:r>
      <w:r>
        <w:rPr>
          <w:b/>
          <w:i/>
          <w:color w:val="EFA82F"/>
          <w:sz w:val="28"/>
          <w:szCs w:val="28"/>
        </w:rPr>
      </w:r>
      <w:proofErr w:type="spellStart"/>
      <w:r>
        <w:rPr>
          <w:b/>
          <w:i/>
          <w:color w:val="EFA82F"/>
          <w:sz w:val="28"/>
          <w:szCs w:val="28"/>
        </w:rPr>
      </w:r>
      <w:proofErr w:type="spellEnd"/>
      <w:r>
        <w:rPr>
          <w:b/>
          <w:i/>
          <w:color w:val="EFA82F"/>
          <w:sz w:val="28"/>
          <w:szCs w:val="28"/>
        </w:rPr>
      </w:r>
      <w:proofErr w:type="spellStart"/>
      <w:r>
        <w:rPr>
          <w:b/>
          <w:i/>
          <w:color w:val="EFA82F"/>
          <w:sz w:val="28"/>
          <w:szCs w:val="28"/>
        </w:rPr>
      </w:r>
      <w:proofErr w:type="spellEnd"/>
      <w:r>
        <w:rPr>
          <w:b/>
          <w:i/>
          <w:color w:val="EFA82F"/>
          <w:sz w:val="28"/>
          <w:szCs w:val="28"/>
        </w:rPr>
      </w:r>
    </w:p>
    <w:p w14:paraId="1590C2E2" w14:textId="77777777" w:rsidR="00AE7E61" w:rsidRDefault="00AE7E61">
      <w:pPr>
        <w:spacing w:after="0" w:line="240" w:lineRule="auto"/>
        <w:jc w:val="right"/>
        <w:rPr>
          <w:b/>
          <w:i/>
          <w:color w:val="EFA82F"/>
          <w:sz w:val="28"/>
          <w:szCs w:val="28"/>
        </w:rPr>
      </w:pPr>
    </w:p>
    <w:p w14:paraId="6D9105A8" w14:textId="77777777" w:rsidR="00AE7E61" w:rsidRDefault="00AE7E61">
      <w:pPr>
        <w:pStyle w:val="Ttulo1"/>
        <w:rPr>
          <w:sz w:val="24"/>
          <w:szCs w:val="24"/>
        </w:rPr>
      </w:pPr>
      <w:bookmarkStart w:id="0" w:name="_gjdgxs" w:colFirst="0" w:colLast="0"/>
      <w:bookmarkEnd w:id="0"/>
    </w:p>
    <w:p w14:paraId="08E3D3BD" w14:textId="77777777" w:rsidR="00AE7E61" w:rsidRDefault="000806E6">
      <w:pPr>
        <w:pStyle w:val="Ttulo1"/>
        <w:rPr>
          <w:sz w:val="24"/>
          <w:szCs w:val="24"/>
        </w:rPr>
      </w:pPr>
      <w:bookmarkStart w:id="1" w:name="_u0dq2ixwht49" w:colFirst="0" w:colLast="0"/>
      <w:bookmarkStart w:id="2" w:name="_g1dod7o39o8p" w:colFirst="0" w:colLast="0"/>
      <w:bookmarkEnd w:id="1"/>
      <w:bookmarkEnd w:id="2"/>
      <w:r>
        <w:rPr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6"/>
        <w:gridCol w:w="5644"/>
      </w:tblGrid>
      <w:tr w:rsidR="00AE7E61" w14:paraId="2E28B990" w14:textId="77777777">
        <w:tc>
          <w:tcPr>
            <w:tcW w:w="3076" w:type="dxa"/>
            <w:shd w:val="clear" w:color="auto" w:fill="auto"/>
          </w:tcPr>
          <w:p w14:paraId="273EB5E8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Empresa / Organización</w:t>
            </w:r>
          </w:p>
        </w:tc>
        <w:tc>
          <w:tcPr>
            <w:tcW w:w="5644" w:type="dxa"/>
            <w:shd w:val="clear" w:color="auto" w:fill="auto"/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20"/>
                <w:color w:val="000000"/>
              </w:rPr>
              <w:t>Equipo 5 – Minecrafteros</w:t>
            </w:r>
          </w:p>
        </w:tc>
      </w:tr>
      <w:tr w:rsidR="00AE7E61" w14:paraId="610E8675" w14:textId="77777777">
        <w:tc>
          <w:tcPr>
            <w:tcW w:w="3076" w:type="dxa"/>
            <w:shd w:val="clear" w:color="auto" w:fill="auto"/>
          </w:tcPr>
          <w:p w14:paraId="6B639D01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5644" w:type="dxa"/>
            <w:shd w:val="clear" w:color="auto" w:fill="auto"/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20"/>
                <w:color w:val="000000"/>
              </w:rPr>
              <w:t>DSC PUCP Workshops</w:t>
            </w:r>
          </w:p>
        </w:tc>
      </w:tr>
      <w:tr w:rsidR="00AE7E61" w14:paraId="0F2B35C9" w14:textId="77777777">
        <w:trPr>
          <w:trHeight w:val="214"/>
        </w:trPr>
        <w:tc>
          <w:tcPr>
            <w:tcW w:w="3076" w:type="dxa"/>
            <w:shd w:val="clear" w:color="auto" w:fill="auto"/>
          </w:tcPr>
          <w:p w14:paraId="054932BD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de preparación</w:t>
            </w:r>
          </w:p>
        </w:tc>
        <w:tc>
          <w:tcPr>
            <w:tcW w:w="5644" w:type="dxa"/>
            <w:shd w:val="clear" w:color="auto" w:fill="auto"/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20"/>
                <w:color w:val="000000"/>
              </w:rPr>
              <w:t>24/10/2026</w:t>
            </w:r>
          </w:p>
        </w:tc>
      </w:tr>
      <w:tr w:rsidR="00AE7E61" w14:paraId="2D2AAC88" w14:textId="77777777">
        <w:tc>
          <w:tcPr>
            <w:tcW w:w="3076" w:type="dxa"/>
            <w:shd w:val="clear" w:color="auto" w:fill="auto"/>
          </w:tcPr>
          <w:p w14:paraId="07BB1A64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5644" w:type="dxa"/>
            <w:shd w:val="clear" w:color="auto" w:fill="auto"/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20"/>
                <w:color w:val="000000"/>
              </w:rPr>
              <w:t>Estudiantes y egresados de la PUCP con interés en tecnologías (público objetivo del programa)</w:t>
            </w:r>
          </w:p>
        </w:tc>
      </w:tr>
      <w:tr w:rsidR="00AE7E61" w14:paraId="6BF050F8" w14:textId="77777777">
        <w:tc>
          <w:tcPr>
            <w:tcW w:w="3076" w:type="dxa"/>
            <w:shd w:val="clear" w:color="auto" w:fill="auto"/>
          </w:tcPr>
          <w:p w14:paraId="5929A7BC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Patrocinador principal</w:t>
            </w:r>
          </w:p>
        </w:tc>
        <w:tc>
          <w:tcPr>
            <w:tcW w:w="5644" w:type="dxa"/>
            <w:shd w:val="clear" w:color="auto" w:fill="auto"/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20"/>
                <w:color w:val="000000"/>
              </w:rPr>
              <w:t>Leonardo Flores Vera, Presidente de DSC PUCP</w:t>
            </w:r>
          </w:p>
        </w:tc>
      </w:tr>
      <w:tr w:rsidR="00AE7E61" w14:paraId="0CB1A4A5" w14:textId="77777777">
        <w:tc>
          <w:tcPr>
            <w:tcW w:w="3076" w:type="dxa"/>
            <w:shd w:val="clear" w:color="auto" w:fill="auto"/>
          </w:tcPr>
          <w:p w14:paraId="7D5F2DDB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Gerente de Proyecto</w:t>
            </w:r>
          </w:p>
        </w:tc>
        <w:tc>
          <w:tcPr>
            <w:tcW w:w="5644" w:type="dxa"/>
            <w:shd w:val="clear" w:color="auto" w:fill="auto"/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20"/>
                <w:color w:val="000000"/>
              </w:rPr>
              <w:t>Lucas Mattias Alvites Galarza</w:t>
            </w:r>
          </w:p>
        </w:tc>
      </w:tr>
    </w:tbl>
    <w:p w14:paraId="16060731" w14:textId="77777777" w:rsidR="00AE7E61" w:rsidRDefault="00AE7E61">
      <w:pPr>
        <w:pStyle w:val="Ttulo1"/>
        <w:rPr>
          <w:sz w:val="24"/>
          <w:szCs w:val="24"/>
        </w:rPr>
      </w:pPr>
      <w:bookmarkStart w:id="3" w:name="_30j0zll" w:colFirst="0" w:colLast="0"/>
      <w:bookmarkEnd w:id="3"/>
    </w:p>
    <w:p w14:paraId="004E8D97" w14:textId="77777777" w:rsidR="00AE7E61" w:rsidRDefault="000806E6">
      <w:pPr>
        <w:pStyle w:val="Ttulo1"/>
        <w:rPr>
          <w:sz w:val="24"/>
          <w:szCs w:val="24"/>
        </w:rPr>
      </w:pPr>
      <w:bookmarkStart w:id="4" w:name="_q0x0vetl6rzq" w:colFirst="0" w:colLast="0"/>
      <w:bookmarkEnd w:id="4"/>
      <w:r>
        <w:rPr>
          <w:sz w:val="24"/>
          <w:szCs w:val="24"/>
        </w:rPr>
        <w:t>Estándares y normas de calidad relacionadas con el Proyecto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AE7E61" w14:paraId="6A29FF00" w14:textId="77777777">
        <w:tc>
          <w:tcPr>
            <w:tcW w:w="8720" w:type="dxa"/>
            <w:shd w:val="clear" w:color="auto" w:fill="auto"/>
          </w:tcPr>
          <w:p>
            <w:pPr>
              <w:spacing w:after="100" w:before="0" w:line="240" w:lineRule="auto"/>
            </w:pPr>
            <w:r>
              <w:rPr>
                <w:b w:val="0"/>
                <w:i/>
                <w:sz w:val="20"/>
                <w:color w:val="000000"/>
              </w:rPr>
              <w:t>Normas y estándares que debe cumplir el proyecto y entregable al que aplica cada uno: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1. Ley N.° 29733, Ley de Protección de Datos Personales, y su Reglamento (D.S. N.° 016-2024-JUS). </w:t>
            </w:r>
            <w:r>
              <w:rPr>
                <w:b w:val="0"/>
                <w:i w:val="0"/>
                <w:sz w:val="20"/>
                <w:color w:val="000000"/>
              </w:rPr>
              <w:t>Aplica a la plataforma web y a las inscripciones (E5): política de privacidad con consentimiento para el tratamiento de los datos de los participantes.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2. ISO/IEC 25010, modelo de calidad del producto de software. </w:t>
            </w:r>
            <w:r>
              <w:rPr>
                <w:b w:val="0"/>
                <w:i w:val="0"/>
                <w:sz w:val="20"/>
                <w:color w:val="000000"/>
              </w:rPr>
              <w:t>Aplica a la plataforma web (E5) y a los prototipos de las hackathons (E8 y E10): funcionalidad, usabilidad, fiabilidad y seguridad.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3. Guía del PMBOK®, Gestión de la Calidad del Proyecto. </w:t>
            </w:r>
            <w:r>
              <w:rPr>
                <w:b w:val="0"/>
                <w:i w:val="0"/>
                <w:sz w:val="20"/>
                <w:color w:val="000000"/>
              </w:rPr>
              <w:t>Marco del curso (S10) para planificar, gestionar y controlar la calidad. Las métricas de plazo y costo (SPI y CPI) siguen su ejemplo de métricas de calidad.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4. Reglamentos de espacios PUCP y aliados. </w:t>
            </w:r>
            <w:r>
              <w:rPr>
                <w:b w:val="0"/>
                <w:i w:val="0"/>
                <w:sz w:val="20"/>
                <w:color w:val="000000"/>
              </w:rPr>
              <w:t>Trámite de acceso de externos: DAES (7 días hábiles) y Pabellón V (2 días hábiles); reservas de Open PUCP; plan de seguridad del evento de 24 h en la sede de NTT Data Perú (E2).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5. Estándares internos del proyecto. </w:t>
            </w:r>
            <w:r>
              <w:rPr>
                <w:b w:val="0"/>
                <w:i w:val="0"/>
                <w:sz w:val="20"/>
                <w:color w:val="000000"/>
              </w:rPr>
              <w:t>Criterios de aceptación de los entregables E1 a E13 del Presupuesto y estándar de contenido de los talleres y hackathons (nivel de cada taller, progresión entre rondas, requisitos previos y criterios para aceptar el material de un expositor).</w:t>
            </w:r>
          </w:p>
        </w:tc>
      </w:tr>
    </w:tbl>
    <w:p w14:paraId="682892CA" w14:textId="77777777" w:rsidR="00AE7E61" w:rsidRDefault="00AE7E61">
      <w:pPr>
        <w:pStyle w:val="Ttulo1"/>
        <w:rPr>
          <w:sz w:val="24"/>
          <w:szCs w:val="24"/>
        </w:rPr>
      </w:pPr>
      <w:bookmarkStart w:id="5" w:name="_1fob9te" w:colFirst="0" w:colLast="0"/>
      <w:bookmarkEnd w:id="5"/>
    </w:p>
    <w:p w14:paraId="77944FE2" w14:textId="77777777" w:rsidR="00AE7E61" w:rsidRDefault="000806E6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bookmarkStart w:id="6" w:name="_u17pdah8gghk" w:colFirst="0" w:colLast="0"/>
      <w:bookmarkEnd w:id="6"/>
      <w:r>
        <w:rPr>
          <w:sz w:val="24"/>
          <w:szCs w:val="24"/>
        </w:rPr>
        <w:t>Actividades de Aseguramiento de Calidad</w:t>
      </w:r>
    </w:p>
    <w:tbl>
      <w:tblPr>
        <w:tblStyle w:val="a2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AE7E61" w14:paraId="484ACCBE" w14:textId="77777777">
        <w:tc>
          <w:tcPr>
            <w:tcW w:w="8720" w:type="dxa"/>
            <w:shd w:val="clear" w:color="auto" w:fill="auto"/>
          </w:tcPr>
          <w:p>
            <w:pPr>
              <w:spacing w:after="100" w:before="0" w:line="240" w:lineRule="auto"/>
            </w:pPr>
            <w:r>
              <w:rPr>
                <w:b w:val="0"/>
                <w:i/>
                <w:sz w:val="20"/>
                <w:color w:val="000000"/>
              </w:rPr>
              <w:t>Actividades preventivas y de mejora de procesos, previas a cada evento: verifican que el proceso cumpla los estándares antes del despliegue.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A1. Revisión de sílabo, bases y rúbricas (E4). </w:t>
            </w:r>
            <w:r>
              <w:rPr>
                <w:b w:val="0"/>
                <w:i w:val="0"/>
                <w:sz w:val="20"/>
                <w:color w:val="000000"/>
              </w:rPr>
              <w:t>Revisión cruzada del sílabo de las 21 sesiones y de las bases y rúbricas de las 4 competencias antes de publicarlas, con ponente titular y suplente confirmados en el 100 % de las sesiones. Fecha límite: 05/02/2027. Previene el riesgo R14. Responsable: Relaciones Exteriores y Gerencia de Proyecto.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A2. Pruebas de carga y seguridad de la web (E5). </w:t>
            </w:r>
            <w:r>
              <w:rPr>
                <w:b w:val="0"/>
                <w:i w:val="0"/>
                <w:sz w:val="20"/>
                <w:color w:val="000000"/>
              </w:rPr>
              <w:t>Antes de abrir las inscripciones: pruebas de carga y seguridad, formularios probados y política de privacidad con consentimiento (Ley N.° 29733), con la ISO/IEC 25010 como referencia. Fecha límite: 15/02/2027. Responsable: Desarrollo de Software e Infraestructura.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A3. Checklist y ensayo previo por evento (E2). </w:t>
            </w:r>
            <w:r>
              <w:rPr>
                <w:b w:val="0"/>
                <w:i w:val="0"/>
                <w:sz w:val="20"/>
                <w:color w:val="000000"/>
              </w:rPr>
              <w:t>Antes de cada evento se verifica la sede con confirmación escrita y su sede alternativa, los requerimientos técnicos (laboratorio, Wi-Fi, máquina virtual y proyector) y, para el evento de 24 h, el plan de seguridad. Base: E2 del 15/01/2027, repetido antes de cada evento. Responsable: Logística y Eventos, con Finanzas y Legalidad.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A4. Retrospectiva y mejora continua por módulo. </w:t>
            </w:r>
            <w:r>
              <w:rPr>
                <w:b w:val="0"/>
                <w:i w:val="0"/>
                <w:sz w:val="20"/>
                <w:color w:val="000000"/>
              </w:rPr>
              <w:t>Al cierre de cada módulo o evento (E6 27/03, E7 24/04, E8 29/05 y E9 26/06/2027) se revisan el NPS, la asistencia y los incidentes, y se aplican acciones correctivas y preventivas al siguiente. Las lecciones aprendidas se consolidan en E12 y E13. Responsable: Gerencia de Proyecto.</w:t>
            </w:r>
          </w:p>
        </w:tc>
      </w:tr>
    </w:tbl>
    <w:p w14:paraId="789D60EC" w14:textId="77777777" w:rsidR="00AE7E61" w:rsidRDefault="00AE7E61">
      <w:pPr>
        <w:pStyle w:val="Ttulo2"/>
        <w:rPr>
          <w:sz w:val="20"/>
          <w:szCs w:val="20"/>
        </w:rPr>
      </w:pPr>
      <w:bookmarkStart w:id="7" w:name="_2et92p0" w:colFirst="0" w:colLast="0"/>
      <w:bookmarkEnd w:id="7"/>
    </w:p>
    <w:p w14:paraId="489C3E03" w14:textId="77777777" w:rsidR="00AE7E61" w:rsidRDefault="000806E6">
      <w:pPr>
        <w:pStyle w:val="Ttulo1"/>
        <w:rPr>
          <w:sz w:val="24"/>
          <w:szCs w:val="24"/>
        </w:rPr>
      </w:pPr>
      <w:bookmarkStart w:id="8" w:name="_92oaeferzcai" w:colFirst="0" w:colLast="0"/>
      <w:bookmarkEnd w:id="8"/>
      <w:r>
        <w:rPr>
          <w:sz w:val="24"/>
          <w:szCs w:val="24"/>
        </w:rPr>
        <w:t>Actividades de Control de Calidad</w:t>
      </w:r>
    </w:p>
    <w:tbl>
      <w:tblPr>
        <w:tblStyle w:val="a3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AE7E61" w14:paraId="37935D85" w14:textId="77777777">
        <w:trPr>
          <w:trHeight w:val="1854"/>
        </w:trPr>
        <w:tc>
          <w:tcPr>
            <w:tcW w:w="8720" w:type="dxa"/>
            <w:shd w:val="clear" w:color="auto" w:fill="auto"/>
          </w:tcPr>
          <w:p>
            <w:pPr>
              <w:spacing w:after="100" w:before="0" w:line="240" w:lineRule="auto"/>
            </w:pPr>
            <w:r>
              <w:rPr>
                <w:b w:val="0"/>
                <w:i/>
                <w:sz w:val="20"/>
                <w:color w:val="000000"/>
              </w:rPr>
              <w:t>Actividades que miden los resultados durante y después de cada evento. Los defectos se corrigen o se elevan al control integrado de cambios.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C1. Encuesta NPS y registro de asistencia por sesión. </w:t>
            </w:r>
            <w:r>
              <w:rPr>
                <w:b w:val="0"/>
                <w:i w:val="0"/>
                <w:sz w:val="20"/>
                <w:color w:val="000000"/>
              </w:rPr>
              <w:t>Se aplican en el 100 % de las sesiones de los módulos y en las competencias (E6 a E10). Los resultados se consolidan en los reportes de seguimiento (E11). Responsable: Logística y Eventos.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C2. Verificación de producto desplegado con rúbrica. </w:t>
            </w:r>
            <w:r>
              <w:rPr>
                <w:b w:val="0"/>
                <w:i w:val="0"/>
                <w:sz w:val="20"/>
                <w:color w:val="000000"/>
              </w:rPr>
              <w:t>En el Torneo de Vibecoding (E8) y en la Hackathon Internacional (E10), el jurado comprueba con rúbricas públicas que cada equipo desplegó en la nube y sustentó un producto funcional, no una demostración en entorno local. Responsable: jurado de la competencia y Desarrollo de Software.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C3. Control de cronograma y costo en los reportes de seguimiento (E11). </w:t>
            </w:r>
            <w:r>
              <w:rPr>
                <w:b w:val="0"/>
                <w:i w:val="0"/>
                <w:sz w:val="20"/>
                <w:color w:val="000000"/>
              </w:rPr>
              <w:t>En los 5 reportes (02/04, 30/04, 04/06, 02/07 y 05/08/2027), presentados al Patrocinador máximo 7 días después de cada hito, se compara el avance y el gasto contra el cronograma y la línea base de costos (S/ 15,680) mediante SPI, CPI y ejecución presupuestal. Responsable: Gerencia de Proyecto y Finanzas y Legalidad.</w:t>
            </w:r>
          </w:p>
          <w:p>
            <w:pPr>
              <w:spacing w:after="80" w:before="0" w:line="240" w:lineRule="auto"/>
              <w:ind w:left="280" w:hanging="280"/>
            </w:pPr>
            <w:r>
              <w:rPr>
                <w:b/>
                <w:i w:val="0"/>
                <w:sz w:val="20"/>
                <w:color w:val="000000"/>
              </w:rPr>
              <w:t xml:space="preserve">C4. Revisión anti-plagio e historial de repositorio. </w:t>
            </w:r>
            <w:r>
              <w:rPr>
                <w:b w:val="0"/>
                <w:i w:val="0"/>
                <w:sz w:val="20"/>
                <w:color w:val="000000"/>
              </w:rPr>
              <w:t>En las competencias: bases con código desde cero e historial en repositorio, rúbricas públicas y declaración de conflicto de interés de los jurados (riesgo R14). Responsable: Gerencia de Proyecto.</w:t>
            </w:r>
          </w:p>
        </w:tc>
      </w:tr>
    </w:tbl>
    <w:p w14:paraId="2B778279" w14:textId="77777777" w:rsidR="00AE7E61" w:rsidRDefault="00AE7E61">
      <w:pPr>
        <w:spacing w:after="0" w:line="240" w:lineRule="auto"/>
        <w:rPr>
          <w:b/>
          <w:color w:val="365F91"/>
          <w:sz w:val="20"/>
          <w:szCs w:val="20"/>
        </w:rPr>
      </w:pPr>
    </w:p>
    <w:p w14:paraId="22D5168E" w14:textId="77777777" w:rsidR="00AE7E61" w:rsidRDefault="000806E6">
      <w:pPr>
        <w:pStyle w:val="Ttulo1"/>
        <w:pageBreakBefore/>
      </w:pPr>
      <w:bookmarkStart w:id="9" w:name="_30a0n4apkk44" w:colFirst="0" w:colLast="0"/>
      <w:bookmarkEnd w:id="9"/>
      <w:r>
        <w:rPr>
          <w:sz w:val="24"/>
          <w:szCs w:val="24"/>
        </w:rPr>
        <w:t xml:space="preserve">Métricas de Calidad </w:t>
      </w:r>
    </w:p>
    <w:tbl>
      <w:tblPr>
        <w:tblStyle w:val="a4"/>
        <w:tblW w:w="88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1750"/>
        <w:gridCol w:w="1450"/>
        <w:gridCol w:w="1700"/>
        <w:gridCol w:w="2288"/>
      </w:tblGrid>
      <w:tr w:rsidR="00AE7E61" w14:paraId="548A08C2" w14:textId="77777777">
        <w:trPr>
          <w:cantSplit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FAB5" w14:textId="77777777" w:rsidR="00AE7E61" w:rsidRDefault="00080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Métrica</w:t>
            </w:r>
          </w:p>
        </w:tc>
        <w:tc>
          <w:tcPr>
            <w:tcW w:w="1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E9A4" w14:textId="77777777" w:rsidR="00AE7E61" w:rsidRDefault="00080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Fuente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0409" w14:textId="77777777" w:rsidR="00AE7E61" w:rsidRDefault="00080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Frecuencia 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7D60" w14:textId="77777777" w:rsidR="00AE7E61" w:rsidRDefault="00080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Responsable </w:t>
            </w:r>
          </w:p>
        </w:tc>
        <w:tc>
          <w:tcPr>
            <w:tcW w:w="2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596E1" w14:textId="77777777" w:rsidR="00AE7E61" w:rsidRDefault="00080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Límites de control</w:t>
            </w:r>
          </w:p>
        </w:tc>
      </w:tr>
      <w:tr w:rsidR="00AE7E61" w14:paraId="4FC3C97B" w14:textId="77777777">
        <w:trPr>
          <w:trHeight w:val="470"/>
          <w:cantSplit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i w:val="0"/>
                <w:sz w:val="18"/>
                <w:color w:val="000000"/>
              </w:rPr>
              <w:t>NPS por sesión y competencia</w:t>
            </w:r>
          </w:p>
        </w:tc>
        <w:tc>
          <w:tcPr>
            <w:tcW w:w="1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Encuesta de satisfacción al finalizar cada sesión y competencia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Por sesión (100 %) y en cada reporte E11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Logística y Eventos</w:t>
            </w:r>
          </w:p>
        </w:tc>
        <w:tc>
          <w:tcPr>
            <w:tcW w:w="2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NPS &gt; 60. Si es ≤ 60, se activa una acción correctiva</w:t>
            </w:r>
          </w:p>
        </w:tc>
      </w:tr>
      <w:tr w:rsidR="00AE7E61" w14:paraId="43C4F9B8" w14:textId="77777777">
        <w:trPr>
          <w:cantSplit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i w:val="0"/>
                <w:sz w:val="18"/>
                <w:color w:val="000000"/>
              </w:rPr>
              <w:t>Asistencia promedio por sesión</w:t>
            </w:r>
          </w:p>
        </w:tc>
        <w:tc>
          <w:tcPr>
            <w:tcW w:w="1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Registro de asistencia de cada sesión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Por sesión y en cada reporte E11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Logística y Eventos</w:t>
            </w:r>
          </w:p>
        </w:tc>
        <w:tc>
          <w:tcPr>
            <w:tcW w:w="2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≥ 40 asistentes en promedio (módulos I y II, E6 y E7)</w:t>
            </w:r>
          </w:p>
        </w:tc>
      </w:tr>
      <w:tr w:rsidR="00AE7E61" w14:paraId="68FA4A5E" w14:textId="77777777">
        <w:trPr>
          <w:cantSplit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i w:val="0"/>
                <w:sz w:val="18"/>
                <w:color w:val="000000"/>
              </w:rPr>
              <w:t>Equipos con producto desplegado</w:t>
            </w:r>
          </w:p>
        </w:tc>
        <w:tc>
          <w:tcPr>
            <w:tcW w:w="1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Rúbrica del jurado y verificación del despliegue en la nube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Por competencia (E8 y E10)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Desarrollo de Software, con el jurado</w:t>
            </w:r>
          </w:p>
        </w:tc>
        <w:tc>
          <w:tcPr>
            <w:tcW w:w="2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≥ 80 % de los equipos</w:t>
            </w:r>
          </w:p>
        </w:tc>
      </w:tr>
      <w:tr w:rsidR="00AE7E61" w14:paraId="008BB346" w14:textId="77777777">
        <w:trPr>
          <w:cantSplit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i w:val="0"/>
                <w:sz w:val="18"/>
                <w:color w:val="000000"/>
              </w:rPr>
              <w:t>SPI (desempeño del cronograma)</w:t>
            </w:r>
          </w:p>
        </w:tc>
        <w:tc>
          <w:tcPr>
            <w:tcW w:w="1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Cronograma del proyecto (línea base)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Cada reporte de seguimiento E11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Gerencia de Proyecto</w:t>
            </w:r>
          </w:p>
        </w:tc>
        <w:tc>
          <w:tcPr>
            <w:tcW w:w="2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0.95 &lt; SPI &lt; 1.1</w:t>
            </w:r>
          </w:p>
        </w:tc>
      </w:tr>
      <w:tr w:rsidR="00AE7E61" w14:paraId="73FBDA68" w14:textId="77777777">
        <w:trPr>
          <w:cantSplit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i w:val="0"/>
                <w:sz w:val="18"/>
                <w:color w:val="000000"/>
              </w:rPr>
              <w:t>CPI (desempeño del costo)</w:t>
            </w:r>
          </w:p>
        </w:tc>
        <w:tc>
          <w:tcPr>
            <w:tcW w:w="1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Línea base de costos (S/ 15,680)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Cada reporte de seguimiento E11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Gerencia de Proyecto</w:t>
            </w:r>
          </w:p>
        </w:tc>
        <w:tc>
          <w:tcPr>
            <w:tcW w:w="2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0.95 &lt; CPI &lt; 1.1</w:t>
            </w:r>
          </w:p>
        </w:tc>
      </w:tr>
      <w:tr w:rsidR="00AE7E61" w14:paraId="73FBDA68" w14:textId="77777777">
        <w:trPr>
          <w:cantSplit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i w:val="0"/>
                <w:sz w:val="18"/>
                <w:color w:val="000000"/>
              </w:rPr>
              <w:t>Ejecución presupuestal</w:t>
            </w:r>
          </w:p>
        </w:tc>
        <w:tc>
          <w:tcPr>
            <w:tcW w:w="1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Registro de gastos frente a la línea base de costos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Cada reporte de seguimiento E11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Finanzas y Legalidad</w:t>
            </w:r>
          </w:p>
        </w:tc>
        <w:tc>
          <w:tcPr>
            <w:tcW w:w="2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Gasto acumulado ≤ S/ 15,680. La reserva de gestión (S/ 784, hasta S/ 16,464) solo la libera el Patrocinador</w:t>
            </w:r>
          </w:p>
        </w:tc>
      </w:tr>
      <w:tr w:rsidR="00AE7E61" w14:paraId="73FBDA68" w14:textId="77777777">
        <w:trPr>
          <w:cantSplit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i w:val="0"/>
                <w:sz w:val="18"/>
                <w:color w:val="000000"/>
              </w:rPr>
              <w:t>Retención del staff voluntario</w:t>
            </w:r>
          </w:p>
        </w:tc>
        <w:tc>
          <w:tcPr>
            <w:tcW w:w="1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Registro de voluntarios activos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Cada reporte de seguimiento E11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RR.HH.</w:t>
            </w:r>
          </w:p>
        </w:tc>
        <w:tc>
          <w:tcPr>
            <w:tcW w:w="22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0" w:line="240" w:lineRule="auto"/>
            </w:pPr>
            <w:r>
              <w:rPr>
                <w:b w:val="0"/>
                <w:i w:val="0"/>
                <w:sz w:val="18"/>
                <w:color w:val="000000"/>
              </w:rPr>
              <w:t>≥ 85 % del staff durante los 5 meses</w:t>
            </w:r>
          </w:p>
        </w:tc>
      </w:tr>
    </w:tbl>
    <w:p w14:paraId="2348BB21" w14:textId="77777777" w:rsidR="00AE7E61" w:rsidRDefault="00AE7E61">
      <w:pPr>
        <w:spacing w:after="0" w:line="240" w:lineRule="auto"/>
        <w:rPr>
          <w:b/>
          <w:color w:val="365F91"/>
          <w:sz w:val="20"/>
          <w:szCs w:val="20"/>
        </w:rPr>
      </w:pPr>
    </w:p>
    <w:sectPr w:rsidR="00AE7E61">
      <w:headerReference w:type="default" r:id="rId6"/>
      <w:footerReference w:type="default" r:id="rId7"/>
      <w:headerReference w:type="first" r:id="rId8"/>
      <w:pgSz w:w="12240" w:h="15840"/>
      <w:pgMar w:top="2140" w:right="1701" w:bottom="1418" w:left="1701" w:header="709" w:footer="4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34517" w14:textId="77777777" w:rsidR="00AA2D4A" w:rsidRDefault="00AA2D4A">
      <w:pPr>
        <w:spacing w:after="0" w:line="240" w:lineRule="auto"/>
      </w:pPr>
      <w:r>
        <w:separator/>
      </w:r>
    </w:p>
  </w:endnote>
  <w:endnote w:type="continuationSeparator" w:id="0">
    <w:p w14:paraId="4B219614" w14:textId="77777777" w:rsidR="00AA2D4A" w:rsidRDefault="00AA2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98300" w14:textId="77777777" w:rsidR="00AE7E61" w:rsidRDefault="00AE7E6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b/>
        <w:i/>
        <w:color w:val="365F91"/>
      </w:rPr>
    </w:pPr>
  </w:p>
  <w:tbl>
    <w:tblPr>
      <w:tblStyle w:val="a5"/>
      <w:tblW w:w="8838" w:type="dxa"/>
      <w:tblInd w:w="0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442"/>
      <w:gridCol w:w="4396"/>
    </w:tblGrid>
    <w:tr w:rsidR="00AE7E61" w14:paraId="4B9228BB" w14:textId="77777777">
      <w:trPr>
        <w:trHeight w:val="525"/>
      </w:trPr>
      <w:tc>
        <w:tcPr>
          <w:tcW w:w="4442" w:type="dxa"/>
        </w:tcPr>
        <w:p w14:paraId="64C38EF5" w14:textId="77777777" w:rsidR="00AE7E61" w:rsidRDefault="00AE7E6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b/>
              <w:i/>
              <w:color w:val="000000"/>
              <w:sz w:val="22"/>
              <w:szCs w:val="22"/>
            </w:rPr>
          </w:pPr>
        </w:p>
      </w:tc>
      <w:tc>
        <w:tcPr>
          <w:tcW w:w="4396" w:type="dxa"/>
        </w:tcPr>
        <w:p w14:paraId="3D5045CA" w14:textId="77777777" w:rsidR="00AE7E61" w:rsidRDefault="000806E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b/>
              <w:i/>
              <w:color w:val="000000"/>
              <w:sz w:val="22"/>
              <w:szCs w:val="22"/>
            </w:rPr>
          </w:pPr>
          <w:r>
            <w:rPr>
              <w:b/>
              <w:i/>
              <w:sz w:val="22"/>
              <w:szCs w:val="22"/>
            </w:rPr>
            <w:t>Plan de Gestión de Calidad</w:t>
          </w:r>
        </w:p>
      </w:tc>
    </w:tr>
  </w:tbl>
  <w:p w14:paraId="41315950" w14:textId="77777777" w:rsidR="00AE7E61" w:rsidRDefault="00AE7E6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13343" w14:textId="77777777" w:rsidR="00AA2D4A" w:rsidRDefault="00AA2D4A">
      <w:pPr>
        <w:spacing w:after="0" w:line="240" w:lineRule="auto"/>
      </w:pPr>
      <w:r>
        <w:separator/>
      </w:r>
    </w:p>
  </w:footnote>
  <w:footnote w:type="continuationSeparator" w:id="0">
    <w:p w14:paraId="7EA911A5" w14:textId="77777777" w:rsidR="00AA2D4A" w:rsidRDefault="00AA2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89F61" w14:textId="77777777" w:rsidR="00AE7E61" w:rsidRDefault="00AE7E6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b/>
        <w:i/>
        <w:color w:val="365F9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06070" w14:textId="77777777" w:rsidR="00AE7E61" w:rsidRDefault="00AE7E61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  <w:p w14:paraId="08E07B56" w14:textId="77777777" w:rsidR="00AE7E61" w:rsidRDefault="00AE7E61">
    <w:pPr>
      <w:pBdr>
        <w:top w:val="nil"/>
        <w:left w:val="nil"/>
        <w:bottom w:val="nil"/>
        <w:right w:val="nil"/>
        <w:between w:val="nil"/>
      </w:pBdr>
      <w:spacing w:after="0"/>
      <w:rPr>
        <w:b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E61"/>
    <w:rsid w:val="000806E6"/>
    <w:rsid w:val="00400832"/>
    <w:rsid w:val="009D59FE"/>
    <w:rsid w:val="00AA2D4A"/>
    <w:rsid w:val="00AE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326C7C"/>
  <w15:docId w15:val="{F708658D-BF2B-4A02-B1D5-24E6A652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S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color w:val="365F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color w:val="365F9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457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Pierre</cp:lastModifiedBy>
  <cp:revision>3</cp:revision>
  <dcterms:created xsi:type="dcterms:W3CDTF">2021-10-12T16:16:00Z</dcterms:created>
  <dcterms:modified xsi:type="dcterms:W3CDTF">2024-05-26T21:39:00Z</dcterms:modified>
</cp:coreProperties>
</file>