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595959"/>
          <w:sz w:val="15"/>
          <w:szCs w:val="15"/>
        </w:rPr>
        <w:t xml:space="preserve">IND328 · GESTIÓN DE PROYECTOS · PUCP 2026-2 · EQUIPO 5 "MINECRAFTEROS"</w:t>
      </w:r>
    </w:p>
    <w:p>
      <w:pPr>
        <w:spacing w:after="0" w:before="80"/>
        <w:jc w:val="center"/>
      </w:pPr>
      <w:r>
        <w:rPr>
          <w:rFonts w:ascii="Calibri" w:cs="Calibri" w:eastAsia="Calibri" w:hAnsi="Calibri"/>
          <w:b/>
          <w:bCs/>
          <w:color w:val="1F3864"/>
          <w:sz w:val="30"/>
          <w:szCs w:val="30"/>
        </w:rPr>
        <w:t xml:space="preserve">Proyecto: DSC PUCP Workshops</w:t>
      </w:r>
    </w:p>
    <w:p>
      <w:pPr>
        <w:pBdr>
          <w:bottom w:val="single" w:color="1F3864" w:sz="8" w:space="6"/>
        </w:pBdr>
        <w:spacing w:after="140" w:before="40"/>
        <w:jc w:val="center"/>
      </w:pPr>
      <w:r>
        <w:rPr>
          <w:rFonts w:ascii="Calibri" w:cs="Calibri" w:eastAsia="Calibri" w:hAnsi="Calibri"/>
          <w:i/>
          <w:iCs/>
          <w:color w:val="595959"/>
          <w:sz w:val="20"/>
          <w:szCs w:val="20"/>
        </w:rPr>
        <w:t xml:space="preserve">Descripción del proyecto — Programa de eventos formativos "Hack with DSC"</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1. Datos generales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tblHeader/>
        </w:trPr>
        <w:tc>
          <w:tcPr>
            <w:tcW w:type="dxa" w:w="210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Campo</w:t>
            </w:r>
          </w:p>
        </w:tc>
        <w:tc>
          <w:tcPr>
            <w:tcW w:type="dxa" w:w="726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Detalle</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Organización ejecutora</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Developer Student Club PUCP (DSC PUCP) — agrupación estudiantil de la Facultad de Ciencias e Ingeniería.</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Patrocinador</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Alta Dirección de DSC PUCP (Presidencia y Vicepresidencias), con financiamiento del Fondo Concursable de Iniciativas por el Bienestar Estudiantil y de sponsors empresariales.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Gerente de proyecto</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Project Manager del programa, con reporte directo a la Alta Dirección.</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Beneficiarios</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Estudiantes PUCP de carreras de tecnología e interesados en software e IA; participantes externos en el evento de cierre; empresas aliadas.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Horizonte</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Agosto – octubre de 2026 (ciclo académico 2026-2).</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Evento culminante</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DSC HACK: hackathon híbrida y abierta a participantes externos, del 22 al 24 de octubre de 2026.</w:t>
            </w:r>
          </w:p>
        </w:tc>
      </w:tr>
    </w:tbl>
    <w:p>
      <w:pPr>
        <w:pStyle w:val="Heading1"/>
        <w:pBdr>
          <w:bottom w:val="single" w:color="DEE6F1" w:sz="6" w:space="2"/>
        </w:pBdr>
        <w:spacing w:after="90" w:before="200"/>
      </w:pPr>
      <w:r>
        <w:rPr>
          <w:rFonts w:ascii="Calibri" w:cs="Calibri" w:eastAsia="Calibri" w:hAnsi="Calibri"/>
          <w:b/>
          <w:bCs/>
          <w:caps/>
          <w:color w:val="1F3864"/>
          <w:sz w:val="22"/>
          <w:szCs w:val="22"/>
        </w:rPr>
        <w:t xml:space="preserve">2. Problemática</w:t>
      </w:r>
    </w:p>
    <w:p>
      <w:pPr>
        <w:spacing w:after="100" w:line="252"/>
        <w:jc w:val="both"/>
      </w:pPr>
      <w:r>
        <w:rPr>
          <w:rFonts w:ascii="Calibri" w:cs="Calibri" w:eastAsia="Calibri" w:hAnsi="Calibri"/>
          <w:color w:val="000000"/>
          <w:sz w:val="19"/>
          <w:szCs w:val="19"/>
        </w:rPr>
        <w:t xml:space="preserve">Los planes de estudio de la PUCP no se actualizan al ritmo al que evolucionan las tecnologías de vanguardia. Entre que una tecnología se vuelve estándar en la industria y que aparece formalmente en una malla curricular transcurren varios ciclos, mientras que herramientas como los agentes de IA generativa, el despliegue continuo en la nube, MLOps o la visión por computadora aplicada ya son requisito de entrada en los procesos de selección técnicos.</w:t>
      </w:r>
    </w:p>
    <w:p>
      <w:pPr>
        <w:spacing w:after="100" w:line="252"/>
        <w:jc w:val="both"/>
      </w:pPr>
      <w:r>
        <w:rPr>
          <w:rFonts w:ascii="Calibri" w:cs="Calibri" w:eastAsia="Calibri" w:hAnsi="Calibri"/>
          <w:color w:val="000000"/>
          <w:sz w:val="19"/>
          <w:szCs w:val="19"/>
        </w:rPr>
        <w:t xml:space="preserve">El efecto sobre el estudiante es doble. Por un lado, llega al mercado laboral con fundamentos sólidos pero sin experiencia práctica en las herramientas que ese mercado da por supuestas. Por otro, cuando intenta cerrar la brecha por cuenta propia, lo hace de forma dispersa: tutoriales sueltos, proyectos que nunca salen del entorno local y ninguna instancia que valide la calidad técnica de lo que construyó. El resultado son estudiantes que "saben del tema" pero no han desplegado nunca un producto funcional ni han defendido sus decisiones de arquitectura ante un evaluador externo.</w:t>
      </w:r>
    </w:p>
    <w:p>
      <w:pPr>
        <w:spacing w:after="100" w:line="252"/>
        <w:jc w:val="both"/>
      </w:pPr>
      <w:r>
        <w:rPr>
          <w:rFonts w:ascii="Calibri" w:cs="Calibri" w:eastAsia="Calibri" w:hAnsi="Calibri"/>
          <w:color w:val="000000"/>
          <w:sz w:val="19"/>
          <w:szCs w:val="19"/>
        </w:rPr>
        <w:t xml:space="preserve">La evidencia recogida por DSC PUCP respalda el diagnóstico: la convocatoria abierta de speakers, mentores y jurados superó el centenar de registros de profesionales dispuestos a enseñar estos contenidos, y las encuestas de satisfacción de los primeros talleres muestran una demanda concentrada justamente en IA generativa, desarrollo web, cloud computing y deep learning. Existe la oferta de conocimiento y existe la demanda; lo que falta es el espacio institucional que las conecte.</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3. En qué consiste el proyecto</w:t>
      </w:r>
    </w:p>
    <w:p>
      <w:pPr>
        <w:spacing w:after="100" w:line="252"/>
        <w:jc w:val="both"/>
      </w:pPr>
      <w:r>
        <w:rPr>
          <w:rFonts w:ascii="Calibri" w:cs="Calibri" w:eastAsia="Calibri" w:hAnsi="Calibri"/>
          <w:color w:val="000000"/>
          <w:sz w:val="19"/>
          <w:szCs w:val="19"/>
        </w:rPr>
        <w:t xml:space="preserve">DSC PUCP Workshops es un programa semestral de eventos formativos —talleres, ponencias y espacios de networking— diseñado como una ruta de entrenamiento que culmina en una hackathon abierta. No es un conjunto de actividades sueltas: cada taller entrega una capacidad concreta que el participante necesitará en el evento final, de modo que la hackathon funciona como la evaluación práctica de todo el programa.</w:t>
      </w:r>
    </w:p>
    <w:p>
      <w:pPr>
        <w:spacing w:after="100" w:line="252"/>
        <w:jc w:val="both"/>
      </w:pPr>
      <w:r>
        <w:rPr>
          <w:rFonts w:ascii="Calibri" w:cs="Calibri" w:eastAsia="Calibri" w:hAnsi="Calibri"/>
          <w:color w:val="000000"/>
          <w:sz w:val="19"/>
          <w:szCs w:val="19"/>
        </w:rPr>
        <w:t xml:space="preserve">La ruta avanza desde lo básico hasta lo competitivo: cómo programar asistido por IA, cómo desplegar un proyecto y sacarlo del entorno local, fundamentos de deep learning y visión por computadora, evaluación de modelos, diseño de producto con IA y, finalmente, cómo construir y comunicar un pitch. En paralelo se ejecuta una hackathon piloto interna que sirve para probar la operación —inscripciones, mentorías, jurados, logística— antes del evento principal.</w:t>
      </w:r>
    </w:p>
    <w:p>
      <w:pPr>
        <w:spacing w:after="100" w:line="252"/>
        <w:jc w:val="both"/>
      </w:pPr>
      <w:r>
        <w:rPr>
          <w:rFonts w:ascii="Calibri" w:cs="Calibri" w:eastAsia="Calibri" w:hAnsi="Calibri"/>
          <w:color w:val="000000"/>
          <w:sz w:val="19"/>
          <w:szCs w:val="19"/>
        </w:rPr>
        <w:t xml:space="preserve">La ejecución se organiza sobre seis frentes que todo evento del programa debe tener resueltos antes de su fecha:</w:t>
      </w:r>
    </w:p>
    <w:p>
      <w:pPr>
        <w:pStyle w:val="ListParagraph"/>
        <w:numPr>
          <w:ilvl w:val="0"/>
          <w:numId w:val="2"/>
        </w:numPr>
        <w:spacing w:after="40" w:line="252"/>
        <w:jc w:val="both"/>
      </w:pPr>
      <w:r>
        <w:rPr>
          <w:rFonts w:ascii="Calibri" w:cs="Calibri" w:eastAsia="Calibri" w:hAnsi="Calibri"/>
          <w:b/>
          <w:bCs/>
          <w:sz w:val="19"/>
          <w:szCs w:val="19"/>
        </w:rPr>
        <w:t xml:space="preserve">Contenido: </w:t>
      </w:r>
      <w:r>
        <w:rPr>
          <w:rFonts w:ascii="Calibri" w:cs="Calibri" w:eastAsia="Calibri" w:hAnsi="Calibri"/>
          <w:sz w:val="19"/>
          <w:szCs w:val="19"/>
        </w:rPr>
        <w:t xml:space="preserve">quién dicta o expone, y la coordinación previa con esa persona.</w:t>
      </w:r>
    </w:p>
    <w:p>
      <w:pPr>
        <w:pStyle w:val="ListParagraph"/>
        <w:numPr>
          <w:ilvl w:val="0"/>
          <w:numId w:val="2"/>
        </w:numPr>
        <w:spacing w:after="40" w:line="252"/>
        <w:jc w:val="both"/>
      </w:pPr>
      <w:r>
        <w:rPr>
          <w:rFonts w:ascii="Calibri" w:cs="Calibri" w:eastAsia="Calibri" w:hAnsi="Calibri"/>
          <w:b/>
          <w:bCs/>
          <w:sz w:val="19"/>
          <w:szCs w:val="19"/>
        </w:rPr>
        <w:t xml:space="preserve">Espacio y permisos: </w:t>
      </w:r>
      <w:r>
        <w:rPr>
          <w:rFonts w:ascii="Calibri" w:cs="Calibri" w:eastAsia="Calibri" w:hAnsi="Calibri"/>
          <w:sz w:val="19"/>
          <w:szCs w:val="19"/>
        </w:rPr>
        <w:t xml:space="preserve">reserva de aulas o auditorios y trámites ante las instancias de la universidad; es el frente crítico por sus tiempos de respuesta.</w:t>
      </w:r>
    </w:p>
    <w:p>
      <w:pPr>
        <w:pStyle w:val="ListParagraph"/>
        <w:numPr>
          <w:ilvl w:val="0"/>
          <w:numId w:val="2"/>
        </w:numPr>
        <w:spacing w:after="40" w:line="252"/>
        <w:jc w:val="both"/>
      </w:pPr>
      <w:r>
        <w:rPr>
          <w:rFonts w:ascii="Calibri" w:cs="Calibri" w:eastAsia="Calibri" w:hAnsi="Calibri"/>
          <w:b/>
          <w:bCs/>
          <w:sz w:val="19"/>
          <w:szCs w:val="19"/>
        </w:rPr>
        <w:t xml:space="preserve">Público: </w:t>
      </w:r>
      <w:r>
        <w:rPr>
          <w:rFonts w:ascii="Calibri" w:cs="Calibri" w:eastAsia="Calibri" w:hAnsi="Calibri"/>
          <w:sz w:val="19"/>
          <w:szCs w:val="19"/>
        </w:rPr>
        <w:t xml:space="preserve">campaña de difusión en redes, correo masivo y canales de aliados, con la inscripción abierta y operativa.</w:t>
      </w:r>
    </w:p>
    <w:p>
      <w:pPr>
        <w:pStyle w:val="ListParagraph"/>
        <w:numPr>
          <w:ilvl w:val="0"/>
          <w:numId w:val="2"/>
        </w:numPr>
        <w:spacing w:after="40" w:line="252"/>
        <w:jc w:val="both"/>
      </w:pPr>
      <w:r>
        <w:rPr>
          <w:rFonts w:ascii="Calibri" w:cs="Calibri" w:eastAsia="Calibri" w:hAnsi="Calibri"/>
          <w:b/>
          <w:bCs/>
          <w:sz w:val="19"/>
          <w:szCs w:val="19"/>
        </w:rPr>
        <w:t xml:space="preserve">Recursos: </w:t>
      </w:r>
      <w:r>
        <w:rPr>
          <w:rFonts w:ascii="Calibri" w:cs="Calibri" w:eastAsia="Calibri" w:hAnsi="Calibri"/>
          <w:sz w:val="19"/>
          <w:szCs w:val="19"/>
        </w:rPr>
        <w:t xml:space="preserve">premios, presupuesto de logística, materiales y auspicios cerrados.</w:t>
      </w:r>
    </w:p>
    <w:p>
      <w:pPr>
        <w:pStyle w:val="ListParagraph"/>
        <w:numPr>
          <w:ilvl w:val="0"/>
          <w:numId w:val="2"/>
        </w:numPr>
        <w:spacing w:after="40" w:line="252"/>
        <w:jc w:val="both"/>
      </w:pPr>
      <w:r>
        <w:rPr>
          <w:rFonts w:ascii="Calibri" w:cs="Calibri" w:eastAsia="Calibri" w:hAnsi="Calibri"/>
          <w:b/>
          <w:bCs/>
          <w:sz w:val="19"/>
          <w:szCs w:val="19"/>
        </w:rPr>
        <w:t xml:space="preserve">Ejecución: </w:t>
      </w:r>
      <w:r>
        <w:rPr>
          <w:rFonts w:ascii="Calibri" w:cs="Calibri" w:eastAsia="Calibri" w:hAnsi="Calibri"/>
          <w:sz w:val="19"/>
          <w:szCs w:val="19"/>
        </w:rPr>
        <w:t xml:space="preserve">el equipo operativo del día del evento, registro de asistentes y soporte a los participantes.</w:t>
      </w:r>
    </w:p>
    <w:p>
      <w:pPr>
        <w:pStyle w:val="ListParagraph"/>
        <w:numPr>
          <w:ilvl w:val="0"/>
          <w:numId w:val="2"/>
        </w:numPr>
        <w:spacing w:after="40" w:line="252"/>
        <w:jc w:val="both"/>
      </w:pPr>
      <w:r>
        <w:rPr>
          <w:rFonts w:ascii="Calibri" w:cs="Calibri" w:eastAsia="Calibri" w:hAnsi="Calibri"/>
          <w:b/>
          <w:bCs/>
          <w:sz w:val="19"/>
          <w:szCs w:val="19"/>
        </w:rPr>
        <w:t xml:space="preserve">Evidencia: </w:t>
      </w:r>
      <w:r>
        <w:rPr>
          <w:rFonts w:ascii="Calibri" w:cs="Calibri" w:eastAsia="Calibri" w:hAnsi="Calibri"/>
          <w:sz w:val="19"/>
          <w:szCs w:val="19"/>
        </w:rPr>
        <w:t xml:space="preserve">registro audiovisual de cada actividad, insumo con el que se negocian los auspicios de los eventos siguientes.</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4. Alcance y entregables</w:t>
      </w:r>
    </w:p>
    <w:p>
      <w:pPr>
        <w:spacing w:after="100" w:line="252"/>
        <w:jc w:val="both"/>
      </w:pPr>
      <w:r>
        <w:rPr>
          <w:rFonts w:ascii="Calibri" w:cs="Calibri" w:eastAsia="Calibri" w:hAnsi="Calibri"/>
          <w:b/>
          <w:bCs/>
          <w:color w:val="000000"/>
          <w:sz w:val="19"/>
          <w:szCs w:val="19"/>
        </w:rPr>
        <w:t xml:space="preserve">Incluye: </w:t>
      </w:r>
      <w:r>
        <w:rPr>
          <w:rFonts w:ascii="Calibri" w:cs="Calibri" w:eastAsia="Calibri" w:hAnsi="Calibri"/>
          <w:color w:val="000000"/>
          <w:sz w:val="19"/>
          <w:szCs w:val="19"/>
        </w:rPr>
        <w:t xml:space="preserve">diseño del programa y su calendario; convocatoria y coordinación de ponentes, mentores y jurados; captación y negociación de auspicios; difusión y gestión de inscripciones; web del programa; bases, rúbricas y criterios de evaluación; ejecución de talleres, ponencias, hackathon piloto y hackathon final; y cierre con informe de resultados y material de difusión.</w:t>
      </w:r>
    </w:p>
    <w:p>
      <w:pPr>
        <w:spacing w:after="100" w:line="252"/>
        <w:jc w:val="both"/>
      </w:pPr>
      <w:r>
        <w:rPr>
          <w:rFonts w:ascii="Calibri" w:cs="Calibri" w:eastAsia="Calibri" w:hAnsi="Calibri"/>
          <w:b/>
          <w:bCs/>
          <w:color w:val="000000"/>
          <w:sz w:val="19"/>
          <w:szCs w:val="19"/>
        </w:rPr>
        <w:t xml:space="preserve">No incluye: </w:t>
      </w:r>
      <w:r>
        <w:rPr>
          <w:rFonts w:ascii="Calibri" w:cs="Calibri" w:eastAsia="Calibri" w:hAnsi="Calibri"/>
          <w:color w:val="000000"/>
          <w:sz w:val="19"/>
          <w:szCs w:val="19"/>
        </w:rPr>
        <w:t xml:space="preserve">la modificación de los planes de estudio de la universidad, el desarrollo de los proyectos que presenten los equipos participantes, ni la continuidad del programa más allá del ciclo 2026-2, que corresponde a una siguiente edición.</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5. Cronograma e hitos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250"/>
        <w:gridCol w:w="6010"/>
        <w:gridCol w:w="2100"/>
      </w:tblGrid>
      <w:tr>
        <w:trPr>
          <w:tblHeader/>
        </w:trPr>
        <w:tc>
          <w:tcPr>
            <w:tcW w:type="dxa" w:w="125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Fecha (2026)</w:t>
            </w:r>
          </w:p>
        </w:tc>
        <w:tc>
          <w:tcPr>
            <w:tcW w:type="dxa" w:w="601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Hito</w:t>
            </w:r>
          </w:p>
        </w:tc>
        <w:tc>
          <w:tcPr>
            <w:tcW w:type="dxa" w:w="210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Área responsable</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05 – 17 ago</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Identidad visual definida y web del programa publicada (versión inicial y final).</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Marketing / Desarrollo</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10 ago</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Lanzamiento del programa: difusión en redes, correo masivo a la comunidad PUCP.</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Marketing</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12 ago</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Deck de sponsors terminado y call for speakers, mentores y jurados publicado.</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Finanzas / RR. EE.</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13 ago</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Call for sponsors de la hackathon final; inicio del outreach semanal a empresas.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RR. EE. / Finanzas</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20 ago – 15 oct</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Ruta de talleres y ponencias del programa (cadencia semanal).</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Logística / Marketing</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27 – 29 ago</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Hackathon piloto interna: prueba operativa de inscripciones, mentorías y jurados.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Logística</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01 sep</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Bases, reglamento y criterios de evaluación aprobados.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Legalidad / Dirección</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04 – 25 sep</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Presentación de la hackathon final y periodo de inscripciones.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Marketing</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15 sep</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Sponsors decididos y contratos o acuerdos cerrados.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Finanzas y Legalidad</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21 sep</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Call for mentores y jurados de la hackathon final.</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RR. EE.</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02 oct</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Anuncio de equipos seleccionados.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Logística / Dirección</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09 y 18 oct</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Publicación de sponsors confirmados y de jurados y mentores confirmados.</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Marketing</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22 – 24 oct</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DSC HACK: kickoff y revelación del reto, jornada de mentorías, sprint final, pitches y premiación.</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Todas las áreas</w:t>
            </w:r>
          </w:p>
        </w:tc>
      </w:tr>
      <w:tr>
        <w:tc>
          <w:tcPr>
            <w:tcW w:type="dxa" w:w="125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27 oct</w:t>
            </w:r>
          </w:p>
        </w:tc>
        <w:tc>
          <w:tcPr>
            <w:tcW w:type="dxa" w:w="601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Recap del evento, reporte a sponsors y cierre del programa.</w:t>
            </w:r>
          </w:p>
        </w:tc>
        <w:tc>
          <w:tcPr>
            <w:tcW w:type="dxa" w:w="21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Marketing / Finanzas</w:t>
            </w:r>
          </w:p>
        </w:tc>
      </w:tr>
    </w:tbl>
    <w:p>
      <w:pPr>
        <w:spacing w:after="60" w:line="252"/>
        <w:jc w:val="both"/>
      </w:pPr>
      <w:r>
        <w:rPr>
          <w:rFonts w:ascii="Calibri" w:cs="Calibri" w:eastAsia="Calibri" w:hAnsi="Calibri"/>
          <w:i/>
          <w:iCs/>
          <w:color w:val="595959"/>
          <w:sz w:val="16"/>
          <w:szCs w:val="16"/>
        </w:rPr>
        <w:t xml:space="preserve">Nota: las fechas del evento de cierre difieren entre los archivos de planificación consultados (22–24, 24–27 de octubre y 31 de octubre). El cronograma operativo día a día corresponde al bloque del 22 al 24; la fecha definitiva debe confirmarse con la sede antes de publicar las bases.</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6. Organización y responsabilidades</w:t>
      </w:r>
    </w:p>
    <w:p>
      <w:pPr>
        <w:spacing w:after="100" w:line="252"/>
        <w:jc w:val="both"/>
      </w:pPr>
      <w:r>
        <w:rPr>
          <w:rFonts w:ascii="Calibri" w:cs="Calibri" w:eastAsia="Calibri" w:hAnsi="Calibri"/>
          <w:color w:val="000000"/>
          <w:sz w:val="19"/>
          <w:szCs w:val="19"/>
        </w:rPr>
        <w:t xml:space="preserve">El proyecto se ejecuta con la estructura funcional de DSC PUCP. La regla de gobernanza es que cada director es responsable de que las tareas de su área se cumplan en las fechas comprometidas; la Alta Dirección no supervisa tarea por tarea, sino que coordina a los directores y resuelve lo que ninguna área puede destrabar por sí sola. Esto obliga a que el trabajo sea conjunto: ningún evento se sostiene con una sola área.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tblHeader/>
        </w:trPr>
        <w:tc>
          <w:tcPr>
            <w:tcW w:type="dxa" w:w="210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Área</w:t>
            </w:r>
          </w:p>
        </w:tc>
        <w:tc>
          <w:tcPr>
            <w:tcW w:type="dxa" w:w="7260"/>
            <w:shd w:fill="DEE6F1" w:color="auto" w:val="clear"/>
            <w:tcMar>
              <w:top w:type="dxa" w:w="60"/>
              <w:left w:type="dxa" w:w="90"/>
              <w:bottom w:type="dxa" w:w="60"/>
              <w:right w:type="dxa" w:w="90"/>
            </w:tcMar>
          </w:tcPr>
          <w:p>
            <w:pPr>
              <w:spacing w:after="0" w:line="240"/>
              <w:jc w:val="left"/>
            </w:pPr>
            <w:r>
              <w:rPr>
                <w:rFonts w:ascii="Calibri" w:cs="Calibri" w:eastAsia="Calibri" w:hAnsi="Calibri"/>
                <w:b/>
                <w:bCs/>
                <w:color w:val="1F3864"/>
                <w:sz w:val="17"/>
                <w:szCs w:val="17"/>
              </w:rPr>
              <w:t xml:space="preserve">Responsabilidad en el proyecto</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Alta Dirección</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Define prioridades, representa al club ante la universidad y los aliados, y decide sobre cambios de alcance o de fecha.</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Secretaría General</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Articula a las áreas, hace seguimiento a los hitos y previene duplicidades o vacíos entre equipos.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Marketing y Comunidad</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Identidad visual, campañas de difusión, correos masivos, cobertura de los eventos y recap final.</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Relaciones Exteriores</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Captación de sponsors y aliados; convocatoria y confirmación de ponentes, mentores y jurados.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Logística y Eventos</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Reserva de espacios y permisos, materiales, staff del día y ejecución operativa de cada actividad.</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Finanzas y Legalidad</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Presupuesto, ejecución del fondo, control de ingresos y egresos, y validación de acuerdos con sponsors.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Desarrollo e Infraestructura</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Web del programa, plataformas de inscripción y soporte técnico durante los eventos.</w:t>
            </w:r>
          </w:p>
        </w:tc>
      </w:tr>
      <w:tr>
        <w:tc>
          <w:tcPr>
            <w:tcW w:type="dxa" w:w="2100"/>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RR. HH. y Onboarding</w:t>
            </w:r>
          </w:p>
        </w:tc>
        <w:tc>
          <w:tcPr>
            <w:tcW w:type="dxa" w:w="726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Asignación de voluntarios, seguimiento de la participación y reconocimiento de los miembros.</w:t>
            </w:r>
          </w:p>
        </w:tc>
      </w:tr>
    </w:tbl>
    <w:p>
      <w:pPr>
        <w:spacing w:after="80" w:line="252"/>
        <w:jc w:val="both"/>
      </w:pPr>
      <w:r>
        <w:rPr>
          <w:rFonts w:ascii="Calibri" w:cs="Calibri" w:eastAsia="Calibri" w:hAnsi="Calibri"/>
          <w:b/>
          <w:bCs/>
          <w:color w:val="000000"/>
          <w:sz w:val="19"/>
          <w:szCs w:val="19"/>
        </w:rPr>
        <w:t xml:space="preserve">Fidelización del equipo. </w:t>
      </w:r>
      <w:r>
        <w:rPr>
          <w:rFonts w:ascii="Calibri" w:cs="Calibri" w:eastAsia="Calibri" w:hAnsi="Calibri"/>
          <w:color w:val="000000"/>
          <w:sz w:val="19"/>
          <w:szCs w:val="19"/>
        </w:rPr>
        <w:t xml:space="preserve">El programa se sostiene con voluntarios, de modo que retenerlos es una condición del proyecto y no un extra. Los mecanismos previstos son: certificados de participación avalados por la Facultad, visibilidad nominal del staff en las publicaciones y en el material del evento, rotación de roles para que quien quiera exponer o mentorear pueda hacerlo, indumentaria oficial del equipo organizador, y seguimiento de la participación con retroalimentación al cierre de cada actividad.</w:t>
      </w:r>
    </w:p>
    <w:p>
      <w:pPr>
        <w:pStyle w:val="Heading1"/>
        <w:pBdr>
          <w:bottom w:val="single" w:color="DEE6F1" w:sz="6" w:space="2"/>
        </w:pBdr>
        <w:spacing w:after="90" w:before="200"/>
      </w:pPr>
      <w:r>
        <w:rPr>
          <w:rFonts w:ascii="Calibri" w:cs="Calibri" w:eastAsia="Calibri" w:hAnsi="Calibri"/>
          <w:b/>
          <w:bCs/>
          <w:caps/>
          <w:color w:val="1F3864"/>
          <w:sz w:val="22"/>
          <w:szCs w:val="22"/>
        </w:rPr>
        <w:t xml:space="preserve">7. Recursos, criterios de éxito y riesgos</w:t>
      </w:r>
    </w:p>
    <w:p>
      <w:pPr>
        <w:spacing w:after="100" w:line="252"/>
        <w:jc w:val="both"/>
      </w:pPr>
      <w:r>
        <w:rPr>
          <w:rFonts w:ascii="Calibri" w:cs="Calibri" w:eastAsia="Calibri" w:hAnsi="Calibri"/>
          <w:b/>
          <w:bCs/>
          <w:color w:val="000000"/>
          <w:sz w:val="19"/>
          <w:szCs w:val="19"/>
        </w:rPr>
        <w:t xml:space="preserve">Recursos. </w:t>
      </w:r>
      <w:r>
        <w:rPr>
          <w:rFonts w:ascii="Calibri" w:cs="Calibri" w:eastAsia="Calibri" w:hAnsi="Calibri"/>
          <w:color w:val="000000"/>
          <w:sz w:val="19"/>
          <w:szCs w:val="19"/>
        </w:rPr>
        <w:t xml:space="preserve">Presupuesto base de S/ 1 800 del Fondo Concursable (S/ 1 500 en alimentación y S/ 300 en impresiones y decoración), premios en efectivo para los dos primeros puestos, aulas y auditorios de la universidad, sede externa cedida por un aliado para el evento final, y auspicios organizados en tres paquetes de S/ 500, S/ 1 000 y S/ 2 000 que se pagan con visibilidad de marca, stands, ponencias y acceso a la base de talento.</w:t>
      </w:r>
    </w:p>
    <w:p>
      <w:pPr>
        <w:spacing w:after="100" w:line="252"/>
        <w:jc w:val="both"/>
      </w:pPr>
      <w:r>
        <w:rPr>
          <w:rFonts w:ascii="Calibri" w:cs="Calibri" w:eastAsia="Calibri" w:hAnsi="Calibri"/>
          <w:b/>
          <w:bCs/>
          <w:color w:val="000000"/>
          <w:sz w:val="19"/>
          <w:szCs w:val="19"/>
        </w:rPr>
        <w:t xml:space="preserve">Criterios de éxito. </w:t>
      </w:r>
      <w:r>
        <w:rPr>
          <w:rFonts w:ascii="Calibri" w:cs="Calibri" w:eastAsia="Calibri" w:hAnsi="Calibri"/>
          <w:color w:val="000000"/>
          <w:sz w:val="19"/>
          <w:szCs w:val="19"/>
        </w:rPr>
        <w:t xml:space="preserve">Ejecutar la ruta completa de eventos en las fechas comprometidas; alcanzar la meta de auspicios en efectivo antes del cierre de inscripciones; cubrir todos los roles de jurado y mentoría; que los equipos finalistas entreguen un producto desplegado y accesible, no una demostración local; y sostener la satisfacción de los asistentes por encima del nivel registrado en los primeros talleres.</w:t>
      </w:r>
    </w:p>
    <w:p>
      <w:pPr>
        <w:spacing w:after="60" w:line="252"/>
        <w:jc w:val="both"/>
      </w:pPr>
      <w:r>
        <w:rPr>
          <w:rFonts w:ascii="Calibri" w:cs="Calibri" w:eastAsia="Calibri" w:hAnsi="Calibri"/>
          <w:b/>
          <w:bCs/>
          <w:color w:val="000000"/>
          <w:sz w:val="19"/>
          <w:szCs w:val="19"/>
        </w:rPr>
        <w:t xml:space="preserve">Riesgos principales. </w:t>
      </w:r>
      <w:r>
        <w:rPr>
          <w:rFonts w:ascii="Calibri" w:cs="Calibri" w:eastAsia="Calibri" w:hAnsi="Calibri"/>
          <w:color w:val="000000"/>
          <w:sz w:val="19"/>
          <w:szCs w:val="19"/>
        </w:rPr>
        <w:t xml:space="preserve">No alcanzar la meta de auspicios y tener que reducir premios o logística; demoras en la reserva de espacios, cuyo trámite institucional toma varios días hábiles; caída de ponentes o jurados confirmados; superposición del evento final con la carga académica del ciclo; y rotación de voluntarios a mitad del programa.</w:t>
      </w:r>
    </w:p>
    <w:sectPr>
      <w:pgSz w:w="11906" w:h="16838" w:orient="portrait"/>
      <w:pgMar w:top="1008" w:right="1296" w:bottom="863"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2026-08-30T03:44:59.884Z</dcterms:created>
  <dcterms:modified xsi:type="dcterms:W3CDTF">2026-08-30T03:44:59.896Z</dcterms:modified>
</cp:coreProperties>
</file>

<file path=docProps/custom.xml><?xml version="1.0" encoding="utf-8"?>
<Properties xmlns="http://schemas.openxmlformats.org/officeDocument/2006/custom-properties" xmlns:vt="http://schemas.openxmlformats.org/officeDocument/2006/docPropsVTypes"/>
</file>