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4DAA0" w14:textId="77777777" w:rsidR="00465282" w:rsidRPr="00C32391" w:rsidRDefault="00000000">
      <w:pPr>
        <w:jc w:val="center"/>
        <w:rPr>
          <w:b/>
          <w:bCs/>
        </w:rPr>
      </w:pPr>
      <w:r w:rsidRPr="00C32391">
        <w:rPr>
          <w:b/>
          <w:bCs/>
        </w:rPr>
        <w:t>Do Frozen DINOv2 Features Detect Forest Loss in Peru When the Probe Is Trained Only in Pará?</w:t>
      </w:r>
    </w:p>
    <w:p w14:paraId="09B425E3" w14:textId="77777777" w:rsidR="00465282" w:rsidRDefault="00000000">
      <w:pPr>
        <w:jc w:val="center"/>
      </w:pPr>
      <w:r>
        <w:t>Christian Carhuancho, Jorge Chamorro, Jorge Fatama</w:t>
      </w:r>
    </w:p>
    <w:p w14:paraId="34878412" w14:textId="77777777" w:rsidR="00C32391" w:rsidRDefault="00000000">
      <w:pPr>
        <w:jc w:val="center"/>
      </w:pPr>
      <w:r>
        <w:t xml:space="preserve">Pontificia Universidad Católica del Perú, Lima, Peru. </w:t>
      </w:r>
    </w:p>
    <w:p w14:paraId="5F1E2F4F" w14:textId="5ECB339A" w:rsidR="00465282" w:rsidRDefault="00000000">
      <w:pPr>
        <w:jc w:val="center"/>
      </w:pPr>
      <w:r>
        <w:t>Corresponding author: to be designated before submission.</w:t>
      </w:r>
    </w:p>
    <w:p w14:paraId="2409CC3B" w14:textId="77777777" w:rsidR="009C10AA" w:rsidRDefault="009C10AA">
      <w:pPr>
        <w:spacing w:before="100" w:after="40"/>
        <w:rPr>
          <w:b/>
          <w:color w:val="482678"/>
          <w:sz w:val="21"/>
        </w:rPr>
      </w:pPr>
    </w:p>
    <w:p w14:paraId="26ECC7CE" w14:textId="77777777" w:rsidR="00465282" w:rsidRPr="009C10AA" w:rsidRDefault="00000000" w:rsidP="00A32712">
      <w:pPr>
        <w:jc w:val="both"/>
        <w:rPr>
          <w:rFonts w:ascii="Aptos" w:hAnsi="Aptos"/>
          <w:sz w:val="22"/>
        </w:rPr>
      </w:pPr>
      <w:r w:rsidRPr="009C10AA">
        <w:rPr>
          <w:rFonts w:ascii="Aptos" w:hAnsi="Aptos"/>
          <w:b/>
          <w:sz w:val="22"/>
        </w:rPr>
        <w:t>1. INTRODUCTION</w:t>
      </w:r>
    </w:p>
    <w:p w14:paraId="64B9F18A" w14:textId="77777777" w:rsidR="00465282" w:rsidRPr="009C10AA" w:rsidRDefault="00000000" w:rsidP="00A32712">
      <w:pPr>
        <w:jc w:val="both"/>
        <w:rPr>
          <w:rFonts w:ascii="Aptos" w:hAnsi="Aptos"/>
          <w:sz w:val="22"/>
        </w:rPr>
      </w:pPr>
      <w:r>
        <w:t>Forest-loss alerts matter in the Peruvian Amazon, and a detector fitted in one region can fail in another because the sensor, the label, the clearing size, or the landscape has changed. McCallum et al. trained a ResNet-18 on crowd labels from the Brazilian Amazon and, on 100 Sentinel-2 images from 2019 over the Peruvian Amazon, reported 84% agreement with a global annual tree-cover-loss map [1]. Their labels, their reference map, and their 3 km unit are not the protocol below. Domain adaptation for deforestation has remained inside Brazil, on Landsat, between the Amazon and the Cerrado [2]. What is still open is whether a representation trained outside this problem, and then frozen, already carries a forest-loss signal that survives the move from Pará to Peru.</w:t>
      </w:r>
    </w:p>
    <w:p w14:paraId="4C7434D1" w14:textId="77777777" w:rsidR="00465282" w:rsidRDefault="00000000" w:rsidP="00A32712">
      <w:pPr>
        <w:jc w:val="both"/>
        <w:rPr>
          <w:rFonts w:ascii="Aptos" w:hAnsi="Aptos"/>
          <w:sz w:val="22"/>
        </w:rPr>
      </w:pPr>
      <w:r>
        <w:t>This abstract states the question and the protocol. No experiment has been run, and nothing below is a measured result. The poster will test DINOv2 ViT-S/14 [5], frozen, with a linear probe trained only in Pará and applied unchanged to Sentinel-2 patches in Peru. The same patches train EfficientNet-B0 [6]. Both countries use the Hansen Global Forest Change product [3] on Sentinel-2 surface reflectance [4], so a drop in Peru is not a change of label source. Three expectations are fixed before any score is computed. On held-out blocks in Pará, the trained convolutional model is expected to match or exceed the frozen probe. On untouched Peruvian blocks, the frozen probe is expected to drop less. A probe on every transformer block is expected to show whether the loss cue appears before the last block. The poster will also report the failures: cloud, small clearings, and a Hansen loss year that does not match the image date. A false alarm can mark a community that did not clear forest; a miss lets illegal logging pass. Sites will not be published at household resolution, and a Hansen label is tree-cover loss, not a legal finding.</w:t>
      </w:r>
    </w:p>
    <w:p w14:paraId="211B0F2B" w14:textId="77777777" w:rsidR="009C10AA" w:rsidRPr="009C10AA" w:rsidRDefault="009C10AA" w:rsidP="00A32712">
      <w:pPr>
        <w:jc w:val="both"/>
        <w:rPr>
          <w:rFonts w:ascii="Aptos" w:hAnsi="Aptos"/>
          <w:sz w:val="22"/>
        </w:rPr>
      </w:pPr>
    </w:p>
    <w:p w14:paraId="2621A4E9" w14:textId="77777777" w:rsidR="00465282" w:rsidRPr="009C10AA" w:rsidRDefault="00000000" w:rsidP="00A32712">
      <w:pPr>
        <w:jc w:val="both"/>
        <w:rPr>
          <w:rFonts w:ascii="Aptos" w:hAnsi="Aptos"/>
          <w:sz w:val="22"/>
        </w:rPr>
      </w:pPr>
      <w:r w:rsidRPr="009C10AA">
        <w:rPr>
          <w:rFonts w:ascii="Aptos" w:hAnsi="Aptos"/>
          <w:b/>
          <w:sz w:val="22"/>
        </w:rPr>
        <w:t>2. METHODOLOGY</w:t>
      </w:r>
    </w:p>
    <w:p w14:paraId="73C052A3" w14:textId="77777777" w:rsidR="00465282" w:rsidRPr="009C10AA" w:rsidRDefault="00000000" w:rsidP="00A32712">
      <w:pPr>
        <w:jc w:val="both"/>
        <w:rPr>
          <w:rFonts w:ascii="Aptos" w:hAnsi="Aptos"/>
          <w:sz w:val="22"/>
        </w:rPr>
      </w:pPr>
      <w:r>
        <w:t>Two sites are fixed before any test score is read: one in Pará and one in the Peruvian Amazon. The polygons are still open. Sentinel-2 Level-2A patches are kept when the scene-classification layer marks low cloud. Each patch is 224 by 224 pixels at 10 m, so the DINOv2 patch size of 14 divides the image and the footprint is 2.24 km. The label is Hansen v1.13, with one rule in both countries. A patch is positive when loss falls inside the image year window and the lost area exceeds a minimum fraction. The tree-cover threshold, that fraction, and the year tolerance are written in the design log before training and are not retuned after seeing Peru. Hansen is an annual map near 30 m, placed on 10 m imagery, so label noise is part of the error. MultiEarth is not the training label: it covers Pará only, it uses another sensor, and the public links have expired.</w:t>
      </w:r>
    </w:p>
    <w:p w14:paraId="342F28CF" w14:textId="77777777" w:rsidR="00465282" w:rsidRPr="009C10AA" w:rsidRDefault="00000000" w:rsidP="00A32712">
      <w:pPr>
        <w:jc w:val="both"/>
        <w:rPr>
          <w:rFonts w:ascii="Aptos" w:hAnsi="Aptos"/>
          <w:sz w:val="22"/>
        </w:rPr>
      </w:pPr>
      <w:r>
        <w:t>DINOv2 ViT-S/14 stays frozen. A linear probe reads the class token, and the same probe is repeated at each of the twelve blocks. That sweep is the architectural measurement: parameter count, multiply-accumulates, and the block where the loss signal appears. EfficientNet-B0 is trained on the same Pará patches for a short fixed schedule. It has about four million parameters against about twenty-two million, and that gap will be reported. The main input is red, green, and blue. One ablation fits, in Pará only, a 1x1 adapter from extra Sentinel-2 bands into those three channels. Four protocols are declared before measurement: held-out blocks inside Pará; Peruvian blocks never seen by the probe; a short update of the probe and the last transformer blocks on a small Peruvian subset, with the Peruvian test blocks held out; and the stress slices of high cloud, small clearings, and an ambiguous loss year. Geographic blocks keep neighboring patches from crossing the split. The metrics are patch-level ROC AUC and F1. The F1 threshold is chosen on the Pará validation blocks and then frozen. Several seeds are planned. None has been run, which is why this draft stops after the methodology.</w:t>
      </w:r>
    </w:p>
    <w:p w14:paraId="103D4EC4" w14:textId="77777777" w:rsidR="009C10AA" w:rsidRDefault="009C10AA" w:rsidP="00A32712">
      <w:pPr>
        <w:jc w:val="both"/>
        <w:rPr>
          <w:rFonts w:ascii="Aptos" w:hAnsi="Aptos"/>
          <w:b/>
          <w:sz w:val="22"/>
        </w:rPr>
      </w:pPr>
    </w:p>
    <w:p w14:paraId="1B036635" w14:textId="77777777" w:rsidR="009C10AA" w:rsidRDefault="009C10AA" w:rsidP="00A32712">
      <w:pPr>
        <w:jc w:val="both"/>
        <w:rPr>
          <w:rFonts w:ascii="Aptos" w:hAnsi="Aptos"/>
          <w:b/>
          <w:sz w:val="22"/>
        </w:rPr>
      </w:pPr>
    </w:p>
    <w:p w14:paraId="6C74D126" w14:textId="77777777" w:rsidR="009C10AA" w:rsidRDefault="009C10AA" w:rsidP="00A32712">
      <w:pPr>
        <w:jc w:val="both"/>
        <w:rPr>
          <w:rFonts w:ascii="Aptos" w:hAnsi="Aptos"/>
          <w:b/>
          <w:sz w:val="22"/>
        </w:rPr>
      </w:pPr>
    </w:p>
    <w:p w14:paraId="58888D19" w14:textId="77777777" w:rsidR="00465282" w:rsidRPr="009C10AA" w:rsidRDefault="00000000" w:rsidP="00A32712">
      <w:pPr>
        <w:jc w:val="both"/>
        <w:rPr>
          <w:rFonts w:ascii="Aptos" w:hAnsi="Aptos"/>
          <w:sz w:val="22"/>
        </w:rPr>
      </w:pPr>
      <w:r w:rsidRPr="009C10AA">
        <w:rPr>
          <w:rFonts w:ascii="Aptos" w:hAnsi="Aptos"/>
          <w:b/>
          <w:sz w:val="22"/>
        </w:rPr>
        <w:t>REFERENCES</w:t>
      </w:r>
    </w:p>
    <w:p w14:paraId="0999E050" w14:textId="77777777" w:rsidR="00465282" w:rsidRPr="009C10AA" w:rsidRDefault="00000000" w:rsidP="00A32712">
      <w:pPr>
        <w:jc w:val="both"/>
        <w:rPr>
          <w:rFonts w:ascii="Aptos" w:hAnsi="Aptos"/>
          <w:sz w:val="22"/>
        </w:rPr>
      </w:pPr>
      <w:r>
        <w:t>[1] I. McCallum, J. Walker, S. Fritz, et al., "Crowd-driven deep learning tracks Amazon deforestation," Remote Sensing, vol. 15, no. 21, art. 5204, 2023.</w:t>
      </w:r>
    </w:p>
    <w:p w14:paraId="6F3F0393" w14:textId="77777777" w:rsidR="00A32712" w:rsidRDefault="00000000" w:rsidP="00A32712">
      <w:pPr>
        <w:jc w:val="both"/>
        <w:rPr>
          <w:rFonts w:ascii="Aptos" w:hAnsi="Aptos"/>
          <w:sz w:val="22"/>
        </w:rPr>
      </w:pPr>
      <w:r>
        <w:t>[2] P. J. Soto Vega, G. A. O. P. da Costa, M. X. Ortega Adarme, J. D. Bermúdez Castro, and R. Q. Feitosa, "Weakly supervised domain adversarial neural network for deforestation detection in tropical forests," IEEE J. Sel. Topics Appl. Earth Observ. Remote Sens., vol. 16, pp. 10264-10278, 2023.</w:t>
      </w:r>
    </w:p>
    <w:p w14:paraId="5F79062D" w14:textId="77777777" w:rsidR="00465282" w:rsidRPr="009C10AA" w:rsidRDefault="00000000" w:rsidP="00A32712">
      <w:pPr>
        <w:jc w:val="both"/>
        <w:rPr>
          <w:rFonts w:ascii="Aptos" w:hAnsi="Aptos"/>
          <w:sz w:val="22"/>
        </w:rPr>
      </w:pPr>
      <w:r>
        <w:t>[3] M. C. Hansen, P. V. Potapov, R. Moore, et al., "High-resolution global maps of 21st-century forest cover change," Science, vol. 342, no. 6160, pp. 850-853, 2013.</w:t>
      </w:r>
    </w:p>
    <w:p w14:paraId="40EEDC37" w14:textId="77777777" w:rsidR="009C10AA" w:rsidRDefault="009C10AA" w:rsidP="00A32712">
      <w:pPr>
        <w:spacing w:before="100"/>
        <w:jc w:val="both"/>
        <w:rPr>
          <w:rFonts w:ascii="Aptos" w:hAnsi="Aptos"/>
          <w:b/>
          <w:sz w:val="22"/>
        </w:rPr>
      </w:pPr>
    </w:p>
    <w:p w14:paraId="26830B17" w14:textId="77777777" w:rsidR="00C37AC9" w:rsidRDefault="00000000">
      <w:r>
        <w:t>[4] M. Drusch, U. Del Bello, S. Carlier, et al., "Sentinel-2: ESA's optical high-resolution mission for GMES operational services," Remote Sens. Environ., vol. 120, pp. 25-36, 2012.</w:t>
      </w:r>
    </w:p>
    <w:p w14:paraId="0C4D346B" w14:textId="77777777" w:rsidR="00C37AC9" w:rsidRDefault="00000000">
      <w:r>
        <w:t>[5] M. Oquab, T. Darcet, T. Moutakanni, et al., "DINOv2: Learning robust visual features without supervision," Trans. Mach. Learn. Res., 2024.</w:t>
      </w:r>
    </w:p>
    <w:p w14:paraId="08E0B628" w14:textId="77777777" w:rsidR="00C37AC9" w:rsidRDefault="00000000">
      <w:r>
        <w:t>[6] M. Tan and Q. V. Le, "EfficientNet: Rethinking model scaling for convolutional neural networks," in Proc. 36th Int. Conf. Mach. Learn., 2019, pp. 6105-6114.</w:t>
      </w:r>
    </w:p>
    <w:p w14:paraId="2FB8C25F" w14:textId="77777777" w:rsidR="00465282" w:rsidRPr="009C10AA" w:rsidRDefault="00000000" w:rsidP="00A32712">
      <w:pPr>
        <w:spacing w:before="100"/>
        <w:jc w:val="both"/>
        <w:rPr>
          <w:rFonts w:ascii="Aptos" w:hAnsi="Aptos"/>
          <w:sz w:val="22"/>
        </w:rPr>
      </w:pPr>
      <w:r w:rsidRPr="009C10AA">
        <w:rPr>
          <w:rFonts w:ascii="Aptos" w:hAnsi="Aptos"/>
          <w:b/>
          <w:sz w:val="22"/>
        </w:rPr>
        <w:t>SUBMISSION NOTES</w:t>
      </w:r>
    </w:p>
    <w:p w14:paraId="5E0585EF"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Maximum length: 2 pages, including figures, tables, and references.</w:t>
      </w:r>
    </w:p>
    <w:p w14:paraId="14F01059"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Language: English.</w:t>
      </w:r>
    </w:p>
    <w:p w14:paraId="58AFD6BC"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Final submission format: PDF.</w:t>
      </w:r>
    </w:p>
    <w:p w14:paraId="6CCDD12C"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Required filename: Abstract_TitleOfWork.pdf.</w:t>
      </w:r>
    </w:p>
    <w:p w14:paraId="2EDE6DE3"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The extended abstract of accepted contributions may be published on the WAIMLAp 2026 website.</w:t>
      </w:r>
    </w:p>
    <w:p w14:paraId="262A5C55"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 xml:space="preserve">Do not remove the </w:t>
      </w:r>
      <w:proofErr w:type="spellStart"/>
      <w:r w:rsidRPr="009C10AA">
        <w:rPr>
          <w:rFonts w:ascii="Aptos" w:hAnsi="Aptos"/>
          <w:sz w:val="22"/>
        </w:rPr>
        <w:t>WAIMLAp</w:t>
      </w:r>
      <w:proofErr w:type="spellEnd"/>
      <w:r w:rsidRPr="009C10AA">
        <w:rPr>
          <w:rFonts w:ascii="Aptos" w:hAnsi="Aptos"/>
          <w:sz w:val="22"/>
        </w:rPr>
        <w:t>/PUCP heade</w:t>
      </w:r>
      <w:r w:rsidR="009C10AA" w:rsidRPr="009C10AA">
        <w:rPr>
          <w:rFonts w:ascii="Aptos" w:hAnsi="Aptos"/>
          <w:sz w:val="22"/>
        </w:rPr>
        <w:t>r</w:t>
      </w:r>
      <w:r w:rsidRPr="009C10AA">
        <w:rPr>
          <w:rFonts w:ascii="Aptos" w:hAnsi="Aptos"/>
          <w:sz w:val="22"/>
        </w:rPr>
        <w:t>.</w:t>
      </w:r>
    </w:p>
    <w:sectPr w:rsidR="00465282" w:rsidRPr="009C10AA" w:rsidSect="00D13C80">
      <w:headerReference w:type="default" r:id="rId8"/>
      <w:footerReference w:type="default" r:id="rId9"/>
      <w:pgSz w:w="11906" w:h="16838"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F6B60" w14:textId="77777777" w:rsidR="00D13C80" w:rsidRDefault="00D13C80">
      <w:pPr>
        <w:spacing w:after="0"/>
      </w:pPr>
      <w:r>
        <w:separator/>
      </w:r>
    </w:p>
  </w:endnote>
  <w:endnote w:type="continuationSeparator" w:id="0">
    <w:p w14:paraId="601E804B" w14:textId="77777777" w:rsidR="00D13C80" w:rsidRDefault="00D13C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54ECC" w14:textId="77777777" w:rsidR="00465282" w:rsidRDefault="00000000">
    <w:pPr>
      <w:pStyle w:val="Piedepgina"/>
      <w:jc w:val="center"/>
    </w:pPr>
    <w:proofErr w:type="spellStart"/>
    <w:r>
      <w:rPr>
        <w:color w:val="6E6E6E"/>
        <w:sz w:val="15"/>
      </w:rPr>
      <w:t>WAIMLAp</w:t>
    </w:r>
    <w:proofErr w:type="spellEnd"/>
    <w:r>
      <w:rPr>
        <w:color w:val="6E6E6E"/>
        <w:sz w:val="15"/>
      </w:rPr>
      <w:t xml:space="preserve"> </w:t>
    </w:r>
    <w:proofErr w:type="gramStart"/>
    <w:r>
      <w:rPr>
        <w:color w:val="6E6E6E"/>
        <w:sz w:val="15"/>
      </w:rPr>
      <w:t>2026  |</w:t>
    </w:r>
    <w:proofErr w:type="gramEnd"/>
    <w:r>
      <w:rPr>
        <w:color w:val="6E6E6E"/>
        <w:sz w:val="15"/>
      </w:rPr>
      <w:t xml:space="preserve">  November 18–20, 2026  |  Lima, Peru  |  waimlap.org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A92CF" w14:textId="77777777" w:rsidR="00D13C80" w:rsidRDefault="00D13C80">
      <w:pPr>
        <w:spacing w:after="0"/>
      </w:pPr>
      <w:r>
        <w:separator/>
      </w:r>
    </w:p>
  </w:footnote>
  <w:footnote w:type="continuationSeparator" w:id="0">
    <w:p w14:paraId="190B1347" w14:textId="77777777" w:rsidR="00D13C80" w:rsidRDefault="00D13C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544C9" w14:textId="77777777" w:rsidR="009C10AA" w:rsidRDefault="009C10AA" w:rsidP="00A32712">
    <w:pPr>
      <w:pStyle w:val="Encabezado"/>
      <w:ind w:left="3119" w:right="2692"/>
      <w:jc w:val="center"/>
    </w:pPr>
    <w:r>
      <w:rPr>
        <w:noProof/>
      </w:rPr>
      <w:drawing>
        <wp:anchor distT="0" distB="0" distL="114300" distR="114300" simplePos="0" relativeHeight="251657216" behindDoc="0" locked="0" layoutInCell="1" allowOverlap="1" wp14:anchorId="274DC775" wp14:editId="6DE99FA1">
          <wp:simplePos x="0" y="0"/>
          <wp:positionH relativeFrom="column">
            <wp:posOffset>4855049</wp:posOffset>
          </wp:positionH>
          <wp:positionV relativeFrom="paragraph">
            <wp:posOffset>29210</wp:posOffset>
          </wp:positionV>
          <wp:extent cx="1104265" cy="323850"/>
          <wp:effectExtent l="0" t="0" r="635" b="0"/>
          <wp:wrapSquare wrapText="bothSides"/>
          <wp:docPr id="288563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265" cy="3238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369DD24F" wp14:editId="5F99ED0D">
          <wp:simplePos x="0" y="0"/>
          <wp:positionH relativeFrom="column">
            <wp:posOffset>3175</wp:posOffset>
          </wp:positionH>
          <wp:positionV relativeFrom="paragraph">
            <wp:posOffset>1905</wp:posOffset>
          </wp:positionV>
          <wp:extent cx="1798955" cy="310515"/>
          <wp:effectExtent l="0" t="0" r="0" b="0"/>
          <wp:wrapSquare wrapText="bothSides"/>
          <wp:docPr id="192319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r="30573"/>
                  <a:stretch>
                    <a:fillRect/>
                  </a:stretch>
                </pic:blipFill>
                <pic:spPr bwMode="auto">
                  <a:xfrm>
                    <a:off x="0" y="0"/>
                    <a:ext cx="1798955" cy="310515"/>
                  </a:xfrm>
                  <a:prstGeom prst="rect">
                    <a:avLst/>
                  </a:prstGeom>
                  <a:noFill/>
                  <a:ln>
                    <a:noFill/>
                  </a:ln>
                  <a:extLst>
                    <a:ext uri="{53640926-AAD7-44D8-BBD7-CCE9431645EC}">
                      <a14:shadowObscured xmlns:a14="http://schemas.microsoft.com/office/drawing/2010/main"/>
                    </a:ext>
                  </a:extLst>
                </pic:spPr>
              </pic:pic>
            </a:graphicData>
          </a:graphic>
        </wp:anchor>
      </w:drawing>
    </w:r>
    <w:r>
      <w:rPr>
        <w:b/>
        <w:color w:val="482678"/>
        <w:sz w:val="17"/>
      </w:rPr>
      <w:t>Workshop on Artificial Intelligence</w:t>
    </w:r>
    <w:r w:rsidR="00A32712">
      <w:rPr>
        <w:b/>
        <w:color w:val="482678"/>
        <w:sz w:val="17"/>
      </w:rPr>
      <w:t xml:space="preserve"> </w:t>
    </w:r>
    <w:r>
      <w:rPr>
        <w:b/>
        <w:color w:val="482678"/>
        <w:sz w:val="17"/>
      </w:rPr>
      <w:t>and Machine Learning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8827041">
    <w:abstractNumId w:val="8"/>
  </w:num>
  <w:num w:numId="2" w16cid:durableId="1899170088">
    <w:abstractNumId w:val="6"/>
  </w:num>
  <w:num w:numId="3" w16cid:durableId="1270309378">
    <w:abstractNumId w:val="5"/>
  </w:num>
  <w:num w:numId="4" w16cid:durableId="1639147181">
    <w:abstractNumId w:val="4"/>
  </w:num>
  <w:num w:numId="5" w16cid:durableId="1569733001">
    <w:abstractNumId w:val="7"/>
  </w:num>
  <w:num w:numId="6" w16cid:durableId="1434085613">
    <w:abstractNumId w:val="3"/>
  </w:num>
  <w:num w:numId="7" w16cid:durableId="418450632">
    <w:abstractNumId w:val="2"/>
  </w:num>
  <w:num w:numId="8" w16cid:durableId="217860902">
    <w:abstractNumId w:val="1"/>
  </w:num>
  <w:num w:numId="9" w16cid:durableId="100690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6D"/>
    <w:rsid w:val="0029639D"/>
    <w:rsid w:val="00326F90"/>
    <w:rsid w:val="00465282"/>
    <w:rsid w:val="009C10AA"/>
    <w:rsid w:val="00A32712"/>
    <w:rsid w:val="00AA1482"/>
    <w:rsid w:val="00AA1D8D"/>
    <w:rsid w:val="00B47730"/>
    <w:rsid w:val="00C32391"/>
    <w:rsid w:val="00C37AC9"/>
    <w:rsid w:val="00CB0664"/>
    <w:rsid w:val="00D13C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25B0E8"/>
  <w14:defaultImageDpi w14:val="300"/>
  <w15:docId w15:val="{1796AA12-5C5F-4596-A302-646CD49E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878</Words>
  <Characters>4829</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Fatama Vera</cp:lastModifiedBy>
  <cp:revision>3</cp:revision>
  <dcterms:created xsi:type="dcterms:W3CDTF">2013-12-23T23:15:00Z</dcterms:created>
  <dcterms:modified xsi:type="dcterms:W3CDTF">2026-10-14T08:20:00Z</dcterms:modified>
  <cp:category/>
</cp:coreProperties>
</file>