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Contexto: Le consulté a Cursor sobre un borrador del abstract y aparte de generar el documento puso esto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Antes de enviarlo al docente conviene cerrar, en el grupo, cuatro huecos que el texto deja abiertos a propósito: los polígonos de Pará y de la Amazonía peruana, el umbral de cobertura arbórea, la fracción mínima de pérdida y la tolerancia de año, y el correo del autor de correspondencia. El registro del póster cierra el 16 de octubre. El PDF final, si lo aprueban, se llamaría </w:t>
      </w:r>
      <w:r w:rsidDel="00000000" w:rsidR="00000000" w:rsidRPr="00000000">
        <w:rPr>
          <w:rFonts w:ascii="Roboto Mono" w:cs="Roboto Mono" w:eastAsia="Roboto Mono" w:hAnsi="Roboto Mono"/>
          <w:color w:val="188038"/>
          <w:rtl w:val="0"/>
        </w:rPr>
        <w:t xml:space="preserve">Abstract_TitleOfWork.pdf</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sz w:val="21"/>
          <w:szCs w:val="21"/>
          <w:rtl w:val="0"/>
        </w:rPr>
        <w:t xml:space="preserve">¿Cómo debería abarcar estos puntos pendientes? Exceptúa el autor de correspondencia, eso se colocará manualmente.</w:t>
      </w:r>
      <w:r w:rsidDel="00000000" w:rsidR="00000000" w:rsidRPr="00000000">
        <w:rPr>
          <w:b w:val="1"/>
          <w:bCs w:val="1"/>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Esos tres huecos se pueden cerrar antes de medir, con una regla escrita y sin esperar resultados. Reviso qué ya quedó fijado en la propuesta y qué convención de Hansen conviene dejar explícita.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Esos tres puntos se cierran con una sola regla, escrita antes de ver cualquier puntaje y aplicada igual en Pará y en Perú. El recuadro se puede mover una vez si no alcanza el número de parches; el umbral, la fracción y el año no se mueven después de mirar Perú.</w:t>
      </w:r>
    </w:p>
    <w:p w:rsidR="00000000" w:rsidDel="00000000" w:rsidP="00000000" w:rsidRDefault="00000000" w:rsidRPr="00000000" w14:paraId="0000000A">
      <w:pPr>
        <w:spacing w:after="240" w:before="240" w:lineRule="auto"/>
        <w:rPr/>
      </w:pPr>
      <w:r w:rsidDel="00000000" w:rsidR="00000000" w:rsidRPr="00000000">
        <w:rPr>
          <w:rtl w:val="0"/>
        </w:rPr>
        <w:t xml:space="preserve">Polígonos. Parte de dos ventanas de 0,5° × 0,5° (unos 55 km de lado). En Pará, la de partida es 6,5°S–7,0°S y 52,0°O–51,5°O, en el frente de São Félix do Xingu. En Perú, 12,4°S–12,9°S y 70,1°O–69,6°O, en el corredor de la Interoceánica, en Madre de Dios. La primera tiene clareos grandes de frontera agropecuaria; la segunda, clareos más chicos y minería. Esa diferencia es el cambio de dominio. Dentro de cada ventana, parte el terreno en bloques de 5 km y no dejes que un parche cruce de bloque. En Pará, los bloques van a entrenamiento, validación y prueba. En Perú, todos quedan fuera hasta la prueba; un subconjunto pequeño, sorteado antes de medir, sirve solo para la adaptación corta. Acepta la ventana si, con la regla de abajo, hay al menos 200 parches positivos y 200 negativos. Si no llega, desplázala una sola vez dentro del mismo departamento, anota el desplazamiento y detente. El conteo usa la etiqueta de Hansen, no el modelo.</w:t>
      </w:r>
    </w:p>
    <w:p w:rsidR="00000000" w:rsidDel="00000000" w:rsidP="00000000" w:rsidRDefault="00000000" w:rsidRPr="00000000" w14:paraId="0000000B">
      <w:pPr>
        <w:spacing w:after="240" w:before="240" w:lineRule="auto"/>
        <w:rPr/>
      </w:pPr>
      <w:r w:rsidDel="00000000" w:rsidR="00000000" w:rsidRPr="00000000">
        <w:rPr>
          <w:rtl w:val="0"/>
        </w:rPr>
        <w:t xml:space="preserve">Cobertura arbórea. Bosque es </w:t>
      </w:r>
      <w:r w:rsidDel="00000000" w:rsidR="00000000" w:rsidRPr="00000000">
        <w:rPr>
          <w:rFonts w:ascii="Roboto Mono" w:cs="Roboto Mono" w:eastAsia="Roboto Mono" w:hAnsi="Roboto Mono"/>
          <w:color w:val="188038"/>
          <w:rtl w:val="0"/>
        </w:rPr>
        <w:t xml:space="preserve">treecover2000</w:t>
      </w:r>
      <w:r w:rsidDel="00000000" w:rsidR="00000000" w:rsidRPr="00000000">
        <w:rPr>
          <w:rFonts w:ascii="Arial Unicode MS" w:cs="Arial Unicode MS" w:eastAsia="Arial Unicode MS" w:hAnsi="Arial Unicode MS"/>
          <w:rtl w:val="0"/>
        </w:rPr>
        <w:t xml:space="preserve"> ≥ 30 %. Es el umbral con el que el Global Forest Review de WRI publica la pérdida de cobertura. En la Amazonía, Gasparini y coautores mostraron que 80 % se acerca más al bosque de PRODES, porque 30 % también marca vegetación abierta. Por eso 30 % queda como regla principal, y 50 % y 80 % se recalculan al final, con los mismos recuadros, solo como sensibilidad. No reemplazan a la regla principal aunque cambien el ranking.</w:t>
      </w:r>
    </w:p>
    <w:p w:rsidR="00000000" w:rsidDel="00000000" w:rsidP="00000000" w:rsidRDefault="00000000" w:rsidRPr="00000000" w14:paraId="0000000C">
      <w:pPr>
        <w:spacing w:after="240" w:before="240" w:lineRule="auto"/>
        <w:rPr/>
      </w:pPr>
      <w:r w:rsidDel="00000000" w:rsidR="00000000" w:rsidRPr="00000000">
        <w:rPr>
          <w:rtl w:val="0"/>
        </w:rPr>
        <w:t xml:space="preserve">Fracción mínima. El parche mide 2240 m de lado, unas 502 ha. Positivo de la métrica principal: 6,25 ha o más de bosque perdido en el año de la imagen, el mínimo que mapea PRODES, unas 25 píxeles de lado a 10 m. Negativo: menos de 1 ha perdida en ese año y, además, al menos la mitad del parche era bosque en 2000. Así un río o una ciudad no entran como “sin pérdida”. La banda de 1 a 6,25 ha no entrena ni entra en la métrica principal; es el estrés de clareo pequeño y se reporta aparte.</w:t>
      </w:r>
    </w:p>
    <w:p w:rsidR="00000000" w:rsidDel="00000000" w:rsidP="00000000" w:rsidRDefault="00000000" w:rsidRPr="00000000" w14:paraId="0000000D">
      <w:pPr>
        <w:spacing w:after="240" w:before="240" w:lineRule="auto"/>
        <w:rPr/>
      </w:pPr>
      <w:r w:rsidDel="00000000" w:rsidR="00000000" w:rsidRPr="00000000">
        <w:rPr>
          <w:rtl w:val="0"/>
        </w:rPr>
        <w:t xml:space="preserve">Año. Un compuesto mediano del 1 de junio al 30 de septiembre, en 2022, 2023 y 2024, con píxeles despejados según la capa de clasificación de escena. La estación seca coincide en los dos sitios y Sentinel-2 L2A ya está armonizado en esos años. La pérdida válida es </w:t>
      </w:r>
      <w:r w:rsidDel="00000000" w:rsidR="00000000" w:rsidRPr="00000000">
        <w:rPr>
          <w:rFonts w:ascii="Roboto Mono" w:cs="Roboto Mono" w:eastAsia="Roboto Mono" w:hAnsi="Roboto Mono"/>
          <w:color w:val="188038"/>
          <w:rtl w:val="0"/>
        </w:rPr>
        <w:t xml:space="preserve">lossyear</w:t>
      </w:r>
      <w:r w:rsidDel="00000000" w:rsidR="00000000" w:rsidRPr="00000000">
        <w:rPr>
          <w:rtl w:val="0"/>
        </w:rPr>
        <w:t xml:space="preserve"> igual al año del compuesto menos 2000: 22, 23 o 24. El año anterior y el siguiente no entran en esa etiqueta. Van al estrés de año ambiguo, porque Hansen fecha la pérdida por año y una imagen de un solo día no distingue el borde del calendario.</w:t>
      </w:r>
    </w:p>
    <w:p w:rsidR="00000000" w:rsidDel="00000000" w:rsidP="00000000" w:rsidRDefault="00000000" w:rsidRPr="00000000" w14:paraId="0000000E">
      <w:pPr>
        <w:spacing w:after="240" w:before="240" w:lineRule="auto"/>
        <w:rPr/>
      </w:pPr>
      <w:r w:rsidDel="00000000" w:rsidR="00000000" w:rsidRPr="00000000">
        <w:rPr>
          <w:rtl w:val="0"/>
        </w:rPr>
        <w:t xml:space="preserve">En el abstract, el párrafo de sitios quedaría así:</w:t>
      </w:r>
    </w:p>
    <w:p w:rsidR="00000000" w:rsidDel="00000000" w:rsidP="00000000" w:rsidRDefault="00000000" w:rsidRPr="00000000" w14:paraId="0000000F">
      <w:pPr>
        <w:spacing w:after="240" w:before="240" w:lineRule="auto"/>
        <w:rPr/>
      </w:pPr>
      <w:r w:rsidDel="00000000" w:rsidR="00000000" w:rsidRPr="00000000">
        <w:rPr>
          <w:rtl w:val="0"/>
        </w:rPr>
        <w:t xml:space="preserve">Two sites are fixed before any score is read. The starting windows are 6.5°S–7.0°S, 52.0°W–51.5°W in Pará and 12.4°S–12.9°S, 70.1°W–69.6°W in Madre de Dios. Each window may be shifted once inside the same department if the locked label yields fewer than 200 positive and 200 negative patches. The shift is recorded and is not chosen from model scores. Land is split into 5 km blocks. Pará blocks supply training, validation, and the in-domain test. Peruvian blocks stay out until the zero-shot test, except a small subset drawn in advance for the short adaptation.</w:t>
      </w:r>
    </w:p>
    <w:p w:rsidR="00000000" w:rsidDel="00000000" w:rsidP="00000000" w:rsidRDefault="00000000" w:rsidRPr="00000000" w14:paraId="00000010">
      <w:pPr>
        <w:spacing w:after="240" w:before="240" w:lineRule="auto"/>
        <w:rPr/>
      </w:pPr>
      <w:r w:rsidDel="00000000" w:rsidR="00000000" w:rsidRPr="00000000">
        <w:rPr>
          <w:rtl w:val="0"/>
        </w:rPr>
        <w:t xml:space="preserve">Y el de la etiqueta, así:</w:t>
      </w:r>
    </w:p>
    <w:p w:rsidR="00000000" w:rsidDel="00000000" w:rsidP="00000000" w:rsidRDefault="00000000" w:rsidRPr="00000000" w14:paraId="00000011">
      <w:pPr>
        <w:spacing w:after="240" w:before="240" w:lineRule="auto"/>
        <w:rPr/>
      </w:pPr>
      <w:r w:rsidDel="00000000" w:rsidR="00000000" w:rsidRPr="00000000">
        <w:rPr>
          <w:rtl w:val="0"/>
        </w:rPr>
        <w:t xml:space="preserve">Forest is treecover2000 of at least 30 percent, the threshold used by the Global Forest Review. A patch of about 502 ha is positive when lost forest in the image year covers at least 6.25 ha, and negative when that area is under 1 ha and at least half the patch was forest in 2000. The band from 1 to 6.25 ha is the small-clearing stress and is kept out of the main metric. Imagery is a June–September median composite for 2022, 2023, and 2024. Loss counts only when lossyear equals that calendar year minus 2000. The neighboring years are the ambiguous-year stress. Thresholds of 50 and 80 percent are reported later as a sensitivity and do not replace the 30 percent rule.</w:t>
      </w:r>
    </w:p>
    <w:p w:rsidR="00000000" w:rsidDel="00000000" w:rsidP="00000000" w:rsidRDefault="00000000" w:rsidRPr="00000000" w14:paraId="00000012">
      <w:pPr>
        <w:spacing w:after="240" w:before="240" w:lineRule="auto"/>
        <w:rPr/>
      </w:pPr>
      <w:r w:rsidDel="00000000" w:rsidR="00000000" w:rsidRPr="00000000">
        <w:rPr>
          <w:rtl w:val="0"/>
        </w:rPr>
        <w:t xml:space="preserve">Si el grupo acepta este paquete, lo incorporo al documento.</w:t>
      </w:r>
    </w:p>
    <w:p w:rsidR="00000000" w:rsidDel="00000000" w:rsidP="00000000" w:rsidRDefault="00000000" w:rsidRPr="00000000" w14:paraId="00000013">
      <w:pPr>
        <w:rPr/>
      </w:pPr>
      <w:r w:rsidDel="00000000" w:rsidR="00000000" w:rsidRPr="00000000">
        <w:rPr>
          <w:b w:val="1"/>
          <w:bCs w:val="1"/>
          <w:rtl w:val="0"/>
        </w:rPr>
        <w:t xml:space="preserve">Asume que acepta</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La regla aceptada ya está en la metodología de </w:t>
      </w:r>
      <w:r w:rsidDel="00000000" w:rsidR="00000000" w:rsidRPr="00000000">
        <w:rPr>
          <w:rFonts w:ascii="Roboto Mono" w:cs="Roboto Mono" w:eastAsia="Roboto Mono" w:hAnsi="Roboto Mono"/>
          <w:color w:val="188038"/>
          <w:rtl w:val="0"/>
        </w:rPr>
        <w:t xml:space="preserve">Abstract_FrozenDINOv2_ForestLoss_Para_Peru.docx</w:t>
      </w:r>
      <w:r w:rsidDel="00000000" w:rsidR="00000000" w:rsidRPr="00000000">
        <w:rPr>
          <w:rtl w:val="0"/>
        </w:rPr>
        <w:t xml:space="preserve">. El archivo sigue en dos páginas y la línea del autor de correspondencia quedó sin tocar.</w:t>
      </w:r>
    </w:p>
    <w:p w:rsidR="00000000" w:rsidDel="00000000" w:rsidP="00000000" w:rsidRDefault="00000000" w:rsidRPr="00000000" w14:paraId="00000015">
      <w:pPr>
        <w:spacing w:after="240" w:before="240" w:lineRule="auto"/>
        <w:rPr/>
      </w:pPr>
      <w:r w:rsidDel="00000000" w:rsidR="00000000" w:rsidRPr="00000000">
        <w:rPr>
          <w:rtl w:val="0"/>
        </w:rPr>
        <w:t xml:space="preserve">Quedó fijado así:</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Ventanas de partida: 6,5°S–7,0°S, 52,0°O–51,5°O en Pará, en el frente de São Félix do Xingu, y 12,4°S–12,9°S, 70,1°O–69,6°O en Madre de Dios. Cada una puede desplazarse una sola vez, dentro del mismo departamento, si con esta etiqueta hay menos de 200 parches positivos o menos de 200 negativos. El desplazamiento se anota y no se elige con el modelo.</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Bloques de 5 km. Pará alimenta entrenamiento, validación y la prueba interna. Perú queda fuera hasta la prueba sin reentrenamiento, salvo un subconjunto sorteado de antemano para la adaptación corta.</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Bosque: </w:t>
      </w:r>
      <w:r w:rsidDel="00000000" w:rsidR="00000000" w:rsidRPr="00000000">
        <w:rPr>
          <w:rFonts w:ascii="Roboto Mono" w:cs="Roboto Mono" w:eastAsia="Roboto Mono" w:hAnsi="Roboto Mono"/>
          <w:color w:val="188038"/>
          <w:rtl w:val="0"/>
        </w:rPr>
        <w:t xml:space="preserve">treecover2000</w:t>
      </w:r>
      <w:r w:rsidDel="00000000" w:rsidR="00000000" w:rsidRPr="00000000">
        <w:rPr>
          <w:rFonts w:ascii="Arial Unicode MS" w:cs="Arial Unicode MS" w:eastAsia="Arial Unicode MS" w:hAnsi="Arial Unicode MS"/>
          <w:rtl w:val="0"/>
        </w:rPr>
        <w:t xml:space="preserve"> ≥ 30 %, el valor por defecto del Global Forest Review. Los umbrales de 50 % y 80 % se reportan después como sensibilidad, porque 80 % se acerca más al bosque de PRODES en la Amazonía [7], y no sustituyen la regla de 30 %.</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Etiqueta del parche (unas 502 ha): positivo con al menos 6,25 ha perdidas en el año del compuesto; negativo con menos de 1 ha y al menos la mitad del parche en bosque en 2000. La banda de 1 a 6,25 ha es el estrés de clareo pequeño y no entra en la métrica principal.</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Imagen: mediana de junio a septiembre, píxeles despejados de Sentinel-2 L2A, años 2022, 2023 y 2024. La pérdida cuenta solo si </w:t>
      </w:r>
      <w:r w:rsidDel="00000000" w:rsidR="00000000" w:rsidRPr="00000000">
        <w:rPr>
          <w:rFonts w:ascii="Roboto Mono" w:cs="Roboto Mono" w:eastAsia="Roboto Mono" w:hAnsi="Roboto Mono"/>
          <w:color w:val="188038"/>
          <w:rtl w:val="0"/>
        </w:rPr>
        <w:t xml:space="preserve">lossyear</w:t>
      </w:r>
      <w:r w:rsidDel="00000000" w:rsidR="00000000" w:rsidRPr="00000000">
        <w:rPr>
          <w:rtl w:val="0"/>
        </w:rPr>
        <w:t xml:space="preserve"> es el año del compuesto menos 2000. El año vecino es el estrés de año ambiguo. Los parches que no forman ese compuesto despejado son el estrés de nube alta.</w:t>
      </w:r>
    </w:p>
    <w:p w:rsidR="00000000" w:rsidDel="00000000" w:rsidP="00000000" w:rsidRDefault="00000000" w:rsidRPr="00000000" w14:paraId="0000001B">
      <w:pPr>
        <w:spacing w:after="240" w:before="240" w:lineRule="auto"/>
        <w:rPr/>
      </w:pPr>
      <w:r w:rsidDel="00000000" w:rsidR="00000000" w:rsidRPr="00000000">
        <w:rPr>
          <w:rtl w:val="0"/>
        </w:rPr>
        <w:t xml:space="preserve">La misma regla vale en los dos países y no se reajusta después de ver Perú. Las citas quedaron numeradas en el orden en que aparecen, y Gasparini et al. (2019) entró como referencia [7].</w:t>
      </w:r>
    </w:p>
    <w:p w:rsidR="00000000" w:rsidDel="00000000" w:rsidP="00000000" w:rsidRDefault="00000000" w:rsidRPr="00000000" w14:paraId="0000001C">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