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323232"/>
          <w:sz w:val="30"/>
          <w:szCs w:val="30"/>
          <w:rtl w:val="0"/>
        </w:rPr>
        <w:t xml:space="preserve">Does self-supervised pretraining help detect deforestation in a new country? Transferring frozen DINOv3 vs. a supervised U-Net from Brazil to the Peruvian Amazon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1"/>
          <w:szCs w:val="21"/>
          <w:rtl w:val="0"/>
        </w:rPr>
        <w:t xml:space="preserve">Christian Carhuancho¹, Jorge Chamorro¹, Jorge Fatama¹</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a5a5a"/>
          <w:sz w:val="17"/>
          <w:szCs w:val="17"/>
          <w:rtl w:val="0"/>
        </w:rPr>
        <w:t xml:space="preserve">¹Pontificia Universidad Católica del Perú, Lima, Peru</w:t>
        <w:br w:type="textWrapping"/>
        <w:t xml:space="preserve">Corresponding author: a20172665@pucp.edu.pe</w:t>
      </w:r>
      <w:r w:rsidDel="00000000" w:rsidR="00000000" w:rsidRPr="00000000">
        <w:rPr>
          <w:rtl w:val="0"/>
        </w:rPr>
      </w:r>
    </w:p>
    <w:p w:rsidR="00000000" w:rsidDel="00000000" w:rsidP="00000000" w:rsidRDefault="00000000" w:rsidRPr="00000000" w14:paraId="00000004">
      <w:pPr>
        <w:spacing w:after="40" w:before="100" w:lineRule="auto"/>
        <w:rPr>
          <w:b w:val="1"/>
          <w:bCs w:val="1"/>
          <w:color w:val="482678"/>
          <w:sz w:val="21"/>
          <w:szCs w:val="21"/>
        </w:rPr>
      </w:pPr>
      <w:r w:rsidDel="00000000" w:rsidR="00000000" w:rsidRPr="00000000">
        <w:rPr>
          <w:rtl w:val="0"/>
        </w:rPr>
      </w:r>
    </w:p>
    <w:p w:rsidR="00000000" w:rsidDel="00000000" w:rsidP="00000000" w:rsidRDefault="00000000" w:rsidRPr="00000000" w14:paraId="00000005">
      <w:pPr>
        <w:jc w:val="both"/>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1. INTRODUCTION</w:t>
      </w:r>
      <w:r w:rsidDel="00000000" w:rsidR="00000000" w:rsidRPr="00000000">
        <w:rPr>
          <w:rtl w:val="0"/>
        </w:rPr>
      </w:r>
    </w:p>
    <w:p w:rsidR="00000000" w:rsidDel="00000000" w:rsidP="00000000" w:rsidRDefault="00000000" w:rsidRPr="00000000" w14:paraId="00000006">
      <w:pPr>
        <w:spacing w:line="276" w:lineRule="auto"/>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The detection and monitoring of Amazonian deforestation is a critical environmental challenge that requires scalable and generalizable remote sensing solutions. The primary objective of this work is to detect Amazonian deforestation using Sentinel-2 satellite imagery by training a model in Brazil and evaluating its performance in Peru using few-shot and short fine-tuning techniques. The contribution explores the cross-regional transferability of advanced foundational vision models (DINOv3) to identify deforestation across distinct ecological and geographical domains without requiring extensive local retraining data. This research is highly relevant to the broader artificial intelligence and machine learning applications community, as it addresses key challenges in model generalization and practical deployment for critical environmental monitoring tasks.</w:t>
      </w:r>
    </w:p>
    <w:p w:rsidR="00000000" w:rsidDel="00000000" w:rsidP="00000000" w:rsidRDefault="00000000" w:rsidRPr="00000000" w14:paraId="00000007">
      <w:pPr>
        <w:jc w:val="both"/>
        <w:rPr>
          <w:rFonts w:ascii="Aptos" w:cs="Aptos" w:eastAsia="Aptos" w:hAnsi="Aptos"/>
          <w:sz w:val="22"/>
          <w:szCs w:val="22"/>
        </w:rPr>
      </w:pPr>
      <w:r w:rsidDel="00000000" w:rsidR="00000000" w:rsidRPr="00000000">
        <w:rPr>
          <w:rtl w:val="0"/>
        </w:rPr>
      </w:r>
    </w:p>
    <w:p w:rsidR="00000000" w:rsidDel="00000000" w:rsidP="00000000" w:rsidRDefault="00000000" w:rsidRPr="00000000" w14:paraId="00000008">
      <w:pPr>
        <w:jc w:val="both"/>
        <w:rPr>
          <w:rFonts w:ascii="Aptos" w:cs="Aptos" w:eastAsia="Aptos" w:hAnsi="Aptos"/>
          <w:sz w:val="22"/>
          <w:szCs w:val="22"/>
        </w:rPr>
      </w:pPr>
      <w:r w:rsidDel="00000000" w:rsidR="00000000" w:rsidRPr="00000000">
        <w:rPr>
          <w:rFonts w:ascii="Aptos" w:cs="Aptos" w:eastAsia="Aptos" w:hAnsi="Aptos"/>
          <w:b w:val="1"/>
          <w:bCs w:val="1"/>
          <w:sz w:val="22"/>
          <w:szCs w:val="22"/>
          <w:rtl w:val="0"/>
        </w:rPr>
        <w:t xml:space="preserve">2. METHODOLOGY</w:t>
      </w:r>
      <w:r w:rsidDel="00000000" w:rsidR="00000000" w:rsidRPr="00000000">
        <w:rPr>
          <w:rtl w:val="0"/>
        </w:rPr>
      </w:r>
    </w:p>
    <w:p w:rsidR="00000000" w:rsidDel="00000000" w:rsidP="00000000" w:rsidRDefault="00000000" w:rsidRPr="00000000" w14:paraId="00000009">
      <w:pPr>
        <w:spacing w:line="276" w:lineRule="auto"/>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The experimental design relies on cross-regional training and evaluation utilizing high-resolution satellite imagery and foundational vision models. The primary and sole source of training data is the MultiEarth 2023 dataset, which covers an approximately 9,500 km² region in Pará, Brazil. This dataset provides Sentinel-2 imagery aligned with deforestation masks derived from 3.7 m Planet mosaics, capturing data between 2018 and 2021.</w:t>
      </w:r>
    </w:p>
    <w:p w:rsidR="00000000" w:rsidDel="00000000" w:rsidP="00000000" w:rsidRDefault="00000000" w:rsidRPr="00000000" w14:paraId="0000000A">
      <w:pPr>
        <w:spacing w:line="276" w:lineRule="auto"/>
        <w:jc w:val="both"/>
        <w:rPr>
          <w:rFonts w:ascii="Aptos" w:cs="Aptos" w:eastAsia="Aptos" w:hAnsi="Aptos"/>
          <w:sz w:val="22"/>
          <w:szCs w:val="22"/>
        </w:rPr>
      </w:pPr>
      <w:r w:rsidDel="00000000" w:rsidR="00000000" w:rsidRPr="00000000">
        <w:rPr>
          <w:rFonts w:ascii="Aptos" w:cs="Aptos" w:eastAsia="Aptos" w:hAnsi="Aptos"/>
          <w:sz w:val="22"/>
          <w:szCs w:val="22"/>
          <w:rtl w:val="0"/>
        </w:rPr>
        <w:t xml:space="preserve">The implementation begins by extracting Sentinel-2 patches of 256x256 pixels alongside their corresponding deforestation masks. To process this data efficiently and maintain computational viability, the core model architecture employs a frozen DINOv2 or DINOv3 backbone for feature extraction, training only a lightweight head. An initial evaluation baseline is established by training the model on the Brazilian dataset and reporting F1 and IoU metrics on a partition of the Pará region, which allows for direct comparison with existing benchmarks. Following this baseline validation, the trained model is frozen and deployed for cross-domain evaluation in Peru under a strict few-shot setting.</w:t>
      </w:r>
    </w:p>
    <w:sectPr>
      <w:headerReference r:id="rId7" w:type="default"/>
      <w:footerReference r:id="rId8" w:type="default"/>
      <w:pgSz w:h="16838" w:w="11906" w:orient="portrait"/>
      <w:pgMar w:bottom="1134" w:top="1134" w:left="1418" w:right="1418" w:header="340" w:footer="3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6e6e6e"/>
        <w:sz w:val="15"/>
        <w:szCs w:val="15"/>
        <w:u w:val="none"/>
        <w:shd w:fill="auto" w:val="clear"/>
        <w:vertAlign w:val="baseline"/>
        <w:rtl w:val="0"/>
      </w:rPr>
      <w:t xml:space="preserve">WAIMLAp 2026  |  November 18–20, 2026  |  Lima, Peru  |  waimlap.org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3119" w:right="2692"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1"/>
        <w:bCs w:val="1"/>
        <w:i w:val="0"/>
        <w:iCs w:val="0"/>
        <w:smallCaps w:val="0"/>
        <w:strike w:val="0"/>
        <w:color w:val="482678"/>
        <w:sz w:val="17"/>
        <w:szCs w:val="17"/>
        <w:u w:val="none"/>
        <w:shd w:fill="auto" w:val="clear"/>
        <w:vertAlign w:val="baseline"/>
        <w:rtl w:val="0"/>
      </w:rPr>
      <w:t xml:space="preserve">Workshop on Artificial Intelligence and Machine Learning Applications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4855049</wp:posOffset>
          </wp:positionH>
          <wp:positionV relativeFrom="paragraph">
            <wp:posOffset>29209</wp:posOffset>
          </wp:positionV>
          <wp:extent cx="1104265" cy="323850"/>
          <wp:effectExtent b="0" l="0" r="0" t="0"/>
          <wp:wrapSquare wrapText="bothSides" distB="0" distT="0" distL="114300" distR="114300"/>
          <wp:docPr id="192319248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04265" cy="3238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3176</wp:posOffset>
          </wp:positionH>
          <wp:positionV relativeFrom="paragraph">
            <wp:posOffset>1905</wp:posOffset>
          </wp:positionV>
          <wp:extent cx="1798955" cy="310515"/>
          <wp:effectExtent b="0" l="0" r="0" t="0"/>
          <wp:wrapSquare wrapText="bothSides" distB="0" distT="0" distL="114300" distR="114300"/>
          <wp:docPr id="1923192488" name="image1.png"/>
          <a:graphic>
            <a:graphicData uri="http://schemas.openxmlformats.org/drawingml/2006/picture">
              <pic:pic>
                <pic:nvPicPr>
                  <pic:cNvPr id="0" name="image1.png"/>
                  <pic:cNvPicPr preferRelativeResize="0"/>
                </pic:nvPicPr>
                <pic:blipFill>
                  <a:blip r:embed="rId2"/>
                  <a:srcRect b="0" l="0" r="30573" t="0"/>
                  <a:stretch>
                    <a:fillRect/>
                  </a:stretch>
                </pic:blipFill>
                <pic:spPr>
                  <a:xfrm>
                    <a:off x="0" y="0"/>
                    <a:ext cx="1798955" cy="31051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9XUNdQ8TSF0zC6fPTgDCw764Ww==">CgMxLjA4AHIhMW1YcXphZ0szZzA0bDY2UWpvNmZrUFo1TmkwR0FyUTA4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