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113" w:rsidRPr="00A21673" w:rsidRDefault="00823113" w:rsidP="00E245F9">
      <w:pPr>
        <w:pStyle w:val="1"/>
        <w:ind w:left="0"/>
        <w:jc w:val="center"/>
      </w:pPr>
      <w:r w:rsidRPr="00A21673">
        <w:t xml:space="preserve">Моделювання передачі радіонуклідів у сільськогосподарські рослини </w:t>
      </w:r>
      <w:r w:rsidR="00314BCE" w:rsidRPr="00A21673">
        <w:t xml:space="preserve">з </w:t>
      </w:r>
      <w:r w:rsidR="00314BCE" w:rsidRPr="00A21673">
        <w:t>ґ</w:t>
      </w:r>
      <w:r w:rsidR="00314BCE" w:rsidRPr="00A21673">
        <w:t xml:space="preserve">рунту </w:t>
      </w:r>
      <w:r w:rsidRPr="00A21673">
        <w:t>на територіях, уражених внаслідок аварії на ЧАЕС, із використанням динамічних мереж Байєса</w:t>
      </w:r>
    </w:p>
    <w:p w:rsidR="00823113" w:rsidRPr="00A21673" w:rsidRDefault="00823113" w:rsidP="00E245F9">
      <w:pPr>
        <w:pStyle w:val="1"/>
        <w:jc w:val="center"/>
        <w:rPr>
          <w:b w:val="0"/>
        </w:rPr>
      </w:pPr>
      <w:r w:rsidRPr="00A21673">
        <w:t>Загір</w:t>
      </w:r>
      <w:bookmarkStart w:id="0" w:name="_GoBack"/>
      <w:bookmarkEnd w:id="0"/>
      <w:r w:rsidRPr="00A21673">
        <w:t>ська І.О.</w:t>
      </w:r>
      <w:r w:rsidRPr="00A21673">
        <w:rPr>
          <w:b w:val="0"/>
        </w:rPr>
        <w:t xml:space="preserve">, </w:t>
      </w:r>
      <w:hyperlink r:id="rId5" w:history="1">
        <w:r w:rsidRPr="00A21673">
          <w:rPr>
            <w:rStyle w:val="a4"/>
            <w:b w:val="0"/>
            <w:lang w:val="en-US"/>
          </w:rPr>
          <w:t>zahirska</w:t>
        </w:r>
        <w:r w:rsidRPr="00A21673">
          <w:rPr>
            <w:rStyle w:val="a4"/>
            <w:b w:val="0"/>
          </w:rPr>
          <w:t>@</w:t>
        </w:r>
        <w:r w:rsidRPr="00A21673">
          <w:rPr>
            <w:rStyle w:val="a4"/>
            <w:b w:val="0"/>
            <w:lang w:val="en-US"/>
          </w:rPr>
          <w:t>gmail</w:t>
        </w:r>
        <w:r w:rsidRPr="00A21673">
          <w:rPr>
            <w:rStyle w:val="a4"/>
            <w:b w:val="0"/>
          </w:rPr>
          <w:t>.</w:t>
        </w:r>
        <w:r w:rsidRPr="00A21673">
          <w:rPr>
            <w:rStyle w:val="a4"/>
            <w:b w:val="0"/>
            <w:lang w:val="en-US"/>
          </w:rPr>
          <w:t>com</w:t>
        </w:r>
      </w:hyperlink>
      <w:r w:rsidRPr="00A21673">
        <w:rPr>
          <w:b w:val="0"/>
        </w:rPr>
        <w:t xml:space="preserve">, </w:t>
      </w:r>
      <w:r w:rsidRPr="00A21673">
        <w:rPr>
          <w:b w:val="0"/>
          <w:i/>
        </w:rPr>
        <w:t>ННК «ІПСА» НТУУ «КПІ»</w:t>
      </w:r>
    </w:p>
    <w:p w:rsidR="00314BCE" w:rsidRPr="00E245F9" w:rsidRDefault="00314BCE" w:rsidP="00E245F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21673">
        <w:rPr>
          <w:rFonts w:ascii="Times New Roman" w:hAnsi="Times New Roman" w:cs="Times New Roman"/>
          <w:sz w:val="28"/>
          <w:szCs w:val="28"/>
        </w:rPr>
        <w:t>Внаслідок аварії на ЧА</w:t>
      </w:r>
      <w:r w:rsidR="00A21673">
        <w:rPr>
          <w:rFonts w:ascii="Times New Roman" w:hAnsi="Times New Roman" w:cs="Times New Roman"/>
          <w:sz w:val="28"/>
          <w:szCs w:val="28"/>
        </w:rPr>
        <w:t>ЕС, що сталася 1986 року, були у</w:t>
      </w:r>
      <w:r w:rsidRPr="00A21673">
        <w:rPr>
          <w:rFonts w:ascii="Times New Roman" w:hAnsi="Times New Roman" w:cs="Times New Roman"/>
          <w:sz w:val="28"/>
          <w:szCs w:val="28"/>
        </w:rPr>
        <w:t xml:space="preserve">ражені значні площі родючих земель на території України, Росії та Білорусії. </w:t>
      </w:r>
      <w:r w:rsidR="00A21673">
        <w:rPr>
          <w:rFonts w:ascii="Times New Roman" w:hAnsi="Times New Roman" w:cs="Times New Roman"/>
          <w:sz w:val="28"/>
          <w:szCs w:val="28"/>
        </w:rPr>
        <w:t>Таким чином, була втрачена велика кількість сільськогосподарських</w:t>
      </w:r>
      <w:r w:rsidR="00E245F9">
        <w:rPr>
          <w:rFonts w:ascii="Times New Roman" w:hAnsi="Times New Roman" w:cs="Times New Roman"/>
          <w:sz w:val="28"/>
          <w:szCs w:val="28"/>
        </w:rPr>
        <w:t xml:space="preserve"> угідь. Протягом часу, що минув, дослідники з України та зарубіжних країн приділяють значну увагу проблемі радіоекологічного стану рослин, зокрема з метою рекультивації сільськогосподарських угідь </w:t>
      </w:r>
      <w:r w:rsidR="00452C36">
        <w:rPr>
          <w:rFonts w:ascii="Times New Roman" w:hAnsi="Times New Roman" w:cs="Times New Roman"/>
          <w:sz w:val="28"/>
          <w:szCs w:val="28"/>
        </w:rPr>
        <w:t>[1-3</w:t>
      </w:r>
      <w:r w:rsidR="00E245F9" w:rsidRPr="00E245F9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3D2656" w:rsidRPr="00A21673" w:rsidRDefault="00E245F9" w:rsidP="00452C3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Основними радіонуклідами, що накопичуються у родючих шарах </w:t>
      </w:r>
      <w:r w:rsidRPr="00A21673">
        <w:rPr>
          <w:rFonts w:ascii="Times New Roman" w:hAnsi="Times New Roman" w:cs="Times New Roman"/>
          <w:sz w:val="28"/>
          <w:szCs w:val="28"/>
        </w:rPr>
        <w:t>ґ</w:t>
      </w:r>
      <w:r>
        <w:rPr>
          <w:rFonts w:ascii="Times New Roman" w:hAnsi="Times New Roman" w:cs="Times New Roman"/>
          <w:sz w:val="28"/>
          <w:szCs w:val="28"/>
        </w:rPr>
        <w:t xml:space="preserve">рунту, є </w:t>
      </w:r>
      <w:r w:rsidR="00314BCE" w:rsidRPr="00A21673">
        <w:rPr>
          <w:rFonts w:ascii="Times New Roman" w:hAnsi="Times New Roman" w:cs="Times New Roman"/>
          <w:bCs/>
          <w:sz w:val="28"/>
          <w:szCs w:val="28"/>
          <w:vertAlign w:val="superscript"/>
          <w:lang w:val="de-DE"/>
        </w:rPr>
        <w:t>137</w:t>
      </w:r>
      <w:r w:rsidR="00314BCE" w:rsidRPr="00A21673">
        <w:rPr>
          <w:rFonts w:ascii="Times New Roman" w:hAnsi="Times New Roman" w:cs="Times New Roman"/>
          <w:bCs/>
          <w:sz w:val="28"/>
          <w:szCs w:val="28"/>
          <w:lang w:val="de-DE"/>
        </w:rPr>
        <w:t>Cs</w:t>
      </w:r>
      <w:r w:rsidR="00314BCE" w:rsidRPr="00A2167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>та</w:t>
      </w:r>
      <w:r w:rsidR="00314BCE" w:rsidRPr="00A2167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314BCE" w:rsidRPr="00A21673">
        <w:rPr>
          <w:rFonts w:ascii="Times New Roman" w:hAnsi="Times New Roman" w:cs="Times New Roman"/>
          <w:bCs/>
          <w:sz w:val="28"/>
          <w:szCs w:val="28"/>
          <w:vertAlign w:val="superscript"/>
          <w:lang w:val="de-DE"/>
        </w:rPr>
        <w:t>90</w:t>
      </w:r>
      <w:r w:rsidR="00314BCE" w:rsidRPr="00A21673">
        <w:rPr>
          <w:rFonts w:ascii="Times New Roman" w:hAnsi="Times New Roman" w:cs="Times New Roman"/>
          <w:bCs/>
          <w:sz w:val="28"/>
          <w:szCs w:val="28"/>
          <w:lang w:val="de-DE"/>
        </w:rPr>
        <w:t>Sr</w:t>
      </w:r>
      <w:r w:rsidR="00452C3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3D2656">
        <w:rPr>
          <w:rFonts w:ascii="Times New Roman" w:hAnsi="Times New Roman" w:cs="Times New Roman"/>
          <w:bCs/>
          <w:sz w:val="28"/>
          <w:szCs w:val="28"/>
        </w:rPr>
        <w:t xml:space="preserve">Проблема трансферу радіонуклідів у сільськогосподарські рослини є актуальною, оскільки більше 25% внутрішнього опромінення людей спричинено зараженими продуктами харчування, що викликає, у свою чергу, ряд фізіологічних відхилень. </w:t>
      </w:r>
    </w:p>
    <w:p w:rsidR="00314BCE" w:rsidRPr="004A39AF" w:rsidRDefault="004A39AF" w:rsidP="003D2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побудована на </w:t>
      </w:r>
      <w:r w:rsidR="00E245F9">
        <w:rPr>
          <w:rFonts w:ascii="Times New Roman" w:hAnsi="Times New Roman" w:cs="Times New Roman"/>
          <w:sz w:val="28"/>
          <w:szCs w:val="28"/>
        </w:rPr>
        <w:t xml:space="preserve">основі </w:t>
      </w:r>
      <w:r>
        <w:rPr>
          <w:rFonts w:ascii="Times New Roman" w:hAnsi="Times New Roman" w:cs="Times New Roman"/>
          <w:sz w:val="28"/>
          <w:szCs w:val="28"/>
        </w:rPr>
        <w:t xml:space="preserve">реальних даних, в які включена інформація про дикорослі ягоди (чорниця, журавлина, брусниця), злаки (овес, ячмінь, жито, пшениця, кукурудза, рис, соя), овочі (картопля, помідори, капуста, морква, цибуля), гриби, ягоди (полуниця, малина), </w:t>
      </w:r>
      <w:r w:rsidRPr="004A39AF">
        <w:rPr>
          <w:rFonts w:ascii="Times New Roman" w:hAnsi="Times New Roman" w:cs="Times New Roman"/>
          <w:sz w:val="28"/>
          <w:szCs w:val="28"/>
        </w:rPr>
        <w:t>трави (петрушка, к</w:t>
      </w:r>
      <w:r>
        <w:rPr>
          <w:rFonts w:ascii="Times New Roman" w:hAnsi="Times New Roman" w:cs="Times New Roman"/>
          <w:sz w:val="28"/>
          <w:szCs w:val="28"/>
        </w:rPr>
        <w:t xml:space="preserve">ріп, тимофіївка, конюшина). </w:t>
      </w:r>
    </w:p>
    <w:p w:rsidR="00314BCE" w:rsidRPr="003D2656" w:rsidRDefault="00D04697" w:rsidP="00452C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21673">
        <w:rPr>
          <w:rFonts w:ascii="Times New Roman" w:hAnsi="Times New Roman" w:cs="Times New Roman"/>
          <w:sz w:val="28"/>
          <w:szCs w:val="28"/>
        </w:rPr>
        <w:t>Фактори, що найбільшою мірою впливають на коефіцієнт передачі, поділяються на зовнішні і внутрішні. До них належ</w:t>
      </w:r>
      <w:r w:rsidR="004A39AF">
        <w:rPr>
          <w:rFonts w:ascii="Times New Roman" w:hAnsi="Times New Roman" w:cs="Times New Roman"/>
          <w:sz w:val="28"/>
          <w:szCs w:val="28"/>
        </w:rPr>
        <w:t>а</w:t>
      </w:r>
      <w:r w:rsidRPr="00A21673">
        <w:rPr>
          <w:rFonts w:ascii="Times New Roman" w:hAnsi="Times New Roman" w:cs="Times New Roman"/>
          <w:sz w:val="28"/>
          <w:szCs w:val="28"/>
        </w:rPr>
        <w:t>ть</w:t>
      </w:r>
      <w:r w:rsidR="00452C36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452C36">
        <w:rPr>
          <w:rFonts w:ascii="Times New Roman" w:hAnsi="Times New Roman" w:cs="Times New Roman"/>
          <w:sz w:val="28"/>
          <w:szCs w:val="28"/>
        </w:rPr>
        <w:t>с</w:t>
      </w:r>
      <w:r w:rsidRPr="00A21673">
        <w:rPr>
          <w:rFonts w:ascii="Times New Roman" w:hAnsi="Times New Roman" w:cs="Times New Roman"/>
          <w:sz w:val="28"/>
          <w:szCs w:val="28"/>
        </w:rPr>
        <w:t>истематичне положення</w:t>
      </w:r>
      <w:r w:rsidR="00452C36">
        <w:rPr>
          <w:rFonts w:ascii="Times New Roman" w:hAnsi="Times New Roman" w:cs="Times New Roman"/>
          <w:sz w:val="28"/>
          <w:szCs w:val="28"/>
        </w:rPr>
        <w:t xml:space="preserve">, </w:t>
      </w:r>
      <w:r w:rsidRPr="00A21673">
        <w:rPr>
          <w:rFonts w:ascii="Times New Roman" w:hAnsi="Times New Roman" w:cs="Times New Roman"/>
          <w:sz w:val="28"/>
          <w:szCs w:val="28"/>
        </w:rPr>
        <w:t>вологість</w:t>
      </w:r>
      <w:r w:rsidR="00452C36">
        <w:rPr>
          <w:rFonts w:ascii="Times New Roman" w:hAnsi="Times New Roman" w:cs="Times New Roman"/>
          <w:sz w:val="28"/>
          <w:szCs w:val="28"/>
        </w:rPr>
        <w:t xml:space="preserve">, </w:t>
      </w:r>
      <w:r w:rsidRPr="00A21673">
        <w:rPr>
          <w:rFonts w:ascii="Times New Roman" w:hAnsi="Times New Roman" w:cs="Times New Roman"/>
          <w:sz w:val="28"/>
          <w:szCs w:val="28"/>
        </w:rPr>
        <w:t xml:space="preserve">тип </w:t>
      </w:r>
      <w:r w:rsidRPr="00A21673">
        <w:rPr>
          <w:rFonts w:ascii="Times New Roman" w:hAnsi="Times New Roman" w:cs="Times New Roman"/>
          <w:sz w:val="28"/>
          <w:szCs w:val="28"/>
        </w:rPr>
        <w:t>ґ</w:t>
      </w:r>
      <w:r w:rsidRPr="00A21673">
        <w:rPr>
          <w:rFonts w:ascii="Times New Roman" w:hAnsi="Times New Roman" w:cs="Times New Roman"/>
          <w:sz w:val="28"/>
          <w:szCs w:val="28"/>
        </w:rPr>
        <w:t>рунту та гранулометрична композиція</w:t>
      </w:r>
      <w:r w:rsidR="00452C36">
        <w:rPr>
          <w:rFonts w:ascii="Times New Roman" w:hAnsi="Times New Roman" w:cs="Times New Roman"/>
          <w:sz w:val="28"/>
          <w:szCs w:val="28"/>
        </w:rPr>
        <w:t xml:space="preserve">, </w:t>
      </w:r>
      <w:r w:rsidRPr="00A21673">
        <w:rPr>
          <w:rFonts w:ascii="Times New Roman" w:hAnsi="Times New Roman" w:cs="Times New Roman"/>
          <w:sz w:val="28"/>
          <w:szCs w:val="28"/>
        </w:rPr>
        <w:t>рівень вмісту гумусу</w:t>
      </w:r>
      <w:r w:rsidR="00452C36">
        <w:rPr>
          <w:rFonts w:ascii="Times New Roman" w:hAnsi="Times New Roman" w:cs="Times New Roman"/>
          <w:sz w:val="28"/>
          <w:szCs w:val="28"/>
        </w:rPr>
        <w:t xml:space="preserve">, </w:t>
      </w:r>
      <w:r w:rsidRPr="00A21673">
        <w:rPr>
          <w:rFonts w:ascii="Times New Roman" w:hAnsi="Times New Roman" w:cs="Times New Roman"/>
          <w:sz w:val="28"/>
          <w:szCs w:val="28"/>
        </w:rPr>
        <w:t xml:space="preserve">мінеральний вміст </w:t>
      </w:r>
      <w:r w:rsidRPr="00A21673">
        <w:rPr>
          <w:rFonts w:ascii="Times New Roman" w:hAnsi="Times New Roman" w:cs="Times New Roman"/>
          <w:sz w:val="28"/>
          <w:szCs w:val="28"/>
        </w:rPr>
        <w:t>ґ</w:t>
      </w:r>
      <w:r w:rsidRPr="00A21673">
        <w:rPr>
          <w:rFonts w:ascii="Times New Roman" w:hAnsi="Times New Roman" w:cs="Times New Roman"/>
          <w:sz w:val="28"/>
          <w:szCs w:val="28"/>
        </w:rPr>
        <w:t>рунту</w:t>
      </w:r>
      <w:r w:rsidR="00452C36">
        <w:rPr>
          <w:rFonts w:ascii="Times New Roman" w:hAnsi="Times New Roman" w:cs="Times New Roman"/>
          <w:sz w:val="28"/>
          <w:szCs w:val="28"/>
        </w:rPr>
        <w:t xml:space="preserve">, </w:t>
      </w:r>
      <w:r w:rsidRPr="00A21673">
        <w:rPr>
          <w:rFonts w:ascii="Times New Roman" w:hAnsi="Times New Roman" w:cs="Times New Roman"/>
          <w:sz w:val="28"/>
          <w:szCs w:val="28"/>
        </w:rPr>
        <w:t>кислотність</w:t>
      </w:r>
      <w:r w:rsidR="00452C36">
        <w:rPr>
          <w:rFonts w:ascii="Times New Roman" w:hAnsi="Times New Roman" w:cs="Times New Roman"/>
          <w:sz w:val="28"/>
          <w:szCs w:val="28"/>
        </w:rPr>
        <w:t>.</w:t>
      </w:r>
    </w:p>
    <w:p w:rsidR="00646F9E" w:rsidRPr="00646F9E" w:rsidRDefault="003D2656" w:rsidP="00646F9E">
      <w:pPr>
        <w:overflowPunct w:val="0"/>
        <w:autoSpaceDE w:val="0"/>
        <w:autoSpaceDN w:val="0"/>
        <w:adjustRightInd w:val="0"/>
        <w:spacing w:after="0" w:line="360" w:lineRule="auto"/>
        <w:ind w:left="180" w:firstLine="45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Завдяки можливості узагальнення параметрів різної природи в одній моделі, динамічні мережі Байєса (ДБМ) є вдалим інструментом для моделювання у складних системах </w:t>
      </w:r>
      <w:r w:rsidR="00646F9E">
        <w:rPr>
          <w:rFonts w:ascii="Times New Roman" w:hAnsi="Times New Roman" w:cs="Times New Roman"/>
          <w:bCs/>
          <w:sz w:val="28"/>
          <w:szCs w:val="28"/>
        </w:rPr>
        <w:t>[15</w:t>
      </w:r>
      <w:r w:rsidRPr="00A21673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646F9E" w:rsidRPr="00646F9E">
        <w:rPr>
          <w:rFonts w:ascii="Times New Roman" w:hAnsi="Times New Roman" w:cs="Times New Roman"/>
          <w:sz w:val="28"/>
          <w:szCs w:val="28"/>
        </w:rPr>
        <w:t>За означенням, ДБМ є парою</w:t>
      </w:r>
      <w:r w:rsidR="00646F9E" w:rsidRPr="00646F9E">
        <w:rPr>
          <w:rFonts w:ascii="Times New Roman" w:hAnsi="Times New Roman" w:cs="Times New Roman"/>
          <w:sz w:val="28"/>
          <w:szCs w:val="28"/>
        </w:rPr>
        <w:object w:dxaOrig="10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21pt" o:ole="">
            <v:imagedata r:id="rId6" o:title=""/>
          </v:shape>
          <o:OLEObject Type="Embed" ProgID="Equation.3" ShapeID="_x0000_i1025" DrawAspect="Content" ObjectID="_1444570132" r:id="rId7"/>
        </w:object>
      </w:r>
      <w:r w:rsidR="00646F9E" w:rsidRPr="00646F9E">
        <w:rPr>
          <w:rFonts w:ascii="Times New Roman" w:hAnsi="Times New Roman" w:cs="Times New Roman"/>
          <w:sz w:val="28"/>
          <w:szCs w:val="28"/>
        </w:rPr>
        <w:t xml:space="preserve">, де </w:t>
      </w:r>
      <w:r w:rsidR="00646F9E" w:rsidRPr="00646F9E">
        <w:rPr>
          <w:rFonts w:ascii="Times New Roman" w:hAnsi="Times New Roman" w:cs="Times New Roman"/>
          <w:sz w:val="28"/>
          <w:szCs w:val="28"/>
        </w:rPr>
        <w:object w:dxaOrig="340" w:dyaOrig="420">
          <v:shape id="_x0000_i1026" type="#_x0000_t75" style="width:16.5pt;height:21pt" o:ole="">
            <v:imagedata r:id="rId8" o:title=""/>
          </v:shape>
          <o:OLEObject Type="Embed" ProgID="Equation.3" ShapeID="_x0000_i1026" DrawAspect="Content" ObjectID="_1444570133" r:id="rId9"/>
        </w:object>
      </w:r>
      <w:r w:rsidR="00646F9E" w:rsidRPr="00646F9E">
        <w:rPr>
          <w:rFonts w:ascii="Times New Roman" w:hAnsi="Times New Roman" w:cs="Times New Roman"/>
          <w:sz w:val="28"/>
          <w:szCs w:val="28"/>
        </w:rPr>
        <w:t xml:space="preserve"> – БМ, що визначає апріорну ймовірність </w:t>
      </w:r>
      <w:r w:rsidR="00646F9E" w:rsidRPr="00646F9E">
        <w:rPr>
          <w:rFonts w:ascii="Times New Roman" w:hAnsi="Times New Roman" w:cs="Times New Roman"/>
          <w:sz w:val="28"/>
          <w:szCs w:val="28"/>
        </w:rPr>
        <w:object w:dxaOrig="780" w:dyaOrig="420">
          <v:shape id="_x0000_i1027" type="#_x0000_t75" style="width:39pt;height:21pt" o:ole="">
            <v:imagedata r:id="rId10" o:title=""/>
          </v:shape>
          <o:OLEObject Type="Embed" ProgID="Equation.3" ShapeID="_x0000_i1027" DrawAspect="Content" ObjectID="_1444570134" r:id="rId11"/>
        </w:object>
      </w:r>
      <w:r w:rsidR="00646F9E" w:rsidRPr="00646F9E">
        <w:rPr>
          <w:rFonts w:ascii="Times New Roman" w:hAnsi="Times New Roman" w:cs="Times New Roman"/>
          <w:sz w:val="28"/>
          <w:szCs w:val="28"/>
        </w:rPr>
        <w:t xml:space="preserve">, а </w:t>
      </w:r>
      <w:r w:rsidR="00646F9E" w:rsidRPr="00646F9E">
        <w:rPr>
          <w:rFonts w:ascii="Times New Roman" w:hAnsi="Times New Roman" w:cs="Times New Roman"/>
          <w:sz w:val="28"/>
          <w:szCs w:val="28"/>
        </w:rPr>
        <w:object w:dxaOrig="440" w:dyaOrig="380">
          <v:shape id="_x0000_i1028" type="#_x0000_t75" style="width:22.5pt;height:19.5pt" o:ole="">
            <v:imagedata r:id="rId12" o:title=""/>
          </v:shape>
          <o:OLEObject Type="Embed" ProgID="Equation.3" ShapeID="_x0000_i1028" DrawAspect="Content" ObjectID="_1444570135" r:id="rId13"/>
        </w:object>
      </w:r>
      <w:r w:rsidR="00646F9E" w:rsidRPr="00646F9E">
        <w:rPr>
          <w:rFonts w:ascii="Times New Roman" w:hAnsi="Times New Roman" w:cs="Times New Roman"/>
          <w:sz w:val="28"/>
          <w:szCs w:val="28"/>
        </w:rPr>
        <w:t xml:space="preserve"> – </w:t>
      </w:r>
      <w:r w:rsidR="00646F9E" w:rsidRPr="00646F9E">
        <w:rPr>
          <w:rFonts w:ascii="Times New Roman" w:hAnsi="Times New Roman" w:cs="Times New Roman"/>
          <w:sz w:val="28"/>
          <w:szCs w:val="28"/>
        </w:rPr>
        <w:lastRenderedPageBreak/>
        <w:t xml:space="preserve">двошарова БМ, що визначає </w:t>
      </w:r>
      <w:r w:rsidR="00646F9E" w:rsidRPr="00646F9E">
        <w:rPr>
          <w:rFonts w:ascii="Times New Roman" w:hAnsi="Times New Roman" w:cs="Times New Roman"/>
          <w:sz w:val="28"/>
          <w:szCs w:val="28"/>
        </w:rPr>
        <w:object w:dxaOrig="1400" w:dyaOrig="420">
          <v:shape id="_x0000_i1029" type="#_x0000_t75" style="width:69.75pt;height:21pt" o:ole="">
            <v:imagedata r:id="rId14" o:title=""/>
          </v:shape>
          <o:OLEObject Type="Embed" ProgID="Equation.3" ShapeID="_x0000_i1029" DrawAspect="Content" ObjectID="_1444570136" r:id="rId15"/>
        </w:object>
      </w:r>
      <w:r w:rsidR="00646F9E" w:rsidRPr="00646F9E">
        <w:rPr>
          <w:rFonts w:ascii="Times New Roman" w:hAnsi="Times New Roman" w:cs="Times New Roman"/>
          <w:sz w:val="28"/>
          <w:szCs w:val="28"/>
        </w:rPr>
        <w:t>за допомогою спрямованого ациклічного графа таким чином:</w:t>
      </w:r>
    </w:p>
    <w:p w:rsidR="00646F9E" w:rsidRPr="00F36293" w:rsidRDefault="00646F9E" w:rsidP="00646F9E">
      <w:pPr>
        <w:pStyle w:val="a5"/>
        <w:tabs>
          <w:tab w:val="left" w:pos="0"/>
        </w:tabs>
        <w:ind w:left="0"/>
        <w:jc w:val="center"/>
        <w:rPr>
          <w:bCs/>
          <w:sz w:val="28"/>
          <w:szCs w:val="28"/>
          <w:lang w:val="uk-UA"/>
        </w:rPr>
      </w:pPr>
      <w:r w:rsidRPr="00F36293">
        <w:rPr>
          <w:bCs/>
          <w:position w:val="-32"/>
          <w:sz w:val="28"/>
          <w:szCs w:val="28"/>
          <w:lang w:val="uk-UA"/>
        </w:rPr>
        <w:object w:dxaOrig="3680" w:dyaOrig="780">
          <v:shape id="_x0000_i1030" type="#_x0000_t75" style="width:183.75pt;height:39pt" o:ole="">
            <v:imagedata r:id="rId16" o:title=""/>
          </v:shape>
          <o:OLEObject Type="Embed" ProgID="Equation.3" ShapeID="_x0000_i1030" DrawAspect="Content" ObjectID="_1444570137" r:id="rId17"/>
        </w:object>
      </w:r>
      <w:r w:rsidRPr="00F36293">
        <w:rPr>
          <w:bCs/>
          <w:sz w:val="28"/>
          <w:szCs w:val="28"/>
          <w:lang w:val="uk-UA"/>
        </w:rPr>
        <w:t>,</w:t>
      </w:r>
    </w:p>
    <w:p w:rsidR="00646F9E" w:rsidRDefault="00646F9E" w:rsidP="00646F9E">
      <w:pPr>
        <w:pStyle w:val="a5"/>
        <w:tabs>
          <w:tab w:val="left" w:pos="0"/>
        </w:tabs>
        <w:spacing w:after="0" w:line="360" w:lineRule="auto"/>
        <w:ind w:left="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</w:t>
      </w:r>
      <w:r w:rsidRPr="00F36293">
        <w:rPr>
          <w:bCs/>
          <w:sz w:val="28"/>
          <w:szCs w:val="28"/>
          <w:lang w:val="uk-UA"/>
        </w:rPr>
        <w:t>е</w:t>
      </w:r>
      <w:r>
        <w:rPr>
          <w:bCs/>
          <w:sz w:val="28"/>
          <w:szCs w:val="28"/>
          <w:lang w:val="uk-UA"/>
        </w:rPr>
        <w:t xml:space="preserve"> </w:t>
      </w:r>
      <w:r w:rsidRPr="00F36293">
        <w:rPr>
          <w:bCs/>
          <w:position w:val="-12"/>
          <w:sz w:val="28"/>
          <w:szCs w:val="28"/>
        </w:rPr>
        <w:object w:dxaOrig="340" w:dyaOrig="440">
          <v:shape id="_x0000_i1031" type="#_x0000_t75" style="width:17.25pt;height:21.75pt" o:ole="">
            <v:imagedata r:id="rId18" o:title=""/>
          </v:shape>
          <o:OLEObject Type="Embed" ProgID="Equation.3" ShapeID="_x0000_i1031" DrawAspect="Content" ObjectID="_1444570138" r:id="rId19"/>
        </w:object>
      </w:r>
      <w:r>
        <w:rPr>
          <w:bCs/>
          <w:sz w:val="28"/>
          <w:szCs w:val="28"/>
          <w:lang w:val="uk-UA"/>
        </w:rPr>
        <w:t xml:space="preserve"> –</w:t>
      </w:r>
      <w:r w:rsidRPr="00F36293">
        <w:rPr>
          <w:bCs/>
          <w:sz w:val="28"/>
          <w:szCs w:val="28"/>
          <w:lang w:val="uk-UA"/>
        </w:rPr>
        <w:t xml:space="preserve"> </w:t>
      </w:r>
      <w:r w:rsidRPr="009250E2">
        <w:rPr>
          <w:bCs/>
          <w:i/>
          <w:sz w:val="28"/>
          <w:szCs w:val="28"/>
          <w:lang w:val="uk-UA"/>
        </w:rPr>
        <w:t>і</w:t>
      </w:r>
      <w:r w:rsidRPr="00F36293">
        <w:rPr>
          <w:bCs/>
          <w:sz w:val="28"/>
          <w:szCs w:val="28"/>
          <w:lang w:val="uk-UA"/>
        </w:rPr>
        <w:t>-й вузол в момент часу</w:t>
      </w:r>
      <w:r>
        <w:rPr>
          <w:bCs/>
          <w:sz w:val="28"/>
          <w:szCs w:val="28"/>
          <w:lang w:val="uk-UA"/>
        </w:rPr>
        <w:t xml:space="preserve"> </w:t>
      </w:r>
      <w:r w:rsidRPr="00F36293">
        <w:rPr>
          <w:bCs/>
          <w:position w:val="-6"/>
          <w:sz w:val="28"/>
          <w:szCs w:val="28"/>
        </w:rPr>
        <w:object w:dxaOrig="160" w:dyaOrig="260">
          <v:shape id="_x0000_i1032" type="#_x0000_t75" style="width:8.25pt;height:12.75pt" o:ole="">
            <v:imagedata r:id="rId20" o:title=""/>
          </v:shape>
          <o:OLEObject Type="Embed" ProgID="Equation.3" ShapeID="_x0000_i1032" DrawAspect="Content" ObjectID="_1444570139" r:id="rId21"/>
        </w:object>
      </w:r>
      <w:r w:rsidRPr="00F36293">
        <w:rPr>
          <w:bCs/>
          <w:sz w:val="28"/>
          <w:szCs w:val="28"/>
          <w:lang w:val="uk-UA"/>
        </w:rPr>
        <w:t xml:space="preserve">, що може бути </w:t>
      </w:r>
      <w:r w:rsidRPr="00F36293">
        <w:rPr>
          <w:bCs/>
          <w:sz w:val="28"/>
          <w:szCs w:val="28"/>
          <w:lang w:val="uk-UA"/>
        </w:rPr>
        <w:t>компонентом</w:t>
      </w:r>
      <w:r w:rsidRPr="00F36293">
        <w:rPr>
          <w:bCs/>
          <w:position w:val="-12"/>
          <w:sz w:val="28"/>
          <w:szCs w:val="28"/>
        </w:rPr>
        <w:object w:dxaOrig="680" w:dyaOrig="380">
          <v:shape id="_x0000_i1033" type="#_x0000_t75" style="width:33.75pt;height:19.5pt" o:ole="">
            <v:imagedata r:id="rId22" o:title=""/>
          </v:shape>
          <o:OLEObject Type="Embed" ProgID="Equation.3" ShapeID="_x0000_i1033" DrawAspect="Content" ObjectID="_1444570140" r:id="rId23"/>
        </w:object>
      </w:r>
      <w:r w:rsidRPr="00F36293">
        <w:rPr>
          <w:bCs/>
          <w:sz w:val="28"/>
          <w:szCs w:val="28"/>
          <w:lang w:val="uk-UA"/>
        </w:rPr>
        <w:t xml:space="preserve"> або </w:t>
      </w:r>
      <w:r w:rsidRPr="00F36293">
        <w:rPr>
          <w:bCs/>
          <w:position w:val="-12"/>
          <w:sz w:val="28"/>
          <w:szCs w:val="28"/>
          <w:lang w:val="uk-UA"/>
        </w:rPr>
        <w:object w:dxaOrig="340" w:dyaOrig="380">
          <v:shape id="_x0000_i1034" type="#_x0000_t75" style="width:17.25pt;height:19.5pt" o:ole="">
            <v:imagedata r:id="rId24" o:title=""/>
          </v:shape>
          <o:OLEObject Type="Embed" ProgID="Equation.3" ShapeID="_x0000_i1034" DrawAspect="Content" ObjectID="_1444570141" r:id="rId25"/>
        </w:object>
      </w:r>
      <w:r>
        <w:rPr>
          <w:bCs/>
          <w:sz w:val="28"/>
          <w:szCs w:val="28"/>
          <w:lang w:val="uk-UA"/>
        </w:rPr>
        <w:t>,</w:t>
      </w:r>
      <w:r w:rsidRPr="00F36293">
        <w:rPr>
          <w:bCs/>
          <w:sz w:val="28"/>
          <w:szCs w:val="28"/>
          <w:lang w:val="uk-UA"/>
        </w:rPr>
        <w:t xml:space="preserve"> а </w:t>
      </w:r>
      <w:r w:rsidRPr="00F36293">
        <w:rPr>
          <w:bCs/>
          <w:position w:val="-12"/>
          <w:sz w:val="28"/>
          <w:szCs w:val="28"/>
          <w:lang w:val="uk-UA"/>
        </w:rPr>
        <w:object w:dxaOrig="880" w:dyaOrig="440">
          <v:shape id="_x0000_i1035" type="#_x0000_t75" style="width:43.5pt;height:21.75pt" o:ole="">
            <v:imagedata r:id="rId26" o:title=""/>
          </v:shape>
          <o:OLEObject Type="Embed" ProgID="Equation.3" ShapeID="_x0000_i1035" DrawAspect="Content" ObjectID="_1444570142" r:id="rId27"/>
        </w:object>
      </w:r>
      <w:r>
        <w:rPr>
          <w:bCs/>
          <w:sz w:val="28"/>
          <w:szCs w:val="28"/>
          <w:lang w:val="uk-UA"/>
        </w:rPr>
        <w:t xml:space="preserve"> –</w:t>
      </w:r>
      <w:r w:rsidRPr="00F36293">
        <w:rPr>
          <w:bCs/>
          <w:sz w:val="28"/>
          <w:szCs w:val="28"/>
          <w:lang w:val="uk-UA"/>
        </w:rPr>
        <w:t xml:space="preserve"> батьки </w:t>
      </w:r>
      <w:r w:rsidRPr="00F36293">
        <w:rPr>
          <w:bCs/>
          <w:position w:val="-12"/>
          <w:sz w:val="28"/>
          <w:szCs w:val="28"/>
        </w:rPr>
        <w:object w:dxaOrig="340" w:dyaOrig="440">
          <v:shape id="_x0000_i1036" type="#_x0000_t75" style="width:17.25pt;height:21.75pt" o:ole="">
            <v:imagedata r:id="rId28" o:title=""/>
          </v:shape>
          <o:OLEObject Type="Embed" ProgID="Equation.3" ShapeID="_x0000_i1036" DrawAspect="Content" ObjectID="_1444570143" r:id="rId29"/>
        </w:objec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у</w:t>
      </w:r>
      <w:r w:rsidRPr="00F36293">
        <w:rPr>
          <w:bCs/>
          <w:sz w:val="28"/>
          <w:szCs w:val="28"/>
          <w:lang w:val="uk-UA"/>
        </w:rPr>
        <w:t xml:space="preserve"> графі.</w:t>
      </w:r>
    </w:p>
    <w:p w:rsidR="00314BCE" w:rsidRPr="00A21673" w:rsidRDefault="00646F9E" w:rsidP="00646F9E">
      <w:pPr>
        <w:pStyle w:val="a5"/>
        <w:tabs>
          <w:tab w:val="left" w:pos="0"/>
        </w:tabs>
        <w:spacing w:after="0" w:line="360" w:lineRule="auto"/>
        <w:ind w:left="0"/>
        <w:jc w:val="both"/>
        <w:rPr>
          <w:sz w:val="28"/>
          <w:szCs w:val="28"/>
          <w:lang w:val="de-DE"/>
        </w:rPr>
      </w:pPr>
      <w:r w:rsidRPr="00F36293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ab/>
        <w:t xml:space="preserve">Згідно з результатами моделювання, коефіцієнт передачі зменшується із глибшим розміщенням кореневої системи у </w:t>
      </w:r>
      <w:r w:rsidR="00452C36" w:rsidRPr="00452C36">
        <w:rPr>
          <w:sz w:val="28"/>
          <w:szCs w:val="28"/>
          <w:lang w:val="uk-UA"/>
        </w:rPr>
        <w:t>ґ</w:t>
      </w:r>
      <w:r>
        <w:rPr>
          <w:bCs/>
          <w:sz w:val="28"/>
          <w:szCs w:val="28"/>
          <w:lang w:val="uk-UA"/>
        </w:rPr>
        <w:t xml:space="preserve">рунті, нижчою вологістю, на родючих та нормальних </w:t>
      </w:r>
      <w:r w:rsidR="00452C36" w:rsidRPr="00452C36">
        <w:rPr>
          <w:sz w:val="28"/>
          <w:szCs w:val="28"/>
          <w:lang w:val="uk-UA"/>
        </w:rPr>
        <w:t>ґ</w:t>
      </w:r>
      <w:r>
        <w:rPr>
          <w:bCs/>
          <w:sz w:val="28"/>
          <w:szCs w:val="28"/>
          <w:lang w:val="uk-UA"/>
        </w:rPr>
        <w:t>рунтах із високим вмістом</w:t>
      </w:r>
      <w:r w:rsidR="00314BCE" w:rsidRPr="00A21673">
        <w:rPr>
          <w:sz w:val="28"/>
          <w:szCs w:val="28"/>
          <w:lang w:val="de-DE"/>
        </w:rPr>
        <w:t xml:space="preserve"> K+ </w:t>
      </w:r>
      <w:r w:rsidR="00452C36">
        <w:rPr>
          <w:sz w:val="28"/>
          <w:szCs w:val="28"/>
          <w:lang w:val="uk-UA"/>
        </w:rPr>
        <w:t xml:space="preserve">та </w:t>
      </w:r>
      <w:r w:rsidR="00314BCE" w:rsidRPr="00A21673">
        <w:rPr>
          <w:sz w:val="28"/>
          <w:szCs w:val="28"/>
          <w:vertAlign w:val="superscript"/>
          <w:lang w:val="de-DE"/>
        </w:rPr>
        <w:t>2</w:t>
      </w:r>
      <w:r w:rsidR="00314BCE" w:rsidRPr="00A21673">
        <w:rPr>
          <w:sz w:val="28"/>
          <w:szCs w:val="28"/>
          <w:lang w:val="de-DE"/>
        </w:rPr>
        <w:t xml:space="preserve">Ca+. </w:t>
      </w:r>
      <w:r w:rsidR="00452C36">
        <w:rPr>
          <w:sz w:val="28"/>
          <w:szCs w:val="28"/>
          <w:lang w:val="uk-UA"/>
        </w:rPr>
        <w:t xml:space="preserve">При дотриманні даних умов рослини можуть вирощуватися з нижчим рівнем ризиком зараження. </w:t>
      </w:r>
    </w:p>
    <w:p w:rsidR="00314BCE" w:rsidRPr="00A21673" w:rsidRDefault="00314BCE" w:rsidP="00E245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314BCE" w:rsidRPr="00452C36" w:rsidRDefault="00452C36" w:rsidP="00E245F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52C36">
        <w:rPr>
          <w:rFonts w:ascii="Times New Roman" w:hAnsi="Times New Roman" w:cs="Times New Roman"/>
          <w:b/>
          <w:sz w:val="28"/>
          <w:szCs w:val="28"/>
        </w:rPr>
        <w:t>Перелік посилань</w:t>
      </w:r>
    </w:p>
    <w:p w:rsidR="00314BCE" w:rsidRPr="00A21673" w:rsidRDefault="00314BCE" w:rsidP="00E245F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0" w:firstLine="27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21673">
        <w:rPr>
          <w:rFonts w:ascii="Times New Roman" w:hAnsi="Times New Roman" w:cs="Times New Roman"/>
          <w:sz w:val="28"/>
          <w:szCs w:val="28"/>
        </w:rPr>
        <w:t>Пристер Б.С., Омельяненко Н.П., Перепелятникова Л.В. Миграция радионуклидов в почве и переход их в растения в зоне аварии Чернобыльской АЭС // Почвоведение. 1990. №10. С.51-60.</w:t>
      </w:r>
    </w:p>
    <w:p w:rsidR="00452C36" w:rsidRDefault="00314BCE" w:rsidP="00E60D3C">
      <w:pPr>
        <w:keepNext/>
        <w:keepLines/>
        <w:numPr>
          <w:ilvl w:val="0"/>
          <w:numId w:val="2"/>
        </w:numPr>
        <w:shd w:val="clear" w:color="auto" w:fill="FFFFFF"/>
        <w:suppressAutoHyphens/>
        <w:overflowPunct w:val="0"/>
        <w:autoSpaceDE w:val="0"/>
        <w:autoSpaceDN w:val="0"/>
        <w:adjustRightInd w:val="0"/>
        <w:spacing w:after="0" w:line="360" w:lineRule="auto"/>
        <w:ind w:left="0" w:firstLine="270"/>
        <w:textAlignment w:val="baseline"/>
        <w:rPr>
          <w:rFonts w:ascii="Times New Roman" w:hAnsi="Times New Roman" w:cs="Times New Roman"/>
          <w:sz w:val="28"/>
          <w:szCs w:val="28"/>
        </w:rPr>
      </w:pPr>
      <w:r w:rsidRPr="00452C36">
        <w:rPr>
          <w:rFonts w:ascii="Times New Roman" w:hAnsi="Times New Roman" w:cs="Times New Roman"/>
          <w:sz w:val="28"/>
          <w:szCs w:val="28"/>
          <w:lang w:val="de-DE"/>
        </w:rPr>
        <w:t>R. Djingova. Influence of soil acidity on the transfer od caesium 137 and other radionuclides from soil to reference plants. // Proceedings of a final research coordination meeting organized by the  Joint FAO/IAEA Programme of Nuclear Techniques in  Food and Agriculture and held in Chania, Crete, 22–26 September 2003</w:t>
      </w:r>
      <w:r w:rsidR="00452C36">
        <w:rPr>
          <w:rFonts w:ascii="Times New Roman" w:hAnsi="Times New Roman" w:cs="Times New Roman"/>
          <w:sz w:val="28"/>
          <w:szCs w:val="28"/>
        </w:rPr>
        <w:t>.</w:t>
      </w:r>
    </w:p>
    <w:p w:rsidR="00314BCE" w:rsidRPr="00452C36" w:rsidRDefault="00314BCE" w:rsidP="00E60D3C">
      <w:pPr>
        <w:keepNext/>
        <w:keepLines/>
        <w:numPr>
          <w:ilvl w:val="0"/>
          <w:numId w:val="2"/>
        </w:numPr>
        <w:shd w:val="clear" w:color="auto" w:fill="FFFFFF"/>
        <w:suppressAutoHyphens/>
        <w:overflowPunct w:val="0"/>
        <w:autoSpaceDE w:val="0"/>
        <w:autoSpaceDN w:val="0"/>
        <w:adjustRightInd w:val="0"/>
        <w:spacing w:after="0" w:line="360" w:lineRule="auto"/>
        <w:ind w:left="0" w:firstLine="270"/>
        <w:textAlignment w:val="baseline"/>
        <w:rPr>
          <w:rFonts w:ascii="Times New Roman" w:hAnsi="Times New Roman" w:cs="Times New Roman"/>
          <w:sz w:val="28"/>
          <w:szCs w:val="28"/>
        </w:rPr>
      </w:pPr>
      <w:r w:rsidRPr="00452C36">
        <w:rPr>
          <w:rFonts w:ascii="Times New Roman" w:hAnsi="Times New Roman" w:cs="Times New Roman"/>
          <w:sz w:val="28"/>
          <w:szCs w:val="28"/>
        </w:rPr>
        <w:t>L. Ciuffo, M. Belli, H. Velasco and U. Sansone.137Cs and 40K soil-to-plant transfer Process in Semi-natural: Grassland. Assessment of its Impact on Human Food Chain. J. Radiat. Res. 44, 277-283 (2003).</w:t>
      </w:r>
    </w:p>
    <w:p w:rsidR="00314BCE" w:rsidRPr="00452C36" w:rsidRDefault="00314BCE" w:rsidP="00580643">
      <w:pPr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ind w:left="0" w:firstLine="270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452C36">
        <w:rPr>
          <w:rFonts w:ascii="Times New Roman" w:hAnsi="Times New Roman" w:cs="Times New Roman"/>
          <w:bCs/>
          <w:sz w:val="28"/>
          <w:szCs w:val="28"/>
        </w:rPr>
        <w:t>Murphy K. A Brief Introduction to Graphical Models and Bayesian Networks // University of British Columbia, Faculty of Science .– Accessed from: http://www.cs.ubc.ca/~murphyk/Bayes/bayes.html/ - 07.07.2007.</w:t>
      </w:r>
    </w:p>
    <w:p w:rsidR="00314BCE" w:rsidRPr="00A21673" w:rsidRDefault="00314BCE" w:rsidP="00E245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sectPr w:rsidR="00314BCE" w:rsidRPr="00A2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52D26"/>
    <w:multiLevelType w:val="hybridMultilevel"/>
    <w:tmpl w:val="7BAAC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C79BC"/>
    <w:multiLevelType w:val="hybridMultilevel"/>
    <w:tmpl w:val="EBE8C95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3B"/>
    <w:rsid w:val="00010110"/>
    <w:rsid w:val="00314BCE"/>
    <w:rsid w:val="003D2656"/>
    <w:rsid w:val="00442D12"/>
    <w:rsid w:val="00452C36"/>
    <w:rsid w:val="004A39AF"/>
    <w:rsid w:val="00646F9E"/>
    <w:rsid w:val="00823113"/>
    <w:rsid w:val="00A21673"/>
    <w:rsid w:val="00B4043B"/>
    <w:rsid w:val="00B60A89"/>
    <w:rsid w:val="00CA2EE1"/>
    <w:rsid w:val="00D04697"/>
    <w:rsid w:val="00E2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03AB2-58A4-4E81-90FA-521BF072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823113"/>
    <w:pPr>
      <w:spacing w:after="0" w:line="360" w:lineRule="auto"/>
      <w:ind w:left="540"/>
      <w:jc w:val="both"/>
      <w:outlineLvl w:val="0"/>
    </w:pPr>
    <w:rPr>
      <w:rFonts w:eastAsia="Times New Roman"/>
      <w:b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6F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2311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4">
    <w:name w:val="Hyperlink"/>
    <w:uiPriority w:val="99"/>
    <w:rsid w:val="00823113"/>
    <w:rPr>
      <w:color w:val="0000FF"/>
      <w:u w:val="single"/>
    </w:rPr>
  </w:style>
  <w:style w:type="paragraph" w:styleId="a0">
    <w:name w:val="Normal (Web)"/>
    <w:basedOn w:val="a"/>
    <w:uiPriority w:val="99"/>
    <w:semiHidden/>
    <w:unhideWhenUsed/>
    <w:rsid w:val="00823113"/>
    <w:rPr>
      <w:rFonts w:ascii="Times New Roman" w:hAnsi="Times New Roman" w:cs="Times New Roman"/>
      <w:sz w:val="24"/>
      <w:szCs w:val="24"/>
    </w:rPr>
  </w:style>
  <w:style w:type="paragraph" w:styleId="a5">
    <w:name w:val="Body Text Indent"/>
    <w:basedOn w:val="a"/>
    <w:link w:val="a6"/>
    <w:uiPriority w:val="99"/>
    <w:rsid w:val="00314BCE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character" w:customStyle="1" w:styleId="a6">
    <w:name w:val="Основний текст з відступом Знак"/>
    <w:basedOn w:val="a1"/>
    <w:link w:val="a5"/>
    <w:uiPriority w:val="99"/>
    <w:rsid w:val="00314BCE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character" w:customStyle="1" w:styleId="40">
    <w:name w:val="Заголовок 4 Знак"/>
    <w:basedOn w:val="a1"/>
    <w:link w:val="4"/>
    <w:uiPriority w:val="9"/>
    <w:semiHidden/>
    <w:rsid w:val="00646F9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hyperlink" Target="mailto:zahirska@gmail.com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2194</Words>
  <Characters>1252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6</cp:revision>
  <dcterms:created xsi:type="dcterms:W3CDTF">2013-10-29T07:51:00Z</dcterms:created>
  <dcterms:modified xsi:type="dcterms:W3CDTF">2013-10-29T14:39:00Z</dcterms:modified>
</cp:coreProperties>
</file>