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https://dbclass.cs.pdx.edu/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database name = chocan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database user = sp18cwdb43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database password = zaps43*gLn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 members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CREATE TABLE members (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member_id int NOT NULL,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 varchar(225),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 varchar(255),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status varchar(225),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(member_id)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CHECK( member_id between 100000000 AND 999999999)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# providers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 TABLE providers (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provider_id int NOT NULL,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 varchar(225),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email varchar(255),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(provider_id),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CHECK( provider_id between 100000000 AND 999999999)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# services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CREATE TABLE services (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service_code int NOT NULL,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name             varchar(225),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cost               decimal,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(service_code),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CHECK( service_code between 100000 AND 999999)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 transactions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CREATE TABLE transactions (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transaction_id int NOT NULL,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member_id  </w:t>
        <w:tab/>
        <w:t xml:space="preserve">int references members(member_id),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provider_id</w:t>
        <w:tab/>
        <w:t xml:space="preserve">int references providers(provider_id),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service_code   int references services(service_code),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service_date   date,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date       </w:t>
        <w:tab/>
        <w:t xml:space="preserve">date,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PRIMARY KEY (transaction_id)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sectPr>
      <w:pgSz w:h="15840" w:w="122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class.cs.pdx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