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6"/>
        </w:rPr>
        <w:t>Körber Supply Chain Automation GmbH (Testdaten)</w:t>
        <w:br/>
        <w:t>Musterstraße 1 · 74211 Leingarten</w:t>
      </w:r>
    </w:p>
    <w:p>
      <w:r>
        <w:rPr>
          <w:b w:val="0"/>
        </w:rPr>
        <w:t>Brennecke Getränkelogistik GmbH &amp; Co. KG</w:t>
        <w:br/>
        <w:t>Herrn Thomas Albers, Leitung Logistik</w:t>
        <w:br/>
        <w:t>Industriering 14</w:t>
        <w:br/>
        <w:t>49393 Lohne</w:t>
      </w:r>
    </w:p>
    <w:p>
      <w:r>
        <w:rPr>
          <w:b/>
        </w:rPr>
        <w:t>Angebot Nr. AN-2026-1187 · Rev. 02</w:t>
        <w:br/>
        <w:t>Datum: 18.08.2026</w:t>
        <w:br/>
        <w:t>Ihre Anfrage vom 02.06.2026, Projekt „Leergutlager Lohne“</w:t>
      </w:r>
    </w:p>
    <w:p>
      <w:pPr>
        <w:pStyle w:val="Title"/>
      </w:pPr>
      <w:r>
        <w:t>Automatisches Leergutlager mit Palettenfördertechnik</w:t>
      </w:r>
    </w:p>
    <w:p>
      <w:r>
        <w:rPr>
          <w:b w:val="0"/>
        </w:rPr>
        <w:t>Sehr geehrter Herr Albers,</w:t>
        <w:br/>
        <w:br/>
        <w:t>vielen Dank für Ihre Anfrage und die konstruktiven Gespräche vor Ort am 24.06. und 15.07.2026. Gerne unterbreiten wir Ihnen auf Basis Ihrer Spezifikation „LH-LAG-Spec v1.3“ das folgende Angebot.</w:t>
      </w:r>
    </w:p>
    <w:p>
      <w:pPr>
        <w:pStyle w:val="Heading1"/>
      </w:pPr>
      <w:r>
        <w:t>1. Lieferumfang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rPr>
                <w:b/>
              </w:rPr>
              <w:t>Pos.</w:t>
            </w:r>
          </w:p>
        </w:tc>
        <w:tc>
          <w:tcPr>
            <w:tcW w:type="dxa" w:w="2436"/>
          </w:tcPr>
          <w:p>
            <w:r>
              <w:rPr>
                <w:b/>
              </w:rPr>
              <w:t>Beschreibung</w:t>
            </w:r>
          </w:p>
        </w:tc>
        <w:tc>
          <w:tcPr>
            <w:tcW w:type="dxa" w:w="2436"/>
          </w:tcPr>
          <w:p>
            <w:r>
              <w:rPr>
                <w:b/>
              </w:rPr>
              <w:t>Menge</w:t>
            </w:r>
          </w:p>
        </w:tc>
        <w:tc>
          <w:tcPr>
            <w:tcW w:type="dxa" w:w="2436"/>
          </w:tcPr>
          <w:p>
            <w:r>
              <w:rPr>
                <w:b/>
              </w:rPr>
              <w:t>Preis netto (EUR)</w:t>
            </w:r>
          </w:p>
        </w:tc>
      </w:tr>
      <w:tr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Hochregallager in Silobauweise, 4 Gassen, Höhe 28 m, 9.600 Palettenplätze (Europalette 1.200 × 800 mm, max. 1.000 kg)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3.840.000</w:t>
            </w:r>
          </w:p>
        </w:tc>
      </w:tr>
      <w:tr>
        <w:tc>
          <w:tcPr>
            <w:tcW w:type="dxa" w:w="2436"/>
          </w:tcPr>
          <w:p>
            <w:r>
              <w:t>2</w:t>
            </w:r>
          </w:p>
        </w:tc>
        <w:tc>
          <w:tcPr>
            <w:tcW w:type="dxa" w:w="2436"/>
          </w:tcPr>
          <w:p>
            <w:r>
              <w:t>Regalbediengeräte ProStacker H30, einfachtief, je Gasse ein Gerät</w:t>
            </w:r>
          </w:p>
        </w:tc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1.920.000</w:t>
            </w:r>
          </w:p>
        </w:tc>
      </w:tr>
      <w:tr>
        <w:tc>
          <w:tcPr>
            <w:tcW w:type="dxa" w:w="2436"/>
          </w:tcPr>
          <w:p>
            <w:r>
              <w:t>3</w:t>
            </w:r>
          </w:p>
        </w:tc>
        <w:tc>
          <w:tcPr>
            <w:tcW w:type="dxa" w:w="2436"/>
          </w:tcPr>
          <w:p>
            <w:r>
              <w:t>Palettenfördertechnik Vorzone: Rollen- und Kettenförderer, 2 Aufgabe- und 2 Abgabestellen, Konturen- und Gewichtskontrolle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1.130.000</w:t>
            </w:r>
          </w:p>
        </w:tc>
      </w:tr>
      <w:tr>
        <w:tc>
          <w:tcPr>
            <w:tcW w:type="dxa" w:w="2436"/>
          </w:tcPr>
          <w:p>
            <w:r>
              <w:t>4</w:t>
            </w:r>
          </w:p>
        </w:tc>
        <w:tc>
          <w:tcPr>
            <w:tcW w:type="dxa" w:w="2436"/>
          </w:tcPr>
          <w:p>
            <w:r>
              <w:t>Lagerverwaltungssoftware K.Motion Warehouse Edge inkl. Schnittstelle SAP EWM (IDoc)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690.000</w:t>
            </w:r>
          </w:p>
        </w:tc>
      </w:tr>
      <w:tr>
        <w:tc>
          <w:tcPr>
            <w:tcW w:type="dxa" w:w="2436"/>
          </w:tcPr>
          <w:p>
            <w:r>
              <w:t>5</w:t>
            </w:r>
          </w:p>
        </w:tc>
        <w:tc>
          <w:tcPr>
            <w:tcW w:type="dxa" w:w="2436"/>
          </w:tcPr>
          <w:p>
            <w:r>
              <w:t>Materialflussrechner und Visualisierung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245.000</w:t>
            </w:r>
          </w:p>
        </w:tc>
      </w:tr>
      <w:tr>
        <w:tc>
          <w:tcPr>
            <w:tcW w:type="dxa" w:w="2436"/>
          </w:tcPr>
          <w:p>
            <w:r>
              <w:t>6</w:t>
            </w:r>
          </w:p>
        </w:tc>
        <w:tc>
          <w:tcPr>
            <w:tcW w:type="dxa" w:w="2436"/>
          </w:tcPr>
          <w:p>
            <w:r>
              <w:t>Montage, Inbetriebnahme, Probebetrieb 4 Wochen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780.000</w:t>
            </w:r>
          </w:p>
        </w:tc>
      </w:tr>
      <w:tr>
        <w:tc>
          <w:tcPr>
            <w:tcW w:type="dxa" w:w="2436"/>
          </w:tcPr>
          <w:p>
            <w:r>
              <w:t>7</w:t>
            </w:r>
          </w:p>
        </w:tc>
        <w:tc>
          <w:tcPr>
            <w:tcW w:type="dxa" w:w="2436"/>
          </w:tcPr>
          <w:p>
            <w:r>
              <w:t>Schulung Bedienpersonal und Instandhaltung (3 Tage, max. 12 Personen)</w:t>
            </w:r>
          </w:p>
        </w:tc>
        <w:tc>
          <w:tcPr>
            <w:tcW w:type="dxa" w:w="2436"/>
          </w:tcPr>
          <w:p>
            <w:r>
              <w:t>1</w:t>
            </w:r>
          </w:p>
        </w:tc>
        <w:tc>
          <w:tcPr>
            <w:tcW w:type="dxa" w:w="2436"/>
          </w:tcPr>
          <w:p>
            <w:r>
              <w:t>36.000</w:t>
            </w:r>
          </w:p>
        </w:tc>
      </w:tr>
      <w:tr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Gesamtpreis netto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>
              <w:t>8.641.000</w:t>
            </w:r>
          </w:p>
        </w:tc>
      </w:tr>
    </w:tbl>
    <w:p/>
    <w:p>
      <w:r>
        <w:rPr>
          <w:b w:val="0"/>
        </w:rPr>
        <w:t>Nicht im Lieferumfang: Bauwerk, Fundamente, Sprinkleranlage, Brandschutzkonzept, Netzwerk-Infrastruktur bis zum Schaltschrank, Staplerverkehr in der Vorzone, Datenmigration aus dem Altsystem.</w:t>
      </w:r>
    </w:p>
    <w:p>
      <w:pPr>
        <w:pStyle w:val="Heading1"/>
      </w:pPr>
      <w:r>
        <w:t>2. Technische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Merkmal</w:t>
            </w:r>
          </w:p>
        </w:tc>
        <w:tc>
          <w:tcPr>
            <w:tcW w:type="dxa" w:w="4873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4873"/>
          </w:tcPr>
          <w:p>
            <w:r>
              <w:t>Lagerplätze</w:t>
            </w:r>
          </w:p>
        </w:tc>
        <w:tc>
          <w:tcPr>
            <w:tcW w:type="dxa" w:w="4873"/>
          </w:tcPr>
          <w:p>
            <w:r>
              <w:t>9.600 Paletten</w:t>
            </w:r>
          </w:p>
        </w:tc>
      </w:tr>
      <w:tr>
        <w:tc>
          <w:tcPr>
            <w:tcW w:type="dxa" w:w="4873"/>
          </w:tcPr>
          <w:p>
            <w:r>
              <w:t>Durchsatz</w:t>
            </w:r>
          </w:p>
        </w:tc>
        <w:tc>
          <w:tcPr>
            <w:tcW w:type="dxa" w:w="4873"/>
          </w:tcPr>
          <w:p>
            <w:r>
              <w:t>180 Doppelspiele pro Stunde gesamt (Ein- und Auslagerung kombiniert)</w:t>
            </w:r>
          </w:p>
        </w:tc>
      </w:tr>
      <w:tr>
        <w:tc>
          <w:tcPr>
            <w:tcW w:type="dxa" w:w="4873"/>
          </w:tcPr>
          <w:p>
            <w:r>
              <w:t>Temperaturbereich</w:t>
            </w:r>
          </w:p>
        </w:tc>
        <w:tc>
          <w:tcPr>
            <w:tcW w:type="dxa" w:w="4873"/>
          </w:tcPr>
          <w:p>
            <w:r>
              <w:t>+5 °C bis +35 °C, nicht klimatisiert</w:t>
            </w:r>
          </w:p>
        </w:tc>
      </w:tr>
      <w:tr>
        <w:tc>
          <w:tcPr>
            <w:tcW w:type="dxa" w:w="4873"/>
          </w:tcPr>
          <w:p>
            <w:r>
              <w:t>Palettentyp</w:t>
            </w:r>
          </w:p>
        </w:tc>
        <w:tc>
          <w:tcPr>
            <w:tcW w:type="dxa" w:w="4873"/>
          </w:tcPr>
          <w:p>
            <w:r>
              <w:t>Europalette, Industriepalette nur nach Rücksprache</w:t>
            </w:r>
          </w:p>
        </w:tc>
      </w:tr>
      <w:tr>
        <w:tc>
          <w:tcPr>
            <w:tcW w:type="dxa" w:w="4873"/>
          </w:tcPr>
          <w:p>
            <w:r>
              <w:t>Verfügbarkeit</w:t>
            </w:r>
          </w:p>
        </w:tc>
        <w:tc>
          <w:tcPr>
            <w:tcW w:type="dxa" w:w="4873"/>
          </w:tcPr>
          <w:p>
            <w:r>
              <w:t>98,5 % gemäß FEM 9.222, gemessen nach Abschluss des Probebetriebs</w:t>
            </w:r>
          </w:p>
        </w:tc>
      </w:tr>
      <w:tr>
        <w:tc>
          <w:tcPr>
            <w:tcW w:type="dxa" w:w="4873"/>
          </w:tcPr>
          <w:p>
            <w:r>
              <w:t>Software-Schnittstelle</w:t>
            </w:r>
          </w:p>
        </w:tc>
        <w:tc>
          <w:tcPr>
            <w:tcW w:type="dxa" w:w="4873"/>
          </w:tcPr>
          <w:p>
            <w:r>
              <w:t>SAP EWM über IDoc (WMTORD, WMTOCO); Kundenseitige Anpassungen in SAP durch den Auftraggeber</w:t>
            </w:r>
          </w:p>
        </w:tc>
      </w:tr>
      <w:tr>
        <w:tc>
          <w:tcPr>
            <w:tcW w:type="dxa" w:w="4873"/>
          </w:tcPr>
          <w:p>
            <w:r>
              <w:t>Steuerung</w:t>
            </w:r>
          </w:p>
        </w:tc>
        <w:tc>
          <w:tcPr>
            <w:tcW w:type="dxa" w:w="4873"/>
          </w:tcPr>
          <w:p>
            <w:r>
              <w:t>Siemens S7-1500, PROFINET</w:t>
            </w:r>
          </w:p>
        </w:tc>
      </w:tr>
      <w:tr>
        <w:tc>
          <w:tcPr>
            <w:tcW w:type="dxa" w:w="4873"/>
          </w:tcPr>
          <w:p>
            <w:r>
              <w:t>Fernwartung</w:t>
            </w:r>
          </w:p>
        </w:tc>
        <w:tc>
          <w:tcPr>
            <w:tcW w:type="dxa" w:w="4873"/>
          </w:tcPr>
          <w:p>
            <w:r>
              <w:t>Über Körber Remote Service, Zugang per VPN, Freigabe durch den Kunden im Einzelfall</w:t>
            </w:r>
          </w:p>
        </w:tc>
      </w:tr>
    </w:tbl>
    <w:p/>
    <w:p>
      <w:pPr>
        <w:pStyle w:val="Heading1"/>
      </w:pPr>
      <w:r>
        <w:t>3. Termine</w:t>
      </w:r>
    </w:p>
    <w:p>
      <w:r>
        <w:rPr>
          <w:b w:val="0"/>
        </w:rPr>
        <w:t>Liefertermin Stahlbau: KW 14/2027</w:t>
        <w:br/>
        <w:t>Mechanische Fertigstellung: KW 30/2027</w:t>
        <w:br/>
        <w:t>Inbetriebnahme und Probebetrieb: KW 31 bis KW 38/2027</w:t>
        <w:br/>
        <w:t>Abnahme: spätestens KW 40/2027</w:t>
        <w:br/>
        <w:br/>
        <w:t>Voraussetzung für die Termine ist die Freigabe der Ausführungsplanung durch den Auftraggeber bis 15.11.2026 sowie die Fertigstellung des Bauwerks bis KW 10/2027.</w:t>
      </w:r>
    </w:p>
    <w:p>
      <w:pPr>
        <w:pStyle w:val="Heading1"/>
      </w:pPr>
      <w:r>
        <w:t>4. Kaufmännische Bedingungen</w:t>
      </w:r>
    </w:p>
    <w:p>
      <w:r>
        <w:rPr>
          <w:b/>
        </w:rPr>
        <w:t>Zahlungsbedingungen:</w:t>
      </w:r>
    </w:p>
    <w:p>
      <w:r>
        <w:rPr>
          <w:b w:val="0"/>
        </w:rPr>
        <w:t>30 % bei Auftragseingang, 30 % bei Lieferung Stahlbau, 30 % bei mechanischer Fertigstellung, 10 % nach Abnahme. Zahlbar innerhalb von 30 Tagen netto ohne Abzug.</w:t>
      </w:r>
    </w:p>
    <w:p>
      <w:r>
        <w:rPr>
          <w:b/>
        </w:rPr>
        <w:t>Vertragsstrafe:</w:t>
      </w:r>
    </w:p>
    <w:p>
      <w:r>
        <w:rPr>
          <w:b w:val="0"/>
        </w:rPr>
        <w:t>Bei Überschreitung des Abnahmetermins aus Gründen, die der Auftragnehmer zu vertreten hat, 0,3 % des Netto-Auftragswertes je angefangener Kalenderwoche, insgesamt höchstens 5 % des Netto-Auftragswertes.</w:t>
      </w:r>
    </w:p>
    <w:p>
      <w:r>
        <w:rPr>
          <w:b/>
        </w:rPr>
        <w:t>Gewährleistung:</w:t>
      </w:r>
    </w:p>
    <w:p>
      <w:r>
        <w:rPr>
          <w:b w:val="0"/>
        </w:rPr>
        <w:t>24 Monate ab Abnahme, längstens 30 Monate ab Lieferung Stahlbau. Verschleißteile (Rollen, Ketten, Bremsbeläge) sind ausgenommen.</w:t>
      </w:r>
    </w:p>
    <w:p>
      <w:r>
        <w:rPr>
          <w:b/>
        </w:rPr>
        <w:t>Haftung:</w:t>
      </w:r>
    </w:p>
    <w:p>
      <w:r>
        <w:rPr>
          <w:b w:val="0"/>
        </w:rPr>
        <w:t>Die Haftung für Folgeschäden ist ausgeschlossen. Die Gesamthaftung ist auf 15 % des Netto-Auftragswertes begrenzt, soweit gesetzlich zulässig.</w:t>
      </w:r>
    </w:p>
    <w:p>
      <w:r>
        <w:rPr>
          <w:b/>
        </w:rPr>
        <w:t>Preisgleitung:</w:t>
      </w:r>
    </w:p>
    <w:p>
      <w:r>
        <w:rPr>
          <w:b w:val="0"/>
        </w:rPr>
        <w:t>Die Preise basieren auf dem Stahlpreisindex vom Juli 2026. Bei einer Veränderung um mehr als 8 % bis zur Bestellung des Stahls behalten wir uns eine Anpassung vor.</w:t>
      </w:r>
    </w:p>
    <w:p>
      <w:r>
        <w:rPr>
          <w:b/>
        </w:rPr>
        <w:t>Bindefrist:</w:t>
      </w:r>
    </w:p>
    <w:p>
      <w:r>
        <w:rPr>
          <w:b w:val="0"/>
        </w:rPr>
        <w:t>Dieses Angebot gilt bis 30.09.2026.</w:t>
      </w:r>
    </w:p>
    <w:p>
      <w:pPr>
        <w:pStyle w:val="Heading1"/>
      </w:pPr>
      <w:r>
        <w:t>5. Annahmen und Klärungsbedarf</w:t>
      </w:r>
    </w:p>
    <w:p>
      <w:r>
        <w:rPr>
          <w:b w:val="0"/>
        </w:rPr>
        <w:t>• Die Bodenplatte trägt die Lasten gemäß unserer Lastangabe LA-2026-1187 (wird vom Kunden statisch bestätigt).</w:t>
        <w:br/>
        <w:t>• Die Schnittstellenbeschreibung SAP EWM liegt noch nicht vor; wir gehen von Standard-IDocs ohne kundenspezifische Erweiterungen aus.</w:t>
        <w:br/>
        <w:t>• Die Gewichtskontrolle prüft gegen 1.000 kg; schwerere Paletten werden ausgeschleust.</w:t>
        <w:br/>
        <w:t>• Cybersecurity-Anforderungen gemäß IEC 62443 sind nicht Bestandteil dieses Angebots und werden bei Bedarf separat angeboten.</w:t>
      </w:r>
    </w:p>
    <w:p>
      <w:r>
        <w:rPr>
          <w:b w:val="0"/>
        </w:rPr>
        <w:br/>
        <w:t>Mit freundlichen Grüßen</w:t>
        <w:br/>
        <w:br/>
        <w:t>Julia Brandt</w:t>
        <w:br/>
        <w:t>Vertrieb Intralogistik</w:t>
        <w:br/>
        <w:br/>
        <w:t>(Fiktive Testdaten für den KI-Hub. Alle Namen, Firmen und Zahlen sind erfunden.)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