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120" w:after="40" w:line="240" w:lineRule="auto"/>
      </w:pPr>
      <w:r>
        <w:rPr>
          <w:rFonts w:ascii="Calibri" w:hAnsi="Calibri"/>
          <w:b/>
          <w:color w:val="2E74B5"/>
          <w:sz w:val="18"/>
        </w:rPr>
        <w:t>PRODUCT IMPLEMENTATION PLAN</w:t>
      </w:r>
    </w:p>
    <w:p>
      <w:pPr>
        <w:keepNext w:val="0"/>
        <w:spacing w:before="0" w:after="20" w:line="240" w:lineRule="auto"/>
      </w:pPr>
      <w:r>
        <w:rPr>
          <w:rFonts w:ascii="Calibri" w:hAnsi="Calibri"/>
          <w:b/>
          <w:color w:val="0B2545"/>
          <w:sz w:val="56"/>
        </w:rPr>
        <w:t>erFam</w:t>
      </w:r>
    </w:p>
    <w:p>
      <w:pPr>
        <w:keepNext w:val="0"/>
        <w:spacing w:before="0" w:after="240" w:line="240" w:lineRule="auto"/>
      </w:pPr>
      <w:r>
        <w:rPr>
          <w:rFonts w:ascii="Calibri" w:hAnsi="Calibri"/>
          <w:color w:val="5F6B7A"/>
          <w:sz w:val="23"/>
        </w:rPr>
        <w:t>Contract-first, evidence-gated build plan for Android, administration, cloud control, media, and locked carrier integration</w:t>
      </w:r>
    </w:p>
    <w:tbl>
      <w:tblPr>
        <w:tblStyle w:val="TableGrid"/>
        <w:tblW w:type="dxa" w:w="9360"/>
        <w:jc w:val="left"/>
        <w:tblLayout w:type="fixed"/>
        <w:tblLook w:firstColumn="1" w:firstRow="1" w:lastColumn="0" w:lastRow="0" w:noHBand="0" w:noVBand="1" w:val="04A0"/>
        <w:tblInd w:w="120" w:type="dxa"/>
        <w:tblBorders>
          <w:top w:val="single" w:sz="4" w:color="C7CDD6"/>
          <w:left w:val="single" w:sz="4" w:color="C7CDD6"/>
          <w:bottom w:val="single" w:sz="4" w:color="C7CDD6"/>
          <w:right w:val="single" w:sz="4" w:color="C7CDD6"/>
          <w:insideH w:val="single" w:sz="4" w:color="C7CDD6"/>
          <w:insideV w:val="single" w:sz="4" w:color="C7CDD6"/>
        </w:tblBorders>
      </w:tblPr>
      <w:tblGrid>
        <w:gridCol w:w="1900"/>
        <w:gridCol w:w="7460"/>
      </w:tblGrid>
      <w:tr>
        <w:trPr>
          <w:trHeight w:hRule="atLeast"/>
          <w:tblHeader w:val="true"/>
        </w:trPr>
        <w:tc>
          <w:tcPr>
            <w:tcW w:type="dxa" w:w="19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7"/>
              </w:rPr>
              <w:t>Field</w:t>
            </w:r>
          </w:p>
        </w:tc>
        <w:tc>
          <w:tcPr>
            <w:tcW w:type="dxa" w:w="746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7"/>
              </w:rPr>
              <w:t>Value</w:t>
            </w:r>
          </w:p>
        </w:tc>
      </w:tr>
      <w:tr>
        <w:trPr>
          <w:trHeight w:hRule="atLeast"/>
        </w:trPr>
        <w:tc>
          <w:tcPr>
            <w:tcW w:type="dxa" w:w="1900"/>
            <w:tcMar>
              <w:top w:w="80" w:type="dxa"/>
              <w:bottom w:w="80" w:type="dxa"/>
              <w:start w:w="120" w:type="dxa"/>
              <w:end w:w="120" w:type="dxa"/>
            </w:tcMar>
            <w:vAlign w:val="center"/>
          </w:tcPr>
          <w:p>
            <w:pPr>
              <w:keepNext w:val="0"/>
              <w:spacing w:before="0" w:after="0" w:line="252" w:lineRule="auto"/>
            </w:pPr>
            <w:r/>
            <w:r>
              <w:rPr>
                <w:rFonts w:ascii="Calibri" w:hAnsi="Calibri"/>
                <w:color w:val="000000"/>
                <w:sz w:val="17"/>
              </w:rPr>
              <w:t>Version</w:t>
            </w:r>
          </w:p>
        </w:tc>
        <w:tc>
          <w:tcPr>
            <w:tcW w:type="dxa" w:w="7460"/>
            <w:tcMar>
              <w:top w:w="80" w:type="dxa"/>
              <w:bottom w:w="80" w:type="dxa"/>
              <w:start w:w="120" w:type="dxa"/>
              <w:end w:w="120" w:type="dxa"/>
            </w:tcMar>
            <w:vAlign w:val="center"/>
          </w:tcPr>
          <w:p>
            <w:pPr>
              <w:keepNext w:val="0"/>
              <w:spacing w:before="0" w:after="0" w:line="252" w:lineRule="auto"/>
            </w:pPr>
            <w:r/>
            <w:r>
              <w:rPr>
                <w:rFonts w:ascii="Calibri" w:hAnsi="Calibri"/>
                <w:color w:val="000000"/>
                <w:sz w:val="17"/>
              </w:rPr>
              <w:t>0.1</w:t>
            </w:r>
          </w:p>
        </w:tc>
      </w:tr>
      <w:tr>
        <w:trPr>
          <w:trHeight w:hRule="atLeast"/>
        </w:trPr>
        <w:tc>
          <w:tcPr>
            <w:tcW w:type="dxa" w:w="1900"/>
            <w:tcMar>
              <w:top w:w="80" w:type="dxa"/>
              <w:bottom w:w="80" w:type="dxa"/>
              <w:start w:w="120" w:type="dxa"/>
              <w:end w:w="120" w:type="dxa"/>
            </w:tcMar>
            <w:vAlign w:val="center"/>
          </w:tcPr>
          <w:p>
            <w:pPr>
              <w:keepNext w:val="0"/>
              <w:spacing w:before="0" w:after="0" w:line="252" w:lineRule="auto"/>
            </w:pPr>
            <w:r/>
            <w:r>
              <w:rPr>
                <w:rFonts w:ascii="Calibri" w:hAnsi="Calibri"/>
                <w:color w:val="000000"/>
                <w:sz w:val="17"/>
              </w:rPr>
              <w:t>Status</w:t>
            </w:r>
          </w:p>
        </w:tc>
        <w:tc>
          <w:tcPr>
            <w:tcW w:type="dxa" w:w="7460"/>
            <w:tcMar>
              <w:top w:w="80" w:type="dxa"/>
              <w:bottom w:w="80" w:type="dxa"/>
              <w:start w:w="120" w:type="dxa"/>
              <w:end w:w="120" w:type="dxa"/>
            </w:tcMar>
            <w:vAlign w:val="center"/>
          </w:tcPr>
          <w:p>
            <w:pPr>
              <w:keepNext w:val="0"/>
              <w:spacing w:before="0" w:after="0" w:line="252" w:lineRule="auto"/>
            </w:pPr>
            <w:r/>
            <w:r>
              <w:rPr>
                <w:rFonts w:ascii="Calibri" w:hAnsi="Calibri"/>
                <w:color w:val="000000"/>
                <w:sz w:val="17"/>
              </w:rPr>
              <w:t>Build-start candidate — alpha review required</w:t>
            </w:r>
          </w:p>
        </w:tc>
      </w:tr>
      <w:tr>
        <w:trPr>
          <w:trHeight w:hRule="atLeast"/>
        </w:trPr>
        <w:tc>
          <w:tcPr>
            <w:tcW w:type="dxa" w:w="1900"/>
            <w:tcMar>
              <w:top w:w="80" w:type="dxa"/>
              <w:bottom w:w="80" w:type="dxa"/>
              <w:start w:w="120" w:type="dxa"/>
              <w:end w:w="120" w:type="dxa"/>
            </w:tcMar>
            <w:vAlign w:val="center"/>
          </w:tcPr>
          <w:p>
            <w:pPr>
              <w:keepNext w:val="0"/>
              <w:spacing w:before="0" w:after="0" w:line="252" w:lineRule="auto"/>
            </w:pPr>
            <w:r/>
            <w:r>
              <w:rPr>
                <w:rFonts w:ascii="Calibri" w:hAnsi="Calibri"/>
                <w:color w:val="000000"/>
                <w:sz w:val="17"/>
              </w:rPr>
              <w:t>Prepared</w:t>
            </w:r>
          </w:p>
        </w:tc>
        <w:tc>
          <w:tcPr>
            <w:tcW w:type="dxa" w:w="7460"/>
            <w:tcMar>
              <w:top w:w="80" w:type="dxa"/>
              <w:bottom w:w="80" w:type="dxa"/>
              <w:start w:w="120" w:type="dxa"/>
              <w:end w:w="120" w:type="dxa"/>
            </w:tcMar>
            <w:vAlign w:val="center"/>
          </w:tcPr>
          <w:p>
            <w:pPr>
              <w:keepNext w:val="0"/>
              <w:spacing w:before="0" w:after="0" w:line="252" w:lineRule="auto"/>
            </w:pPr>
            <w:r/>
            <w:r>
              <w:rPr>
                <w:rFonts w:ascii="Calibri" w:hAnsi="Calibri"/>
                <w:color w:val="000000"/>
                <w:sz w:val="17"/>
              </w:rPr>
              <w:t>24 July 2026</w:t>
            </w:r>
          </w:p>
        </w:tc>
      </w:tr>
      <w:tr>
        <w:trPr>
          <w:trHeight w:hRule="atLeast"/>
        </w:trPr>
        <w:tc>
          <w:tcPr>
            <w:tcW w:type="dxa" w:w="1900"/>
            <w:tcMar>
              <w:top w:w="80" w:type="dxa"/>
              <w:bottom w:w="80" w:type="dxa"/>
              <w:start w:w="120" w:type="dxa"/>
              <w:end w:w="120" w:type="dxa"/>
            </w:tcMar>
            <w:vAlign w:val="center"/>
          </w:tcPr>
          <w:p>
            <w:pPr>
              <w:keepNext w:val="0"/>
              <w:spacing w:before="0" w:after="0" w:line="252" w:lineRule="auto"/>
            </w:pPr>
            <w:r/>
            <w:r>
              <w:rPr>
                <w:rFonts w:ascii="Calibri" w:hAnsi="Calibri"/>
                <w:color w:val="000000"/>
                <w:sz w:val="17"/>
              </w:rPr>
              <w:t>Governing requirements</w:t>
            </w:r>
          </w:p>
        </w:tc>
        <w:tc>
          <w:tcPr>
            <w:tcW w:type="dxa" w:w="7460"/>
            <w:tcMar>
              <w:top w:w="80" w:type="dxa"/>
              <w:bottom w:w="80" w:type="dxa"/>
              <w:start w:w="120" w:type="dxa"/>
              <w:end w:w="120" w:type="dxa"/>
            </w:tcMar>
            <w:vAlign w:val="center"/>
          </w:tcPr>
          <w:p>
            <w:pPr>
              <w:keepNext w:val="0"/>
              <w:spacing w:before="0" w:after="0" w:line="252" w:lineRule="auto"/>
            </w:pPr>
            <w:r/>
            <w:r>
              <w:rPr>
                <w:rFonts w:ascii="Calibri" w:hAnsi="Calibri"/>
                <w:color w:val="000000"/>
                <w:sz w:val="17"/>
              </w:rPr>
              <w:t>erFam PRD v0.3</w:t>
            </w:r>
          </w:p>
        </w:tc>
      </w:tr>
      <w:tr>
        <w:trPr>
          <w:trHeight w:hRule="atLeast"/>
        </w:trPr>
        <w:tc>
          <w:tcPr>
            <w:tcW w:type="dxa" w:w="1900"/>
            <w:tcMar>
              <w:top w:w="80" w:type="dxa"/>
              <w:bottom w:w="80" w:type="dxa"/>
              <w:start w:w="120" w:type="dxa"/>
              <w:end w:w="120" w:type="dxa"/>
            </w:tcMar>
            <w:vAlign w:val="center"/>
          </w:tcPr>
          <w:p>
            <w:pPr>
              <w:keepNext w:val="0"/>
              <w:spacing w:before="0" w:after="0" w:line="252" w:lineRule="auto"/>
            </w:pPr>
            <w:r/>
            <w:r>
              <w:rPr>
                <w:rFonts w:ascii="Calibri" w:hAnsi="Calibri"/>
                <w:color w:val="000000"/>
                <w:sz w:val="17"/>
              </w:rPr>
              <w:t>Governing design</w:t>
            </w:r>
          </w:p>
        </w:tc>
        <w:tc>
          <w:tcPr>
            <w:tcW w:type="dxa" w:w="7460"/>
            <w:tcMar>
              <w:top w:w="80" w:type="dxa"/>
              <w:bottom w:w="80" w:type="dxa"/>
              <w:start w:w="120" w:type="dxa"/>
              <w:end w:w="120" w:type="dxa"/>
            </w:tcMar>
            <w:vAlign w:val="center"/>
          </w:tcPr>
          <w:p>
            <w:pPr>
              <w:keepNext w:val="0"/>
              <w:spacing w:before="0" w:after="0" w:line="252" w:lineRule="auto"/>
            </w:pPr>
            <w:r/>
            <w:r>
              <w:rPr>
                <w:rFonts w:ascii="Calibri" w:hAnsi="Calibri"/>
                <w:color w:val="000000"/>
                <w:sz w:val="17"/>
              </w:rPr>
              <w:t>erFam Product Design v0.2</w:t>
            </w:r>
          </w:p>
        </w:tc>
      </w:tr>
      <w:tr>
        <w:trPr>
          <w:trHeight w:hRule="atLeast"/>
        </w:trPr>
        <w:tc>
          <w:tcPr>
            <w:tcW w:type="dxa" w:w="1900"/>
            <w:tcMar>
              <w:top w:w="80" w:type="dxa"/>
              <w:bottom w:w="80" w:type="dxa"/>
              <w:start w:w="120" w:type="dxa"/>
              <w:end w:w="120" w:type="dxa"/>
            </w:tcMar>
            <w:vAlign w:val="center"/>
          </w:tcPr>
          <w:p>
            <w:pPr>
              <w:keepNext w:val="0"/>
              <w:spacing w:before="0" w:after="0" w:line="252" w:lineRule="auto"/>
            </w:pPr>
            <w:r/>
            <w:r>
              <w:rPr>
                <w:rFonts w:ascii="Calibri" w:hAnsi="Calibri"/>
                <w:color w:val="000000"/>
                <w:sz w:val="17"/>
              </w:rPr>
              <w:t>Build boundary</w:t>
            </w:r>
          </w:p>
        </w:tc>
        <w:tc>
          <w:tcPr>
            <w:tcW w:type="dxa" w:w="7460"/>
            <w:tcMar>
              <w:top w:w="80" w:type="dxa"/>
              <w:bottom w:w="80" w:type="dxa"/>
              <w:start w:w="120" w:type="dxa"/>
              <w:end w:w="120" w:type="dxa"/>
            </w:tcMar>
            <w:vAlign w:val="center"/>
          </w:tcPr>
          <w:p>
            <w:pPr>
              <w:keepNext w:val="0"/>
              <w:spacing w:before="0" w:after="0" w:line="252" w:lineRule="auto"/>
            </w:pPr>
            <w:r/>
            <w:r>
              <w:rPr>
                <w:rFonts w:ascii="Calibri" w:hAnsi="Calibri"/>
                <w:color w:val="000000"/>
                <w:sz w:val="17"/>
              </w:rPr>
              <w:t>B1–B6 only; no live carrier activation</w:t>
            </w:r>
          </w:p>
        </w:tc>
      </w:tr>
      <w:tr>
        <w:trPr>
          <w:trHeight w:hRule="atLeast"/>
        </w:trPr>
        <w:tc>
          <w:tcPr>
            <w:tcW w:type="dxa" w:w="1900"/>
            <w:tcMar>
              <w:top w:w="80" w:type="dxa"/>
              <w:bottom w:w="80" w:type="dxa"/>
              <w:start w:w="120" w:type="dxa"/>
              <w:end w:w="120" w:type="dxa"/>
            </w:tcMar>
            <w:vAlign w:val="center"/>
          </w:tcPr>
          <w:p>
            <w:pPr>
              <w:keepNext w:val="0"/>
              <w:spacing w:before="0" w:after="0" w:line="252" w:lineRule="auto"/>
            </w:pPr>
            <w:r/>
            <w:r>
              <w:rPr>
                <w:rFonts w:ascii="Calibri" w:hAnsi="Calibri"/>
                <w:color w:val="000000"/>
                <w:sz w:val="17"/>
              </w:rPr>
              <w:t>Primary architecture</w:t>
            </w:r>
          </w:p>
        </w:tc>
        <w:tc>
          <w:tcPr>
            <w:tcW w:type="dxa" w:w="7460"/>
            <w:tcMar>
              <w:top w:w="80" w:type="dxa"/>
              <w:bottom w:w="80" w:type="dxa"/>
              <w:start w:w="120" w:type="dxa"/>
              <w:end w:w="120" w:type="dxa"/>
            </w:tcMar>
            <w:vAlign w:val="center"/>
          </w:tcPr>
          <w:p>
            <w:pPr>
              <w:keepNext w:val="0"/>
              <w:spacing w:before="0" w:after="0" w:line="252" w:lineRule="auto"/>
            </w:pPr>
            <w:r/>
            <w:r>
              <w:rPr>
                <w:rFonts w:ascii="Calibri" w:hAnsi="Calibri"/>
                <w:color w:val="000000"/>
                <w:sz w:val="17"/>
              </w:rPr>
              <w:t>Android + Next.js admin + Kotlin/Ktor + PostgreSQL + Asterisk/TURN</w:t>
            </w:r>
          </w:p>
        </w:tc>
      </w:tr>
      <w:tr>
        <w:trPr>
          <w:trHeight w:hRule="atLeast"/>
        </w:trPr>
        <w:tc>
          <w:tcPr>
            <w:tcW w:type="dxa" w:w="1900"/>
            <w:tcMar>
              <w:top w:w="80" w:type="dxa"/>
              <w:bottom w:w="80" w:type="dxa"/>
              <w:start w:w="120" w:type="dxa"/>
              <w:end w:w="120" w:type="dxa"/>
            </w:tcMar>
            <w:vAlign w:val="center"/>
          </w:tcPr>
          <w:p>
            <w:pPr>
              <w:keepNext w:val="0"/>
              <w:spacing w:before="0" w:after="0" w:line="252" w:lineRule="auto"/>
            </w:pPr>
            <w:r/>
            <w:r>
              <w:rPr>
                <w:rFonts w:ascii="Calibri" w:hAnsi="Calibri"/>
                <w:color w:val="000000"/>
                <w:sz w:val="17"/>
              </w:rPr>
              <w:t>Carrier adapter</w:t>
            </w:r>
          </w:p>
        </w:tc>
        <w:tc>
          <w:tcPr>
            <w:tcW w:type="dxa" w:w="7460"/>
            <w:tcMar>
              <w:top w:w="80" w:type="dxa"/>
              <w:bottom w:w="80" w:type="dxa"/>
              <w:start w:w="120" w:type="dxa"/>
              <w:end w:w="120" w:type="dxa"/>
            </w:tcMar>
            <w:vAlign w:val="center"/>
          </w:tcPr>
          <w:p>
            <w:pPr>
              <w:keepNext w:val="0"/>
              <w:spacing w:before="0" w:after="0" w:line="252" w:lineRule="auto"/>
            </w:pPr>
            <w:r/>
            <w:r>
              <w:rPr>
                <w:rFonts w:ascii="Calibri" w:hAnsi="Calibri"/>
                <w:color w:val="000000"/>
                <w:sz w:val="17"/>
              </w:rPr>
              <w:t>Simulator and real driver delivered; real driver fake-transport tested and activation-locked</w:t>
            </w:r>
          </w:p>
        </w:tc>
      </w:tr>
    </w:tbl>
    <w:tbl>
      <w:tblPr>
        <w:tblW w:type="dxa" w:w="9360"/>
        <w:jc w:val="left"/>
        <w:tblLayout w:type="fixed"/>
        <w:tblLook w:firstColumn="1" w:firstRow="1" w:lastColumn="0" w:lastRow="0" w:noHBand="0" w:noVBand="1" w:val="04A0"/>
        <w:tblInd w:w="120" w:type="dxa"/>
        <w:tblBorders>
          <w:top w:val="single" w:sz="4" w:color="C7CDD6"/>
          <w:left w:val="single" w:sz="4" w:color="C7CDD6"/>
          <w:bottom w:val="single" w:sz="4" w:color="C7CDD6"/>
          <w:right w:val="single" w:sz="4" w:color="C7CDD6"/>
          <w:insideH w:val="single" w:sz="4" w:color="C7CDD6"/>
          <w:insideV w:val="single" w:sz="4" w:color="C7CDD6"/>
        </w:tblBorders>
      </w:tblPr>
      <w:tblGrid>
        <w:gridCol w:w="9360"/>
      </w:tblGrid>
      <w:tr>
        <w:trPr>
          <w:trHeight w:hRule="atLeast"/>
        </w:trPr>
        <w:tc>
          <w:tcPr>
            <w:tcW w:type="dxa" w:w="9360"/>
            <w:shd w:fill="FDEEEE"/>
            <w:tcMar>
              <w:top w:w="80" w:type="dxa"/>
              <w:bottom w:w="80" w:type="dxa"/>
              <w:start w:w="120" w:type="dxa"/>
              <w:end w:w="120" w:type="dxa"/>
            </w:tcMar>
            <w:vAlign w:val="center"/>
          </w:tcPr>
          <w:p>
            <w:pPr>
              <w:keepNext w:val="0"/>
              <w:spacing w:before="0" w:after="40" w:line="276" w:lineRule="auto"/>
            </w:pPr>
            <w:r>
              <w:rPr>
                <w:rFonts w:ascii="Calibri" w:hAnsi="Calibri"/>
                <w:b/>
                <w:color w:val="9B1C1C"/>
                <w:sz w:val="21"/>
              </w:rPr>
              <w:t>Planning promise</w:t>
            </w:r>
          </w:p>
          <w:p>
            <w:pPr>
              <w:keepNext w:val="0"/>
              <w:spacing w:before="0" w:after="0" w:line="276" w:lineRule="auto"/>
            </w:pPr>
            <w:r>
              <w:rPr>
                <w:rFonts w:ascii="Calibri" w:hAnsi="Calibri"/>
                <w:color w:val="000000"/>
                <w:sz w:val="19"/>
              </w:rPr>
              <w:t>The plan does not promise that complex software has zero uncertainty. It makes uncertainty explicit, bounds it with spikes and contracts, fails closed, and prohibits silent semantic drift. No phase advances on confidence alone; it advances on named evidence.</w:t>
            </w:r>
          </w:p>
        </w:tc>
      </w:tr>
    </w:tbl>
    <w:p>
      <w:pPr>
        <w:pStyle w:val="Heading1"/>
      </w:pPr>
      <w:r>
        <w:t>1. Executive build decision</w:t>
      </w:r>
    </w:p>
    <w:tbl>
      <w:tblPr>
        <w:tblW w:type="dxa" w:w="9360"/>
        <w:jc w:val="left"/>
        <w:tblLayout w:type="fixed"/>
        <w:tblLook w:firstColumn="1" w:firstRow="1" w:lastColumn="0" w:lastRow="0" w:noHBand="0" w:noVBand="1" w:val="04A0"/>
        <w:tblInd w:w="120" w:type="dxa"/>
        <w:tblBorders>
          <w:top w:val="single" w:sz="4" w:color="C7CDD6"/>
          <w:left w:val="single" w:sz="4" w:color="C7CDD6"/>
          <w:bottom w:val="single" w:sz="4" w:color="C7CDD6"/>
          <w:right w:val="single" w:sz="4" w:color="C7CDD6"/>
          <w:insideH w:val="single" w:sz="4" w:color="C7CDD6"/>
          <w:insideV w:val="single" w:sz="4" w:color="C7CDD6"/>
        </w:tblBorders>
      </w:tblPr>
      <w:tblGrid>
        <w:gridCol w:w="9360"/>
      </w:tblGrid>
      <w:tr>
        <w:trPr>
          <w:trHeight w:hRule="atLeast"/>
        </w:trPr>
        <w:tc>
          <w:tcPr>
            <w:tcW w:type="dxa" w:w="9360"/>
            <w:shd w:fill="EAF5EF"/>
            <w:tcMar>
              <w:top w:w="80" w:type="dxa"/>
              <w:bottom w:w="80" w:type="dxa"/>
              <w:start w:w="120" w:type="dxa"/>
              <w:end w:w="120" w:type="dxa"/>
            </w:tcMar>
            <w:vAlign w:val="center"/>
          </w:tcPr>
          <w:p>
            <w:pPr>
              <w:keepNext w:val="0"/>
              <w:spacing w:before="0" w:after="40" w:line="276" w:lineRule="auto"/>
            </w:pPr>
            <w:r>
              <w:rPr>
                <w:rFonts w:ascii="Calibri" w:hAnsi="Calibri"/>
                <w:b/>
                <w:color w:val="1F5D42"/>
                <w:sz w:val="21"/>
              </w:rPr>
              <w:t>Proceed to implementation only after alpha approval</w:t>
            </w:r>
          </w:p>
          <w:p>
            <w:pPr>
              <w:keepNext w:val="0"/>
              <w:spacing w:before="0" w:after="0" w:line="276" w:lineRule="auto"/>
            </w:pPr>
            <w:r>
              <w:rPr>
                <w:rFonts w:ascii="Calibri" w:hAnsi="Calibri"/>
                <w:color w:val="000000"/>
                <w:sz w:val="19"/>
              </w:rPr>
              <w:t>Use a contract-first modular monolith and vertical-slice delivery. Establish semantic primitives, activation locks, API/event contracts, repository controls, and simulator media before feature teams fan out. Build the real adapter in the same program, but validate it only with fake/vendor-lab transport and keep every live route independently locked.</w:t>
            </w:r>
          </w:p>
        </w:tc>
      </w:tr>
    </w:tbl>
    <w:tbl>
      <w:tblPr>
        <w:tblStyle w:val="TableGrid"/>
        <w:tblW w:type="dxa" w:w="9360"/>
        <w:jc w:val="left"/>
        <w:tblLayout w:type="fixed"/>
        <w:tblLook w:firstColumn="1" w:firstRow="1" w:lastColumn="0" w:lastRow="0" w:noHBand="0" w:noVBand="1" w:val="04A0"/>
        <w:tblInd w:w="120" w:type="dxa"/>
        <w:tblBorders>
          <w:top w:val="single" w:sz="4" w:color="C7CDD6"/>
          <w:left w:val="single" w:sz="4" w:color="C7CDD6"/>
          <w:bottom w:val="single" w:sz="4" w:color="C7CDD6"/>
          <w:right w:val="single" w:sz="4" w:color="C7CDD6"/>
          <w:insideH w:val="single" w:sz="4" w:color="C7CDD6"/>
          <w:insideV w:val="single" w:sz="4" w:color="C7CDD6"/>
        </w:tblBorders>
      </w:tblPr>
      <w:tblGrid>
        <w:gridCol w:w="1800"/>
        <w:gridCol w:w="3900"/>
        <w:gridCol w:w="3660"/>
      </w:tblGrid>
      <w:tr>
        <w:trPr>
          <w:trHeight w:hRule="atLeast"/>
          <w:tblHeader w:val="true"/>
        </w:trPr>
        <w:tc>
          <w:tcPr>
            <w:tcW w:type="dxa" w:w="18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Control</w:t>
            </w:r>
          </w:p>
        </w:tc>
        <w:tc>
          <w:tcPr>
            <w:tcW w:type="dxa" w:w="39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Decision</w:t>
            </w:r>
          </w:p>
        </w:tc>
        <w:tc>
          <w:tcPr>
            <w:tcW w:type="dxa" w:w="366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Consequence</w:t>
            </w:r>
          </w:p>
        </w:tc>
      </w:tr>
      <w:tr>
        <w:trPr>
          <w:trHeight w:hRule="atLeast"/>
        </w:trPr>
        <w:tc>
          <w:tcPr>
            <w:tcW w:type="dxa" w:w="18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Scope</w:t>
            </w:r>
          </w:p>
        </w:tc>
        <w:tc>
          <w:tcPr>
            <w:tcW w:type="dxa" w:w="3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Build-track gates B1–B6.</w:t>
            </w:r>
          </w:p>
        </w:tc>
        <w:tc>
          <w:tcPr>
            <w:tcW w:type="dxa" w:w="36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Written carrier approval and live hardware tests remain L0–L4.</w:t>
            </w:r>
          </w:p>
        </w:tc>
      </w:tr>
      <w:tr>
        <w:trPr>
          <w:trHeight w:hRule="atLeast"/>
        </w:trPr>
        <w:tc>
          <w:tcPr>
            <w:tcW w:type="dxa" w:w="18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Delivery unit</w:t>
            </w:r>
          </w:p>
        </w:tc>
        <w:tc>
          <w:tcPr>
            <w:tcW w:type="dxa" w:w="3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Small vertical increments behind typed contracts and feature controls.</w:t>
            </w:r>
          </w:p>
        </w:tc>
        <w:tc>
          <w:tcPr>
            <w:tcW w:type="dxa" w:w="36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Every merge leaves the main branch deployable.</w:t>
            </w:r>
          </w:p>
        </w:tc>
      </w:tr>
      <w:tr>
        <w:trPr>
          <w:trHeight w:hRule="atLeast"/>
        </w:trPr>
        <w:tc>
          <w:tcPr>
            <w:tcW w:type="dxa" w:w="18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Authority</w:t>
            </w:r>
          </w:p>
        </w:tc>
        <w:tc>
          <w:tcPr>
            <w:tcW w:type="dxa" w:w="3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Server/PostgreSQL state; PBX/local timers provide bounded safety.</w:t>
            </w:r>
          </w:p>
        </w:tc>
        <w:tc>
          <w:tcPr>
            <w:tcW w:type="dxa" w:w="36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Clients, cache, and lease expiry cannot invent truth.</w:t>
            </w:r>
          </w:p>
        </w:tc>
      </w:tr>
      <w:tr>
        <w:trPr>
          <w:trHeight w:hRule="atLeast"/>
        </w:trPr>
        <w:tc>
          <w:tcPr>
            <w:tcW w:type="dxa" w:w="18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Parallelism</w:t>
            </w:r>
          </w:p>
        </w:tc>
        <w:tc>
          <w:tcPr>
            <w:tcW w:type="dxa" w:w="3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Only after contract and ownership freeze; disjoint packages.</w:t>
            </w:r>
          </w:p>
        </w:tc>
        <w:tc>
          <w:tcPr>
            <w:tcW w:type="dxa" w:w="36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Shared schema/state/security edits remain serialized.</w:t>
            </w:r>
          </w:p>
        </w:tc>
      </w:tr>
      <w:tr>
        <w:trPr>
          <w:trHeight w:hRule="atLeast"/>
        </w:trPr>
        <w:tc>
          <w:tcPr>
            <w:tcW w:type="dxa" w:w="18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Carrier driver</w:t>
            </w:r>
          </w:p>
        </w:tc>
        <w:tc>
          <w:tcPr>
            <w:tcW w:type="dxa" w:w="3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Production-intent real driver plus fake/vendor transport.</w:t>
            </w:r>
          </w:p>
        </w:tc>
        <w:tc>
          <w:tcPr>
            <w:tcW w:type="dxa" w:w="36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Implementation complete is never labelled hardware-verified or authorized.</w:t>
            </w:r>
          </w:p>
        </w:tc>
      </w:tr>
      <w:tr>
        <w:trPr>
          <w:trHeight w:hRule="atLeast"/>
        </w:trPr>
        <w:tc>
          <w:tcPr>
            <w:tcW w:type="dxa" w:w="18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Quality</w:t>
            </w:r>
          </w:p>
        </w:tc>
        <w:tc>
          <w:tcPr>
            <w:tcW w:type="dxa" w:w="3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Evidence matrix, negative proof, fault injection, and alpha veto.</w:t>
            </w:r>
          </w:p>
        </w:tc>
        <w:tc>
          <w:tcPr>
            <w:tcW w:type="dxa" w:w="36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No package is complete because code merely compiles.</w:t>
            </w:r>
          </w:p>
        </w:tc>
      </w:tr>
      <w:tr>
        <w:trPr>
          <w:trHeight w:hRule="atLeast"/>
        </w:trPr>
        <w:tc>
          <w:tcPr>
            <w:tcW w:type="dxa" w:w="18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Model policy</w:t>
            </w:r>
          </w:p>
        </w:tc>
        <w:tc>
          <w:tcPr>
            <w:tcW w:type="dxa" w:w="3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Sol 5.6 alpha for critical review; Terra for bounded implementation.</w:t>
            </w:r>
          </w:p>
        </w:tc>
        <w:tc>
          <w:tcPr>
            <w:tcW w:type="dxa" w:w="36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Mechanical work consumes fewer credits without lowering review standards.</w:t>
            </w:r>
          </w:p>
        </w:tc>
      </w:tr>
    </w:tbl>
    <w:p>
      <w:pPr>
        <w:pStyle w:val="Heading2"/>
      </w:pPr>
      <w:r>
        <w:t>1.1 Definition of the B6 outcome</w:t>
      </w:r>
    </w:p>
    <w:p>
      <w:pPr>
        <w:numPr>
          <w:ilvl w:val="0"/>
          <w:numId w:val="41"/>
        </w:numPr>
      </w:pPr>
      <w:r>
        <w:rPr>
          <w:rFonts w:ascii="Calibri" w:hAnsi="Calibri"/>
        </w:rPr>
        <w:t>Twelve configurable members can enroll one cryptographic Android device, request/receive minutes, and place simulated calls through the full production-shaped stack.</w:t>
      </w:r>
    </w:p>
    <w:p>
      <w:pPr>
        <w:numPr>
          <w:ilvl w:val="0"/>
          <w:numId w:val="41"/>
        </w:numPr>
      </w:pPr>
      <w:r>
        <w:rPr>
          <w:rFonts w:ascii="Calibri" w:hAnsi="Calibri"/>
        </w:rPr>
        <w:t>The admin can operate members, grants, calls, privacy reveal, configuration, incidents, and physical tasks through the responsive web application.</w:t>
      </w:r>
    </w:p>
    <w:p>
      <w:pPr>
        <w:numPr>
          <w:ilvl w:val="0"/>
          <w:numId w:val="41"/>
        </w:numPr>
      </w:pPr>
      <w:r>
        <w:rPr>
          <w:rFonts w:ascii="Calibri" w:hAnsi="Calibri"/>
        </w:rPr>
        <w:t>Asterisk/WebRTC/TURN, call state, caps, reconnect, queue, ledgers, retention, audit, and reconciliation pass automated and fault-injection evidence.</w:t>
      </w:r>
    </w:p>
    <w:p>
      <w:pPr>
        <w:numPr>
          <w:ilvl w:val="0"/>
          <w:numId w:val="41"/>
        </w:numPr>
      </w:pPr>
      <w:r>
        <w:rPr>
          <w:rFonts w:ascii="Calibri" w:hAnsi="Calibri"/>
        </w:rPr>
        <w:t>SimulatorAdapter and RealGatewayAdapter pass one conformance suite; the real adapter is deployable in locked/dry-run form only.</w:t>
      </w:r>
    </w:p>
    <w:p>
      <w:pPr>
        <w:numPr>
          <w:ilvl w:val="0"/>
          <w:numId w:val="41"/>
        </w:numPr>
      </w:pPr>
      <w:r>
        <w:rPr>
          <w:rFonts w:ascii="Calibri" w:hAnsi="Calibri"/>
        </w:rPr>
        <w:t>Persistent Demo — no real phone call is placed labeling is present, and negative tests prove no non-authorized environment can emit a carrier command.</w:t>
      </w:r>
    </w:p>
    <w:p>
      <w:pPr>
        <w:numPr>
          <w:ilvl w:val="0"/>
          <w:numId w:val="41"/>
        </w:numPr>
      </w:pPr>
      <w:r>
        <w:rPr>
          <w:rFonts w:ascii="Calibri" w:hAnsi="Calibri"/>
        </w:rPr>
        <w:t>Runbooks, monitoring, backup/restore, incident controls, build provenance, and evidence pack are complete.</w:t>
      </w:r>
    </w:p>
    <w:p>
      <w:pPr>
        <w:pStyle w:val="Heading2"/>
      </w:pPr>
      <w:r>
        <w:t>1.2 Explicitly outside this plan</w:t>
      </w:r>
    </w:p>
    <w:p>
      <w:pPr>
        <w:numPr>
          <w:ilvl w:val="0"/>
          <w:numId w:val="41"/>
        </w:numPr>
      </w:pPr>
      <w:r>
        <w:rPr>
          <w:rFonts w:ascii="Calibri" w:hAnsi="Calibri"/>
        </w:rPr>
        <w:t>Carrier/regulatory approval, exact du live-route authorization, SIM activation, or consumer-plan assumption.</w:t>
      </w:r>
    </w:p>
    <w:p>
      <w:pPr>
        <w:numPr>
          <w:ilvl w:val="0"/>
          <w:numId w:val="41"/>
        </w:numPr>
      </w:pPr>
      <w:r>
        <w:rPr>
          <w:rFonts w:ascii="Calibri" w:hAnsi="Calibri"/>
        </w:rPr>
        <w:t>Authorized exact-hardware VoLTE interoperability and the 100-call live acceptance program.</w:t>
      </w:r>
    </w:p>
    <w:p>
      <w:pPr>
        <w:numPr>
          <w:ilvl w:val="0"/>
          <w:numId w:val="41"/>
        </w:numPr>
      </w:pPr>
      <w:r>
        <w:rPr>
          <w:rFonts w:ascii="Calibri" w:hAnsi="Calibri"/>
        </w:rPr>
        <w:t>iOS member application, browser calling, multiple simultaneous real lines, payments, AI allocation, or public distribution.</w:t>
      </w:r>
    </w:p>
    <w:p>
      <w:pPr>
        <w:numPr>
          <w:ilvl w:val="0"/>
          <w:numId w:val="41"/>
        </w:numPr>
      </w:pPr>
      <w:r>
        <w:rPr>
          <w:rFonts w:ascii="Calibri" w:hAnsi="Calibri"/>
        </w:rPr>
        <w:t>Server-accessible recording or any recording activation before approved recipient-consent policy.</w:t>
      </w:r>
    </w:p>
    <w:p>
      <w:pPr>
        <w:pStyle w:val="Heading1"/>
      </w:pPr>
      <w:r>
        <w:t>2. Sequencing and dependency strategy</w:t>
      </w:r>
    </w:p>
    <w:p>
      <w:pPr>
        <w:keepLines/>
        <w:spacing w:after="60"/>
        <w:jc w:val="center"/>
      </w:pPr>
      <w:r>
        <w:drawing>
          <wp:inline xmlns:a="http://schemas.openxmlformats.org/drawingml/2006/main" xmlns:pic="http://schemas.openxmlformats.org/drawingml/2006/picture">
            <wp:extent cx="5897880" cy="3735424"/>
            <wp:docPr id="1" name="Picture 1"/>
            <wp:cNvGraphicFramePr>
              <a:graphicFrameLocks noChangeAspect="1"/>
            </wp:cNvGraphicFramePr>
            <a:graphic>
              <a:graphicData uri="http://schemas.openxmlformats.org/drawingml/2006/picture">
                <pic:pic>
                  <pic:nvPicPr>
                    <pic:cNvPr id="0" name="implementation_dependency_map.png"/>
                    <pic:cNvPicPr/>
                  </pic:nvPicPr>
                  <pic:blipFill>
                    <a:blip r:embed="rId11"/>
                    <a:stretch>
                      <a:fillRect/>
                    </a:stretch>
                  </pic:blipFill>
                  <pic:spPr>
                    <a:xfrm>
                      <a:off x="0" y="0"/>
                      <a:ext cx="5897880" cy="3735424"/>
                    </a:xfrm>
                    <a:prstGeom prst="rect"/>
                  </pic:spPr>
                </pic:pic>
              </a:graphicData>
            </a:graphic>
          </wp:inline>
        </w:drawing>
      </w:r>
    </w:p>
    <w:p>
      <w:pPr>
        <w:keepNext w:val="0"/>
        <w:spacing w:before="0" w:after="140" w:line="240" w:lineRule="auto"/>
        <w:jc w:val="center"/>
      </w:pPr>
      <w:r>
        <w:rPr>
          <w:rFonts w:ascii="Calibri" w:hAnsi="Calibri"/>
          <w:i/>
          <w:color w:val="5F6B7A"/>
          <w:sz w:val="17"/>
        </w:rPr>
        <w:t>Figure 1. Work fans out only after contracts and locked invariants are fixed.</w:t>
      </w:r>
    </w:p>
    <w:p>
      <w:pPr>
        <w:pStyle w:val="Heading2"/>
      </w:pPr>
      <w:r>
        <w:t>2.1 Contract-first order</w:t>
      </w:r>
    </w:p>
    <w:tbl>
      <w:tblPr>
        <w:tblW w:type="dxa" w:w="9360"/>
        <w:jc w:val="left"/>
        <w:tblLayout w:type="fixed"/>
        <w:tblLook w:firstColumn="1" w:firstRow="1" w:lastColumn="0" w:lastRow="0" w:noHBand="0" w:noVBand="1" w:val="04A0"/>
        <w:tblInd w:w="120" w:type="dxa"/>
        <w:tblBorders>
          <w:top w:val="single" w:sz="4" w:color="C7CDD6"/>
          <w:left w:val="single" w:sz="4" w:color="C7CDD6"/>
          <w:bottom w:val="single" w:sz="4" w:color="C7CDD6"/>
          <w:right w:val="single" w:sz="4" w:color="C7CDD6"/>
          <w:insideH w:val="single" w:sz="4" w:color="C7CDD6"/>
          <w:insideV w:val="single" w:sz="4" w:color="C7CDD6"/>
        </w:tblBorders>
      </w:tblPr>
      <w:tblGrid>
        <w:gridCol w:w="9360"/>
      </w:tblGrid>
      <w:tr>
        <w:trPr>
          <w:trHeight w:hRule="atLeast"/>
        </w:trPr>
        <w:tc>
          <w:tcPr>
            <w:tcW w:type="dxa" w:w="9360"/>
            <w:shd w:fill="EAF5EF"/>
            <w:tcMar>
              <w:top w:w="80" w:type="dxa"/>
              <w:bottom w:w="80" w:type="dxa"/>
              <w:start w:w="120" w:type="dxa"/>
              <w:end w:w="120" w:type="dxa"/>
            </w:tcMar>
            <w:vAlign w:val="center"/>
          </w:tcPr>
          <w:p>
            <w:pPr>
              <w:keepNext w:val="0"/>
              <w:spacing w:before="0" w:after="40" w:line="276" w:lineRule="auto"/>
            </w:pPr>
            <w:r>
              <w:rPr>
                <w:rFonts w:ascii="Calibri" w:hAnsi="Calibri"/>
                <w:b/>
                <w:color w:val="1F5D42"/>
                <w:sz w:val="21"/>
              </w:rPr>
              <w:t>Real-adapter integration surface is decided</w:t>
            </w:r>
          </w:p>
          <w:p>
            <w:pPr>
              <w:keepNext w:val="0"/>
              <w:spacing w:before="0" w:after="0" w:line="276" w:lineRule="auto"/>
            </w:pPr>
            <w:r>
              <w:rPr>
                <w:rFonts w:ascii="Calibri" w:hAnsi="Calibri"/>
                <w:color w:val="000000"/>
                <w:sz w:val="19"/>
              </w:rPr>
              <w:t>The real adapter uses a standards-based SIP/PJSIP line driver through Asterisk and a separate GatewayTelemetryPlugin. The baseline plugin derives health from SIP registration/OPTIONS and correlated PBX events/CDR; a vendor-specific plugin may add richer management evidence. This makes the B1–B6 target concrete without claiming exact hardware interoperability before L1.</w:t>
            </w:r>
          </w:p>
        </w:tc>
      </w:tr>
    </w:tbl>
    <w:p>
      <w:pPr>
        <w:numPr>
          <w:ilvl w:val="0"/>
          <w:numId w:val="43"/>
        </w:numPr>
      </w:pPr>
      <w:r>
        <w:rPr>
          <w:rFonts w:ascii="Calibri" w:hAnsi="Calibri"/>
        </w:rPr>
        <w:t>Freeze shared vocabulary, integer units, authoritative states, E.164 policy, role permissions, configuration precedence, error taxonomy, and activation-generation semantics.</w:t>
      </w:r>
    </w:p>
    <w:p>
      <w:pPr>
        <w:numPr>
          <w:ilvl w:val="0"/>
          <w:numId w:val="43"/>
        </w:numPr>
      </w:pPr>
      <w:r>
        <w:rPr>
          <w:rFonts w:ascii="Calibri" w:hAnsi="Calibri"/>
        </w:rPr>
        <w:t>Publish machine-readable OpenAPI, AsyncAPI, database migration conventions, adapter interface, protobuf/JSON schemas, and test fixtures.</w:t>
      </w:r>
    </w:p>
    <w:p>
      <w:pPr>
        <w:numPr>
          <w:ilvl w:val="0"/>
          <w:numId w:val="43"/>
        </w:numPr>
      </w:pPr>
      <w:r>
        <w:rPr>
          <w:rFonts w:ascii="Calibri" w:hAnsi="Calibri"/>
        </w:rPr>
        <w:t>Create the monorepo, CI policies, environments, secrets placeholders, observability envelope, and locked network topology.</w:t>
      </w:r>
    </w:p>
    <w:p>
      <w:pPr>
        <w:numPr>
          <w:ilvl w:val="0"/>
          <w:numId w:val="43"/>
        </w:numPr>
      </w:pPr>
      <w:r>
        <w:rPr>
          <w:rFonts w:ascii="Calibri" w:hAnsi="Calibri"/>
        </w:rPr>
        <w:t>Deliver one thin vertical simulator slice: enroll → grant → call intent → WebRTC/PBX → simulated answer → ledger/history.</w:t>
      </w:r>
    </w:p>
    <w:p>
      <w:pPr>
        <w:numPr>
          <w:ilvl w:val="0"/>
          <w:numId w:val="43"/>
        </w:numPr>
      </w:pPr>
      <w:r>
        <w:rPr>
          <w:rFonts w:ascii="Calibri" w:hAnsi="Calibri"/>
        </w:rPr>
        <w:t>Expand domain capabilities and Android/admin flows behind the stable contracts.</w:t>
      </w:r>
    </w:p>
    <w:p>
      <w:pPr>
        <w:numPr>
          <w:ilvl w:val="0"/>
          <w:numId w:val="43"/>
        </w:numPr>
      </w:pPr>
      <w:r>
        <w:rPr>
          <w:rFonts w:ascii="Calibri" w:hAnsi="Calibri"/>
        </w:rPr>
        <w:t>Implement the real adapter and local edge against fake/vendor transport; prove all live paths locked.</w:t>
      </w:r>
    </w:p>
    <w:p>
      <w:pPr>
        <w:numPr>
          <w:ilvl w:val="0"/>
          <w:numId w:val="43"/>
        </w:numPr>
      </w:pPr>
      <w:r>
        <w:rPr>
          <w:rFonts w:ascii="Calibri" w:hAnsi="Calibri"/>
        </w:rPr>
        <w:t>Run integrated reliability, security, privacy, accessibility, retention, backup/restore, and B6 demonstration evidence.</w:t>
      </w:r>
    </w:p>
    <w:p>
      <w:pPr>
        <w:pStyle w:val="Heading2"/>
      </w:pPr>
      <w:r>
        <w:t>2.2 Work that must not run in parallel</w:t>
      </w:r>
    </w:p>
    <w:tbl>
      <w:tblPr>
        <w:tblStyle w:val="TableGrid"/>
        <w:tblW w:type="dxa" w:w="9360"/>
        <w:jc w:val="left"/>
        <w:tblLayout w:type="fixed"/>
        <w:tblLook w:firstColumn="1" w:firstRow="1" w:lastColumn="0" w:lastRow="0" w:noHBand="0" w:noVBand="1" w:val="04A0"/>
        <w:tblInd w:w="120" w:type="dxa"/>
        <w:tblBorders>
          <w:top w:val="single" w:sz="4" w:color="C7CDD6"/>
          <w:left w:val="single" w:sz="4" w:color="C7CDD6"/>
          <w:bottom w:val="single" w:sz="4" w:color="C7CDD6"/>
          <w:right w:val="single" w:sz="4" w:color="C7CDD6"/>
          <w:insideH w:val="single" w:sz="4" w:color="C7CDD6"/>
          <w:insideV w:val="single" w:sz="4" w:color="C7CDD6"/>
        </w:tblBorders>
      </w:tblPr>
      <w:tblGrid>
        <w:gridCol w:w="2400"/>
        <w:gridCol w:w="4100"/>
        <w:gridCol w:w="2860"/>
      </w:tblGrid>
      <w:tr>
        <w:trPr>
          <w:trHeight w:hRule="atLeast"/>
          <w:tblHeader w:val="true"/>
        </w:trPr>
        <w:tc>
          <w:tcPr>
            <w:tcW w:type="dxa" w:w="24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Serialized decision</w:t>
            </w:r>
          </w:p>
        </w:tc>
        <w:tc>
          <w:tcPr>
            <w:tcW w:type="dxa" w:w="41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Why</w:t>
            </w:r>
          </w:p>
        </w:tc>
        <w:tc>
          <w:tcPr>
            <w:tcW w:type="dxa" w:w="286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Unlocks</w:t>
            </w:r>
          </w:p>
        </w:tc>
      </w:tr>
      <w:tr>
        <w:trPr>
          <w:trHeight w:hRule="atLeast"/>
        </w:trPr>
        <w:tc>
          <w:tcPr>
            <w:tcW w:type="dxa" w:w="24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Call state/event reducer</w:t>
            </w:r>
          </w:p>
        </w:tc>
        <w:tc>
          <w:tcPr>
            <w:tcW w:type="dxa" w:w="41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Two implementations would create incompatible truth and race behavior.</w:t>
            </w:r>
          </w:p>
        </w:tc>
        <w:tc>
          <w:tcPr>
            <w:tcW w:type="dxa" w:w="28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Backend, Android, admin, PBX bridge, adapter tests.</w:t>
            </w:r>
          </w:p>
        </w:tc>
      </w:tr>
      <w:tr>
        <w:trPr>
          <w:trHeight w:hRule="atLeast"/>
        </w:trPr>
        <w:tc>
          <w:tcPr>
            <w:tcW w:type="dxa" w:w="24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Ledger entry taxonomy</w:t>
            </w:r>
          </w:p>
        </w:tc>
        <w:tc>
          <w:tcPr>
            <w:tcW w:type="dxa" w:w="41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Parallel edits risk double debit/grant and irreconcilable reporting.</w:t>
            </w:r>
          </w:p>
        </w:tc>
        <w:tc>
          <w:tcPr>
            <w:tcW w:type="dxa" w:w="28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Allocation, call admission, history, reconciliation.</w:t>
            </w:r>
          </w:p>
        </w:tc>
      </w:tr>
      <w:tr>
        <w:trPr>
          <w:trHeight w:hRule="atLeast"/>
        </w:trPr>
        <w:tc>
          <w:tcPr>
            <w:tcW w:type="dxa" w:w="24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CarrierAdapter contract</w:t>
            </w:r>
          </w:p>
        </w:tc>
        <w:tc>
          <w:tcPr>
            <w:tcW w:type="dxa" w:w="41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Driver-specific branching defeats parity and locked negative proof.</w:t>
            </w:r>
          </w:p>
        </w:tc>
        <w:tc>
          <w:tcPr>
            <w:tcW w:type="dxa" w:w="28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Simulator, real driver, orchestrator, edge.</w:t>
            </w:r>
          </w:p>
        </w:tc>
      </w:tr>
      <w:tr>
        <w:trPr>
          <w:trHeight w:hRule="atLeast"/>
        </w:trPr>
        <w:tc>
          <w:tcPr>
            <w:tcW w:type="dxa" w:w="24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Identity/device lifecycle</w:t>
            </w:r>
          </w:p>
        </w:tc>
        <w:tc>
          <w:tcPr>
            <w:tcW w:type="dxa" w:w="41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Migration/revocation races are security boundaries.</w:t>
            </w:r>
          </w:p>
        </w:tc>
        <w:tc>
          <w:tcPr>
            <w:tcW w:type="dxa" w:w="28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Android auth, admin recovery, API sessions.</w:t>
            </w:r>
          </w:p>
        </w:tc>
      </w:tr>
      <w:tr>
        <w:trPr>
          <w:trHeight w:hRule="atLeast"/>
        </w:trPr>
        <w:tc>
          <w:tcPr>
            <w:tcW w:type="dxa" w:w="24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Configuration schema/precedence</w:t>
            </w:r>
          </w:p>
        </w:tc>
        <w:tc>
          <w:tcPr>
            <w:tcW w:type="dxa" w:w="41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Ordinary config must never weaken immutable constraints.</w:t>
            </w:r>
          </w:p>
        </w:tc>
        <w:tc>
          <w:tcPr>
            <w:tcW w:type="dxa" w:w="28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All services and admin settings.</w:t>
            </w:r>
          </w:p>
        </w:tc>
      </w:tr>
      <w:tr>
        <w:trPr>
          <w:trHeight w:hRule="atLeast"/>
        </w:trPr>
        <w:tc>
          <w:tcPr>
            <w:tcW w:type="dxa" w:w="24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Privacy/logging schema</w:t>
            </w:r>
          </w:p>
        </w:tc>
        <w:tc>
          <w:tcPr>
            <w:tcW w:type="dxa" w:w="41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Telemetry emitted before classification can permanently leak PII.</w:t>
            </w:r>
          </w:p>
        </w:tc>
        <w:tc>
          <w:tcPr>
            <w:tcW w:type="dxa" w:w="28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Every runtime and test harness.</w:t>
            </w:r>
          </w:p>
        </w:tc>
      </w:tr>
    </w:tbl>
    <w:p>
      <w:pPr>
        <w:pStyle w:val="Heading1"/>
      </w:pPr>
      <w:r>
        <w:t>3. Repository, contracts, and integration governance</w:t>
      </w:r>
    </w:p>
    <w:p>
      <w:pPr>
        <w:pStyle w:val="Heading2"/>
      </w:pPr>
      <w:r>
        <w:t>3.1 Monorepo layout</w:t>
      </w:r>
    </w:p>
    <w:tbl>
      <w:tblPr>
        <w:tblStyle w:val="TableGrid"/>
        <w:tblW w:type="dxa" w:w="9360"/>
        <w:jc w:val="left"/>
        <w:tblLayout w:type="fixed"/>
        <w:tblLook w:firstColumn="1" w:firstRow="1" w:lastColumn="0" w:lastRow="0" w:noHBand="0" w:noVBand="1" w:val="04A0"/>
        <w:tblInd w:w="120" w:type="dxa"/>
        <w:tblBorders>
          <w:top w:val="single" w:sz="4" w:color="C7CDD6"/>
          <w:left w:val="single" w:sz="4" w:color="C7CDD6"/>
          <w:bottom w:val="single" w:sz="4" w:color="C7CDD6"/>
          <w:right w:val="single" w:sz="4" w:color="C7CDD6"/>
          <w:insideH w:val="single" w:sz="4" w:color="C7CDD6"/>
          <w:insideV w:val="single" w:sz="4" w:color="C7CDD6"/>
        </w:tblBorders>
      </w:tblPr>
      <w:tblGrid>
        <w:gridCol w:w="2200"/>
        <w:gridCol w:w="1900"/>
        <w:gridCol w:w="5260"/>
      </w:tblGrid>
      <w:tr>
        <w:trPr>
          <w:trHeight w:hRule="atLeast"/>
          <w:tblHeader w:val="true"/>
        </w:trPr>
        <w:tc>
          <w:tcPr>
            <w:tcW w:type="dxa" w:w="22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Path</w:t>
            </w:r>
          </w:p>
        </w:tc>
        <w:tc>
          <w:tcPr>
            <w:tcW w:type="dxa" w:w="19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Owner</w:t>
            </w:r>
          </w:p>
        </w:tc>
        <w:tc>
          <w:tcPr>
            <w:tcW w:type="dxa" w:w="526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Contents / boundary</w:t>
            </w:r>
          </w:p>
        </w:tc>
      </w:tr>
      <w:tr>
        <w:trPr>
          <w:trHeight w:hRule="atLeast"/>
        </w:trPr>
        <w:tc>
          <w:tcPr>
            <w:tcW w:type="dxa" w:w="2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apps/android</w:t>
            </w:r>
          </w:p>
        </w:tc>
        <w:tc>
          <w:tcPr>
            <w:tcW w:type="dxa" w:w="1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Android lead</w:t>
            </w:r>
          </w:p>
        </w:tc>
        <w:tc>
          <w:tcPr>
            <w:tcW w:type="dxa" w:w="52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Compose UI, device enrollment, WebRTC/audio, local data, FCM, accessibility.</w:t>
            </w:r>
          </w:p>
        </w:tc>
      </w:tr>
      <w:tr>
        <w:trPr>
          <w:trHeight w:hRule="atLeast"/>
        </w:trPr>
        <w:tc>
          <w:tcPr>
            <w:tcW w:type="dxa" w:w="2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apps/admin</w:t>
            </w:r>
          </w:p>
        </w:tc>
        <w:tc>
          <w:tcPr>
            <w:tcW w:type="dxa" w:w="1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Admin lead</w:t>
            </w:r>
          </w:p>
        </w:tc>
        <w:tc>
          <w:tcPr>
            <w:tcW w:type="dxa" w:w="52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Next.js admin UX, typed client, permissions, step-up, operational views.</w:t>
            </w:r>
          </w:p>
        </w:tc>
      </w:tr>
      <w:tr>
        <w:trPr>
          <w:trHeight w:hRule="atLeast"/>
        </w:trPr>
        <w:tc>
          <w:tcPr>
            <w:tcW w:type="dxa" w:w="2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services/control</w:t>
            </w:r>
          </w:p>
        </w:tc>
        <w:tc>
          <w:tcPr>
            <w:tcW w:type="dxa" w:w="1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Backend lead</w:t>
            </w:r>
          </w:p>
        </w:tc>
        <w:tc>
          <w:tcPr>
            <w:tcW w:type="dxa" w:w="52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Ktor API/worker profiles and domain modules.</w:t>
            </w:r>
          </w:p>
        </w:tc>
      </w:tr>
      <w:tr>
        <w:trPr>
          <w:trHeight w:hRule="atLeast"/>
        </w:trPr>
        <w:tc>
          <w:tcPr>
            <w:tcW w:type="dxa" w:w="2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services/media-control</w:t>
            </w:r>
          </w:p>
        </w:tc>
        <w:tc>
          <w:tcPr>
            <w:tcW w:type="dxa" w:w="1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Media lead</w:t>
            </w:r>
          </w:p>
        </w:tc>
        <w:tc>
          <w:tcPr>
            <w:tcW w:type="dxa" w:w="52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ARI/PJSIP bridge, normalized PBX events, simulator integration.</w:t>
            </w:r>
          </w:p>
        </w:tc>
      </w:tr>
      <w:tr>
        <w:trPr>
          <w:trHeight w:hRule="atLeast"/>
        </w:trPr>
        <w:tc>
          <w:tcPr>
            <w:tcW w:type="dxa" w:w="2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services/home-edge</w:t>
            </w:r>
          </w:p>
        </w:tc>
        <w:tc>
          <w:tcPr>
            <w:tcW w:type="dxa" w:w="1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Adapter lead</w:t>
            </w:r>
          </w:p>
        </w:tc>
        <w:tc>
          <w:tcPr>
            <w:tcW w:type="dxa" w:w="52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Real adapter process, fake/vendor transport, local watchdog, tunnel agent.</w:t>
            </w:r>
          </w:p>
        </w:tc>
      </w:tr>
      <w:tr>
        <w:trPr>
          <w:trHeight w:hRule="atLeast"/>
        </w:trPr>
        <w:tc>
          <w:tcPr>
            <w:tcW w:type="dxa" w:w="2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contracts</w:t>
            </w:r>
          </w:p>
        </w:tc>
        <w:tc>
          <w:tcPr>
            <w:tcW w:type="dxa" w:w="1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Integration lead</w:t>
            </w:r>
          </w:p>
        </w:tc>
        <w:tc>
          <w:tcPr>
            <w:tcW w:type="dxa" w:w="52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OpenAPI, AsyncAPI, adapter schemas, fixtures, semantic catalogue.</w:t>
            </w:r>
          </w:p>
        </w:tc>
      </w:tr>
      <w:tr>
        <w:trPr>
          <w:trHeight w:hRule="atLeast"/>
        </w:trPr>
        <w:tc>
          <w:tcPr>
            <w:tcW w:type="dxa" w:w="2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infra</w:t>
            </w:r>
          </w:p>
        </w:tc>
        <w:tc>
          <w:tcPr>
            <w:tcW w:type="dxa" w:w="1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Platform lead</w:t>
            </w:r>
          </w:p>
        </w:tc>
        <w:tc>
          <w:tcPr>
            <w:tcW w:type="dxa" w:w="52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Compose, Terraform, deployment, policies, secrets references, observability.</w:t>
            </w:r>
          </w:p>
        </w:tc>
      </w:tr>
      <w:tr>
        <w:trPr>
          <w:trHeight w:hRule="atLeast"/>
        </w:trPr>
        <w:tc>
          <w:tcPr>
            <w:tcW w:type="dxa" w:w="2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tests</w:t>
            </w:r>
          </w:p>
        </w:tc>
        <w:tc>
          <w:tcPr>
            <w:tcW w:type="dxa" w:w="1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QA lead</w:t>
            </w:r>
          </w:p>
        </w:tc>
        <w:tc>
          <w:tcPr>
            <w:tcW w:type="dxa" w:w="52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Contract, E2E, property, SIP/WebRTC, fault, security, retention, evidence tooling.</w:t>
            </w:r>
          </w:p>
        </w:tc>
      </w:tr>
      <w:tr>
        <w:trPr>
          <w:trHeight w:hRule="atLeast"/>
        </w:trPr>
        <w:tc>
          <w:tcPr>
            <w:tcW w:type="dxa" w:w="2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docs/adr + runbooks</w:t>
            </w:r>
          </w:p>
        </w:tc>
        <w:tc>
          <w:tcPr>
            <w:tcW w:type="dxa" w:w="1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Integration/contract lead; alpha reviews</w:t>
            </w:r>
          </w:p>
        </w:tc>
        <w:tc>
          <w:tcPr>
            <w:tcW w:type="dxa" w:w="52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Decisions, threats, operations, evidence and gate records.</w:t>
            </w:r>
          </w:p>
        </w:tc>
      </w:tr>
    </w:tbl>
    <w:p>
      <w:pPr>
        <w:pStyle w:val="Heading2"/>
      </w:pPr>
      <w:r>
        <w:t>3.2 Contract change protocol</w:t>
      </w:r>
    </w:p>
    <w:p>
      <w:pPr>
        <w:numPr>
          <w:ilvl w:val="0"/>
          <w:numId w:val="44"/>
        </w:numPr>
      </w:pPr>
      <w:r>
        <w:rPr>
          <w:rFonts w:ascii="Calibri" w:hAnsi="Calibri"/>
        </w:rPr>
        <w:t>Author opens a Contract Change Record with affected invariant, compatibility class, migration, tests, rollback, and owners.</w:t>
      </w:r>
    </w:p>
    <w:p>
      <w:pPr>
        <w:numPr>
          <w:ilvl w:val="0"/>
          <w:numId w:val="44"/>
        </w:numPr>
      </w:pPr>
      <w:r>
        <w:rPr>
          <w:rFonts w:ascii="Calibri" w:hAnsi="Calibri"/>
        </w:rPr>
        <w:t>Integration lead checks schema compatibility and regenerates typed clients/fixtures in one change.</w:t>
      </w:r>
    </w:p>
    <w:p>
      <w:pPr>
        <w:numPr>
          <w:ilvl w:val="0"/>
          <w:numId w:val="44"/>
        </w:numPr>
      </w:pPr>
      <w:r>
        <w:rPr>
          <w:rFonts w:ascii="Calibri" w:hAnsi="Calibri"/>
        </w:rPr>
        <w:t>Security/privacy reviewer checks route, identity, activation, logging, retention, and recording boundaries.</w:t>
      </w:r>
    </w:p>
    <w:p>
      <w:pPr>
        <w:numPr>
          <w:ilvl w:val="0"/>
          <w:numId w:val="44"/>
        </w:numPr>
      </w:pPr>
      <w:r>
        <w:rPr>
          <w:rFonts w:ascii="Calibri" w:hAnsi="Calibri"/>
        </w:rPr>
        <w:t>Android/admin/media owners approve consumer impact; alpha approves semantic or security-critical changes.</w:t>
      </w:r>
    </w:p>
    <w:p>
      <w:pPr>
        <w:numPr>
          <w:ilvl w:val="0"/>
          <w:numId w:val="44"/>
        </w:numPr>
      </w:pPr>
      <w:r>
        <w:rPr>
          <w:rFonts w:ascii="Calibri" w:hAnsi="Calibri"/>
        </w:rPr>
        <w:t>Change merges before dependent work rebases; dual-schema compatibility exists for rolling deployments when required.</w:t>
      </w:r>
    </w:p>
    <w:p>
      <w:pPr>
        <w:numPr>
          <w:ilvl w:val="0"/>
          <w:numId w:val="44"/>
        </w:numPr>
      </w:pPr>
      <w:r>
        <w:rPr>
          <w:rFonts w:ascii="Calibri" w:hAnsi="Calibri"/>
        </w:rPr>
        <w:t>Old schema is removed only after deployed-consumer evidence and rollback window close.</w:t>
      </w:r>
    </w:p>
    <w:p>
      <w:pPr>
        <w:pStyle w:val="Heading2"/>
      </w:pPr>
      <w:r>
        <w:t>3.3 Merge contract</w:t>
      </w:r>
    </w:p>
    <w:p>
      <w:pPr>
        <w:numPr>
          <w:ilvl w:val="0"/>
          <w:numId w:val="41"/>
        </w:numPr>
      </w:pPr>
      <w:r>
        <w:rPr>
          <w:rFonts w:ascii="Calibri" w:hAnsi="Calibri"/>
        </w:rPr>
        <w:t>Every work package uses immutable ID ERF-&lt;catalogue ID&gt; and declares allowed paths, preconditions, outputs, acceptance tests, telemetry, evidence, reasoning/model class, and rollback before an agent begins.</w:t>
      </w:r>
    </w:p>
    <w:p>
      <w:pPr>
        <w:numPr>
          <w:ilvl w:val="0"/>
          <w:numId w:val="41"/>
        </w:numPr>
      </w:pPr>
      <w:r>
        <w:rPr>
          <w:rFonts w:ascii="Calibri" w:hAnsi="Calibri"/>
        </w:rPr>
        <w:t>Agents do not edit another package's owned paths or a shared contract without an accepted change record.</w:t>
      </w:r>
    </w:p>
    <w:p>
      <w:pPr>
        <w:numPr>
          <w:ilvl w:val="0"/>
          <w:numId w:val="41"/>
        </w:numPr>
      </w:pPr>
      <w:r>
        <w:rPr>
          <w:rFonts w:ascii="Calibri" w:hAnsi="Calibri"/>
        </w:rPr>
        <w:t>Each merge is small, reviewable, signed/attributable, and green on required checks; incomplete features stay disabled.</w:t>
      </w:r>
    </w:p>
    <w:p>
      <w:pPr>
        <w:numPr>
          <w:ilvl w:val="0"/>
          <w:numId w:val="41"/>
        </w:numPr>
      </w:pPr>
      <w:r>
        <w:rPr>
          <w:rFonts w:ascii="Calibri" w:hAnsi="Calibri"/>
        </w:rPr>
        <w:t>Generated API clients, migrations, fixtures, and documentation are committed with their source contract.</w:t>
      </w:r>
    </w:p>
    <w:p>
      <w:pPr>
        <w:numPr>
          <w:ilvl w:val="0"/>
          <w:numId w:val="41"/>
        </w:numPr>
      </w:pPr>
      <w:r>
        <w:rPr>
          <w:rFonts w:ascii="Calibri" w:hAnsi="Calibri"/>
        </w:rPr>
        <w:t>No direct database access crosses module ownership; integration occurs through typed application commands/events/read models.</w:t>
      </w:r>
    </w:p>
    <w:p>
      <w:pPr>
        <w:pStyle w:val="Heading1"/>
      </w:pPr>
      <w:r>
        <w:t>4. Work-package catalogue</w:t>
      </w:r>
    </w:p>
    <w:p>
      <w:r>
        <w:rPr>
          <w:rFonts w:ascii="Calibri" w:hAnsi="Calibri"/>
          <w:i w:val="0"/>
          <w:color w:val="000000"/>
        </w:rPr>
        <w:t>Effort is relative: S ≈ 1–2, M ≈ 3–5, L ≈ 6–10, XL ≈ 10–15 focused engineering days before review. These are planning weights, not schedule promises.</w:t>
      </w:r>
    </w:p>
    <w:p>
      <w:pPr>
        <w:pStyle w:val="Heading2"/>
      </w:pPr>
      <w:r>
        <w:t>4.1 Foundation and contracts</w:t>
      </w:r>
    </w:p>
    <w:tbl>
      <w:tblPr>
        <w:tblStyle w:val="TableGrid"/>
        <w:tblW w:type="dxa" w:w="9360"/>
        <w:jc w:val="left"/>
        <w:tblLayout w:type="fixed"/>
        <w:tblLook w:firstColumn="1" w:firstRow="1" w:lastColumn="0" w:lastRow="0" w:noHBand="0" w:noVBand="1" w:val="04A0"/>
        <w:tblInd w:w="120" w:type="dxa"/>
        <w:tblBorders>
          <w:top w:val="single" w:sz="4" w:color="C7CDD6"/>
          <w:left w:val="single" w:sz="4" w:color="C7CDD6"/>
          <w:bottom w:val="single" w:sz="4" w:color="C7CDD6"/>
          <w:right w:val="single" w:sz="4" w:color="C7CDD6"/>
          <w:insideH w:val="single" w:sz="4" w:color="C7CDD6"/>
          <w:insideV w:val="single" w:sz="4" w:color="C7CDD6"/>
        </w:tblBorders>
      </w:tblPr>
      <w:tblGrid>
        <w:gridCol w:w="1050"/>
        <w:gridCol w:w="1900"/>
        <w:gridCol w:w="700"/>
        <w:gridCol w:w="1500"/>
        <w:gridCol w:w="2500"/>
        <w:gridCol w:w="1710"/>
      </w:tblGrid>
      <w:tr>
        <w:trPr>
          <w:trHeight w:hRule="atLeast"/>
          <w:tblHeader w:val="true"/>
        </w:trPr>
        <w:tc>
          <w:tcPr>
            <w:tcW w:type="dxa" w:w="105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4"/>
              </w:rPr>
              <w:t>ID</w:t>
            </w:r>
          </w:p>
        </w:tc>
        <w:tc>
          <w:tcPr>
            <w:tcW w:type="dxa" w:w="19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4"/>
              </w:rPr>
              <w:t>Package</w:t>
            </w:r>
          </w:p>
        </w:tc>
        <w:tc>
          <w:tcPr>
            <w:tcW w:type="dxa" w:w="7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4"/>
              </w:rPr>
              <w:t>Size</w:t>
            </w:r>
          </w:p>
        </w:tc>
        <w:tc>
          <w:tcPr>
            <w:tcW w:type="dxa" w:w="15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4"/>
              </w:rPr>
              <w:t>Depends</w:t>
            </w:r>
          </w:p>
        </w:tc>
        <w:tc>
          <w:tcPr>
            <w:tcW w:type="dxa" w:w="25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4"/>
              </w:rPr>
              <w:t>Primary output</w:t>
            </w:r>
          </w:p>
        </w:tc>
        <w:tc>
          <w:tcPr>
            <w:tcW w:type="dxa" w:w="171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4"/>
              </w:rPr>
              <w:t>Completion evidence</w:t>
            </w:r>
          </w:p>
        </w:tc>
      </w:tr>
      <w:tr>
        <w:trPr>
          <w:trHeight w:hRule="atLeast"/>
        </w:trPr>
        <w:tc>
          <w:tcPr>
            <w:tcW w:type="dxa" w:w="105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FND-01</w:t>
            </w:r>
          </w:p>
        </w:tc>
        <w:tc>
          <w:tcPr>
            <w:tcW w:type="dxa" w:w="19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Semantic catalogue + ADRs</w:t>
            </w:r>
          </w:p>
        </w:tc>
        <w:tc>
          <w:tcPr>
            <w:tcW w:type="dxa" w:w="7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M</w:t>
            </w:r>
          </w:p>
        </w:tc>
        <w:tc>
          <w:tcPr>
            <w:tcW w:type="dxa" w:w="15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PRD/design</w:t>
            </w:r>
          </w:p>
        </w:tc>
        <w:tc>
          <w:tcPr>
            <w:tcW w:type="dxa" w:w="25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States, units, invariants, errors, role matrix, ADR-001…015</w:t>
            </w:r>
          </w:p>
        </w:tc>
        <w:tc>
          <w:tcPr>
            <w:tcW w:type="dxa" w:w="171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Alpha sign-off; semantic property checklist</w:t>
            </w:r>
          </w:p>
        </w:tc>
      </w:tr>
      <w:tr>
        <w:trPr>
          <w:trHeight w:hRule="atLeast"/>
        </w:trPr>
        <w:tc>
          <w:tcPr>
            <w:tcW w:type="dxa" w:w="105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FND-02</w:t>
            </w:r>
          </w:p>
        </w:tc>
        <w:tc>
          <w:tcPr>
            <w:tcW w:type="dxa" w:w="19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Monorepo and build system</w:t>
            </w:r>
          </w:p>
        </w:tc>
        <w:tc>
          <w:tcPr>
            <w:tcW w:type="dxa" w:w="7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M</w:t>
            </w:r>
          </w:p>
        </w:tc>
        <w:tc>
          <w:tcPr>
            <w:tcW w:type="dxa" w:w="15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FND-01</w:t>
            </w:r>
          </w:p>
        </w:tc>
        <w:tc>
          <w:tcPr>
            <w:tcW w:type="dxa" w:w="25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Gradle/Node roots, formatting, dependency locks, ownership</w:t>
            </w:r>
          </w:p>
        </w:tc>
        <w:tc>
          <w:tcPr>
            <w:tcW w:type="dxa" w:w="171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Clean bootstrap; reproducible build</w:t>
            </w:r>
          </w:p>
        </w:tc>
      </w:tr>
      <w:tr>
        <w:trPr>
          <w:trHeight w:hRule="atLeast"/>
        </w:trPr>
        <w:tc>
          <w:tcPr>
            <w:tcW w:type="dxa" w:w="105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FND-03</w:t>
            </w:r>
          </w:p>
        </w:tc>
        <w:tc>
          <w:tcPr>
            <w:tcW w:type="dxa" w:w="19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OpenAPI/AsyncAPI/schema pipeline</w:t>
            </w:r>
          </w:p>
        </w:tc>
        <w:tc>
          <w:tcPr>
            <w:tcW w:type="dxa" w:w="7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L</w:t>
            </w:r>
          </w:p>
        </w:tc>
        <w:tc>
          <w:tcPr>
            <w:tcW w:type="dxa" w:w="15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FND-01</w:t>
            </w:r>
          </w:p>
        </w:tc>
        <w:tc>
          <w:tcPr>
            <w:tcW w:type="dxa" w:w="25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Versioned contracts, generated clients, compatibility check</w:t>
            </w:r>
          </w:p>
        </w:tc>
        <w:tc>
          <w:tcPr>
            <w:tcW w:type="dxa" w:w="171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Golden fixtures; breaking-change detector</w:t>
            </w:r>
          </w:p>
        </w:tc>
      </w:tr>
      <w:tr>
        <w:trPr>
          <w:trHeight w:hRule="atLeast"/>
        </w:trPr>
        <w:tc>
          <w:tcPr>
            <w:tcW w:type="dxa" w:w="105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FND-04</w:t>
            </w:r>
          </w:p>
        </w:tc>
        <w:tc>
          <w:tcPr>
            <w:tcW w:type="dxa" w:w="19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CI quality and supply chain</w:t>
            </w:r>
          </w:p>
        </w:tc>
        <w:tc>
          <w:tcPr>
            <w:tcW w:type="dxa" w:w="7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L</w:t>
            </w:r>
          </w:p>
        </w:tc>
        <w:tc>
          <w:tcPr>
            <w:tcW w:type="dxa" w:w="15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FND-02</w:t>
            </w:r>
          </w:p>
        </w:tc>
        <w:tc>
          <w:tcPr>
            <w:tcW w:type="dxa" w:w="25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Checks, SBOM, secret/SAST/dependency/license scans, signing</w:t>
            </w:r>
          </w:p>
        </w:tc>
        <w:tc>
          <w:tcPr>
            <w:tcW w:type="dxa" w:w="171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Protected main; provenance artifact</w:t>
            </w:r>
          </w:p>
        </w:tc>
      </w:tr>
      <w:tr>
        <w:trPr>
          <w:trHeight w:hRule="atLeast"/>
        </w:trPr>
        <w:tc>
          <w:tcPr>
            <w:tcW w:type="dxa" w:w="105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FND-05</w:t>
            </w:r>
          </w:p>
        </w:tc>
        <w:tc>
          <w:tcPr>
            <w:tcW w:type="dxa" w:w="19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Environments and locked network</w:t>
            </w:r>
          </w:p>
        </w:tc>
        <w:tc>
          <w:tcPr>
            <w:tcW w:type="dxa" w:w="7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L</w:t>
            </w:r>
          </w:p>
        </w:tc>
        <w:tc>
          <w:tcPr>
            <w:tcW w:type="dxa" w:w="15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FND-02</w:t>
            </w:r>
          </w:p>
        </w:tc>
        <w:tc>
          <w:tcPr>
            <w:tcW w:type="dxa" w:w="25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Compose, staging IaC, no carrier route, secret placeholders</w:t>
            </w:r>
          </w:p>
        </w:tc>
        <w:tc>
          <w:tcPr>
            <w:tcW w:type="dxa" w:w="171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Network negative proof</w:t>
            </w:r>
          </w:p>
        </w:tc>
      </w:tr>
      <w:tr>
        <w:trPr>
          <w:trHeight w:hRule="atLeast"/>
        </w:trPr>
        <w:tc>
          <w:tcPr>
            <w:tcW w:type="dxa" w:w="105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FND-06</w:t>
            </w:r>
          </w:p>
        </w:tc>
        <w:tc>
          <w:tcPr>
            <w:tcW w:type="dxa" w:w="19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Telemetry/privacy envelope</w:t>
            </w:r>
          </w:p>
        </w:tc>
        <w:tc>
          <w:tcPr>
            <w:tcW w:type="dxa" w:w="7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M</w:t>
            </w:r>
          </w:p>
        </w:tc>
        <w:tc>
          <w:tcPr>
            <w:tcW w:type="dxa" w:w="15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FND-01</w:t>
            </w:r>
          </w:p>
        </w:tc>
        <w:tc>
          <w:tcPr>
            <w:tcW w:type="dxa" w:w="25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Correlation, redaction, metric taxonomy, alert skeleton</w:t>
            </w:r>
          </w:p>
        </w:tc>
        <w:tc>
          <w:tcPr>
            <w:tcW w:type="dxa" w:w="171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Canary PII log tests</w:t>
            </w:r>
          </w:p>
        </w:tc>
      </w:tr>
    </w:tbl>
    <w:p>
      <w:pPr>
        <w:pStyle w:val="Heading2"/>
      </w:pPr>
      <w:r>
        <w:t>4.2 Backend and data authority</w:t>
      </w:r>
    </w:p>
    <w:tbl>
      <w:tblPr>
        <w:tblStyle w:val="TableGrid"/>
        <w:tblW w:type="dxa" w:w="9360"/>
        <w:jc w:val="left"/>
        <w:tblLayout w:type="fixed"/>
        <w:tblLook w:firstColumn="1" w:firstRow="1" w:lastColumn="0" w:lastRow="0" w:noHBand="0" w:noVBand="1" w:val="04A0"/>
        <w:tblInd w:w="120" w:type="dxa"/>
        <w:tblBorders>
          <w:top w:val="single" w:sz="4" w:color="C7CDD6"/>
          <w:left w:val="single" w:sz="4" w:color="C7CDD6"/>
          <w:bottom w:val="single" w:sz="4" w:color="C7CDD6"/>
          <w:right w:val="single" w:sz="4" w:color="C7CDD6"/>
          <w:insideH w:val="single" w:sz="4" w:color="C7CDD6"/>
          <w:insideV w:val="single" w:sz="4" w:color="C7CDD6"/>
        </w:tblBorders>
      </w:tblPr>
      <w:tblGrid>
        <w:gridCol w:w="1050"/>
        <w:gridCol w:w="1900"/>
        <w:gridCol w:w="700"/>
        <w:gridCol w:w="1500"/>
        <w:gridCol w:w="2500"/>
        <w:gridCol w:w="1710"/>
      </w:tblGrid>
      <w:tr>
        <w:trPr>
          <w:trHeight w:hRule="atLeast"/>
          <w:tblHeader w:val="true"/>
        </w:trPr>
        <w:tc>
          <w:tcPr>
            <w:tcW w:type="dxa" w:w="105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4"/>
              </w:rPr>
              <w:t>ID</w:t>
            </w:r>
          </w:p>
        </w:tc>
        <w:tc>
          <w:tcPr>
            <w:tcW w:type="dxa" w:w="19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4"/>
              </w:rPr>
              <w:t>Package</w:t>
            </w:r>
          </w:p>
        </w:tc>
        <w:tc>
          <w:tcPr>
            <w:tcW w:type="dxa" w:w="7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4"/>
              </w:rPr>
              <w:t>Size</w:t>
            </w:r>
          </w:p>
        </w:tc>
        <w:tc>
          <w:tcPr>
            <w:tcW w:type="dxa" w:w="15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4"/>
              </w:rPr>
              <w:t>Depends</w:t>
            </w:r>
          </w:p>
        </w:tc>
        <w:tc>
          <w:tcPr>
            <w:tcW w:type="dxa" w:w="25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4"/>
              </w:rPr>
              <w:t>Primary output</w:t>
            </w:r>
          </w:p>
        </w:tc>
        <w:tc>
          <w:tcPr>
            <w:tcW w:type="dxa" w:w="171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4"/>
              </w:rPr>
              <w:t>Completion evidence</w:t>
            </w:r>
          </w:p>
        </w:tc>
      </w:tr>
      <w:tr>
        <w:trPr>
          <w:trHeight w:hRule="atLeast"/>
        </w:trPr>
        <w:tc>
          <w:tcPr>
            <w:tcW w:type="dxa" w:w="105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BE-01</w:t>
            </w:r>
          </w:p>
        </w:tc>
        <w:tc>
          <w:tcPr>
            <w:tcW w:type="dxa" w:w="19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Domain primitives</w:t>
            </w:r>
          </w:p>
        </w:tc>
        <w:tc>
          <w:tcPr>
            <w:tcW w:type="dxa" w:w="7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M</w:t>
            </w:r>
          </w:p>
        </w:tc>
        <w:tc>
          <w:tcPr>
            <w:tcW w:type="dxa" w:w="15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FND-01/03</w:t>
            </w:r>
          </w:p>
        </w:tc>
        <w:tc>
          <w:tcPr>
            <w:tcW w:type="dxa" w:w="25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Integer seconds/fils, UTC/monotonic time, E.164 parser, typed IDs</w:t>
            </w:r>
          </w:p>
        </w:tc>
        <w:tc>
          <w:tcPr>
            <w:tcW w:type="dxa" w:w="171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Property tests; Unicode/emergency corpus</w:t>
            </w:r>
          </w:p>
        </w:tc>
      </w:tr>
      <w:tr>
        <w:trPr>
          <w:trHeight w:hRule="atLeast"/>
        </w:trPr>
        <w:tc>
          <w:tcPr>
            <w:tcW w:type="dxa" w:w="105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BE-02</w:t>
            </w:r>
          </w:p>
        </w:tc>
        <w:tc>
          <w:tcPr>
            <w:tcW w:type="dxa" w:w="19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Identity/device/roles</w:t>
            </w:r>
          </w:p>
        </w:tc>
        <w:tc>
          <w:tcPr>
            <w:tcW w:type="dxa" w:w="7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XL</w:t>
            </w:r>
          </w:p>
        </w:tc>
        <w:tc>
          <w:tcPr>
            <w:tcW w:type="dxa" w:w="15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BE-01</w:t>
            </w:r>
          </w:p>
        </w:tc>
        <w:tc>
          <w:tcPr>
            <w:tcW w:type="dxa" w:w="25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Invite, OTP abstraction, Keystore proof, sessions, migration/recovery, RBAC</w:t>
            </w:r>
          </w:p>
        </w:tc>
        <w:tc>
          <w:tcPr>
            <w:tcW w:type="dxa" w:w="171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Replay/revocation/race tests</w:t>
            </w:r>
          </w:p>
        </w:tc>
      </w:tr>
      <w:tr>
        <w:trPr>
          <w:trHeight w:hRule="atLeast"/>
        </w:trPr>
        <w:tc>
          <w:tcPr>
            <w:tcW w:type="dxa" w:w="105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BE-03</w:t>
            </w:r>
          </w:p>
        </w:tc>
        <w:tc>
          <w:tcPr>
            <w:tcW w:type="dxa" w:w="19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Configuration authority</w:t>
            </w:r>
          </w:p>
        </w:tc>
        <w:tc>
          <w:tcPr>
            <w:tcW w:type="dxa" w:w="7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L</w:t>
            </w:r>
          </w:p>
        </w:tc>
        <w:tc>
          <w:tcPr>
            <w:tcW w:type="dxa" w:w="15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BE-01</w:t>
            </w:r>
          </w:p>
        </w:tc>
        <w:tc>
          <w:tcPr>
            <w:tcW w:type="dxa" w:w="25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Typed versions, precedence, diff, publish, rollback, snapshots</w:t>
            </w:r>
          </w:p>
        </w:tc>
        <w:tc>
          <w:tcPr>
            <w:tcW w:type="dxa" w:w="171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Invalid/missing config fails closed</w:t>
            </w:r>
          </w:p>
        </w:tc>
      </w:tr>
      <w:tr>
        <w:trPr>
          <w:trHeight w:hRule="atLeast"/>
        </w:trPr>
        <w:tc>
          <w:tcPr>
            <w:tcW w:type="dxa" w:w="105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BE-04</w:t>
            </w:r>
          </w:p>
        </w:tc>
        <w:tc>
          <w:tcPr>
            <w:tcW w:type="dxa" w:w="19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Audit/privacy/crypto</w:t>
            </w:r>
          </w:p>
        </w:tc>
        <w:tc>
          <w:tcPr>
            <w:tcW w:type="dxa" w:w="7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XL</w:t>
            </w:r>
          </w:p>
        </w:tc>
        <w:tc>
          <w:tcPr>
            <w:tcW w:type="dxa" w:w="15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BE-01/03</w:t>
            </w:r>
          </w:p>
        </w:tc>
        <w:tc>
          <w:tcPr>
            <w:tcW w:type="dxa" w:w="25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Envelope encryption, masking, reveal, audit, key rotation hooks</w:t>
            </w:r>
          </w:p>
        </w:tc>
        <w:tc>
          <w:tcPr>
            <w:tcW w:type="dxa" w:w="171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No plaintext/log; reasoned reveal evidence</w:t>
            </w:r>
          </w:p>
        </w:tc>
      </w:tr>
      <w:tr>
        <w:trPr>
          <w:trHeight w:hRule="atLeast"/>
        </w:trPr>
        <w:tc>
          <w:tcPr>
            <w:tcW w:type="dxa" w:w="105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BE-05</w:t>
            </w:r>
          </w:p>
        </w:tc>
        <w:tc>
          <w:tcPr>
            <w:tcW w:type="dxa" w:w="19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Minutes/fairness/ledgers</w:t>
            </w:r>
          </w:p>
        </w:tc>
        <w:tc>
          <w:tcPr>
            <w:tcW w:type="dxa" w:w="7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XL</w:t>
            </w:r>
          </w:p>
        </w:tc>
        <w:tc>
          <w:tcPr>
            <w:tcW w:type="dxa" w:w="15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BE-01/03</w:t>
            </w:r>
          </w:p>
        </w:tc>
        <w:tc>
          <w:tcPr>
            <w:tcW w:type="dxa" w:w="25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Requests, deterministic recommendation, grants, entitlement ledger</w:t>
            </w:r>
          </w:p>
        </w:tc>
        <w:tc>
          <w:tcPr>
            <w:tcW w:type="dxa" w:w="171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Determinism, no underflow, compensation</w:t>
            </w:r>
          </w:p>
        </w:tc>
      </w:tr>
      <w:tr>
        <w:trPr>
          <w:trHeight w:hRule="atLeast"/>
        </w:trPr>
        <w:tc>
          <w:tcPr>
            <w:tcW w:type="dxa" w:w="105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BE-06</w:t>
            </w:r>
          </w:p>
        </w:tc>
        <w:tc>
          <w:tcPr>
            <w:tcW w:type="dxa" w:w="19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Call state and admission</w:t>
            </w:r>
          </w:p>
        </w:tc>
        <w:tc>
          <w:tcPr>
            <w:tcW w:type="dxa" w:w="7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XL</w:t>
            </w:r>
          </w:p>
        </w:tc>
        <w:tc>
          <w:tcPr>
            <w:tcW w:type="dxa" w:w="15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BE-01/03/05</w:t>
            </w:r>
          </w:p>
        </w:tc>
        <w:tc>
          <w:tcPr>
            <w:tcW w:type="dxa" w:w="25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State reducer, cap, reservation, authoritative answer, reconnect</w:t>
            </w:r>
          </w:p>
        </w:tc>
        <w:tc>
          <w:tcPr>
            <w:tcW w:type="dxa" w:w="171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Model/property and boundary tests</w:t>
            </w:r>
          </w:p>
        </w:tc>
      </w:tr>
      <w:tr>
        <w:trPr>
          <w:trHeight w:hRule="atLeast"/>
        </w:trPr>
        <w:tc>
          <w:tcPr>
            <w:tcW w:type="dxa" w:w="105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BE-07</w:t>
            </w:r>
          </w:p>
        </w:tc>
        <w:tc>
          <w:tcPr>
            <w:tcW w:type="dxa" w:w="19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Fenced lines/outbox/inbox</w:t>
            </w:r>
          </w:p>
        </w:tc>
        <w:tc>
          <w:tcPr>
            <w:tcW w:type="dxa" w:w="7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L</w:t>
            </w:r>
          </w:p>
        </w:tc>
        <w:tc>
          <w:tcPr>
            <w:tcW w:type="dxa" w:w="15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BE-06</w:t>
            </w:r>
          </w:p>
        </w:tc>
        <w:tc>
          <w:tcPr>
            <w:tcW w:type="dxa" w:w="25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Atomic lease, epochs, commands, dedupe, jobs, reconciliation hold</w:t>
            </w:r>
          </w:p>
        </w:tc>
        <w:tc>
          <w:tcPr>
            <w:tcW w:type="dxa" w:w="171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Crash/concurrency/late-event tests</w:t>
            </w:r>
          </w:p>
        </w:tc>
      </w:tr>
      <w:tr>
        <w:trPr>
          <w:trHeight w:hRule="atLeast"/>
        </w:trPr>
        <w:tc>
          <w:tcPr>
            <w:tcW w:type="dxa" w:w="105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BE-08</w:t>
            </w:r>
          </w:p>
        </w:tc>
        <w:tc>
          <w:tcPr>
            <w:tcW w:type="dxa" w:w="19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Queue/claims/notifications</w:t>
            </w:r>
          </w:p>
        </w:tc>
        <w:tc>
          <w:tcPr>
            <w:tcW w:type="dxa" w:w="7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L</w:t>
            </w:r>
          </w:p>
        </w:tc>
        <w:tc>
          <w:tcPr>
            <w:tcW w:type="dxa" w:w="15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BE-05/07</w:t>
            </w:r>
          </w:p>
        </w:tc>
        <w:tc>
          <w:tcPr>
            <w:tcW w:type="dxa" w:w="25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Waitlist, 60-second claim, FCM wake, preferences</w:t>
            </w:r>
          </w:p>
        </w:tc>
        <w:tc>
          <w:tcPr>
            <w:tcW w:type="dxa" w:w="171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No auto-dial/reservation; expiry tests</w:t>
            </w:r>
          </w:p>
        </w:tc>
      </w:tr>
      <w:tr>
        <w:trPr>
          <w:trHeight w:hRule="atLeast"/>
        </w:trPr>
        <w:tc>
          <w:tcPr>
            <w:tcW w:type="dxa" w:w="105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BE-09</w:t>
            </w:r>
          </w:p>
        </w:tc>
        <w:tc>
          <w:tcPr>
            <w:tcW w:type="dxa" w:w="19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History/retention/reconciliation</w:t>
            </w:r>
          </w:p>
        </w:tc>
        <w:tc>
          <w:tcPr>
            <w:tcW w:type="dxa" w:w="7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XL</w:t>
            </w:r>
          </w:p>
        </w:tc>
        <w:tc>
          <w:tcPr>
            <w:tcW w:type="dxa" w:w="15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BE-04/05/06</w:t>
            </w:r>
          </w:p>
        </w:tc>
        <w:tc>
          <w:tcPr>
            <w:tcW w:type="dxa" w:w="25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P4M purge, carrier-evidence abstraction, three-ledger cases</w:t>
            </w:r>
          </w:p>
        </w:tc>
        <w:tc>
          <w:tcPr>
            <w:tcW w:type="dxa" w:w="171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Month-end/restore/purge/compensation</w:t>
            </w:r>
          </w:p>
        </w:tc>
      </w:tr>
    </w:tbl>
    <w:p>
      <w:pPr>
        <w:pStyle w:val="Heading2"/>
      </w:pPr>
      <w:r>
        <w:t>4.3 Media, simulator, and locked real adapter</w:t>
      </w:r>
    </w:p>
    <w:tbl>
      <w:tblPr>
        <w:tblStyle w:val="TableGrid"/>
        <w:tblW w:type="dxa" w:w="9360"/>
        <w:jc w:val="left"/>
        <w:tblLayout w:type="fixed"/>
        <w:tblLook w:firstColumn="1" w:firstRow="1" w:lastColumn="0" w:lastRow="0" w:noHBand="0" w:noVBand="1" w:val="04A0"/>
        <w:tblInd w:w="120" w:type="dxa"/>
        <w:tblBorders>
          <w:top w:val="single" w:sz="4" w:color="C7CDD6"/>
          <w:left w:val="single" w:sz="4" w:color="C7CDD6"/>
          <w:bottom w:val="single" w:sz="4" w:color="C7CDD6"/>
          <w:right w:val="single" w:sz="4" w:color="C7CDD6"/>
          <w:insideH w:val="single" w:sz="4" w:color="C7CDD6"/>
          <w:insideV w:val="single" w:sz="4" w:color="C7CDD6"/>
        </w:tblBorders>
      </w:tblPr>
      <w:tblGrid>
        <w:gridCol w:w="1050"/>
        <w:gridCol w:w="1900"/>
        <w:gridCol w:w="700"/>
        <w:gridCol w:w="1500"/>
        <w:gridCol w:w="2500"/>
        <w:gridCol w:w="1710"/>
      </w:tblGrid>
      <w:tr>
        <w:trPr>
          <w:trHeight w:hRule="atLeast"/>
          <w:tblHeader w:val="true"/>
        </w:trPr>
        <w:tc>
          <w:tcPr>
            <w:tcW w:type="dxa" w:w="105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4"/>
              </w:rPr>
              <w:t>ID</w:t>
            </w:r>
          </w:p>
        </w:tc>
        <w:tc>
          <w:tcPr>
            <w:tcW w:type="dxa" w:w="19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4"/>
              </w:rPr>
              <w:t>Package</w:t>
            </w:r>
          </w:p>
        </w:tc>
        <w:tc>
          <w:tcPr>
            <w:tcW w:type="dxa" w:w="7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4"/>
              </w:rPr>
              <w:t>Size</w:t>
            </w:r>
          </w:p>
        </w:tc>
        <w:tc>
          <w:tcPr>
            <w:tcW w:type="dxa" w:w="15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4"/>
              </w:rPr>
              <w:t>Depends</w:t>
            </w:r>
          </w:p>
        </w:tc>
        <w:tc>
          <w:tcPr>
            <w:tcW w:type="dxa" w:w="25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4"/>
              </w:rPr>
              <w:t>Primary output</w:t>
            </w:r>
          </w:p>
        </w:tc>
        <w:tc>
          <w:tcPr>
            <w:tcW w:type="dxa" w:w="171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4"/>
              </w:rPr>
              <w:t>Completion evidence</w:t>
            </w:r>
          </w:p>
        </w:tc>
      </w:tr>
      <w:tr>
        <w:trPr>
          <w:trHeight w:hRule="atLeast"/>
        </w:trPr>
        <w:tc>
          <w:tcPr>
            <w:tcW w:type="dxa" w:w="105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TEL-01</w:t>
            </w:r>
          </w:p>
        </w:tc>
        <w:tc>
          <w:tcPr>
            <w:tcW w:type="dxa" w:w="19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Android–Asterisk spike</w:t>
            </w:r>
          </w:p>
        </w:tc>
        <w:tc>
          <w:tcPr>
            <w:tcW w:type="dxa" w:w="7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L</w:t>
            </w:r>
          </w:p>
        </w:tc>
        <w:tc>
          <w:tcPr>
            <w:tcW w:type="dxa" w:w="15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FND-05</w:t>
            </w:r>
          </w:p>
        </w:tc>
        <w:tc>
          <w:tcPr>
            <w:tcW w:type="dxa" w:w="25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WebRTC WSS/DTLS-SRTP, Opus, audio routing, reconnect evidence</w:t>
            </w:r>
          </w:p>
        </w:tc>
        <w:tc>
          <w:tcPr>
            <w:tcW w:type="dxa" w:w="171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Target-device trace and decision</w:t>
            </w:r>
          </w:p>
        </w:tc>
      </w:tr>
      <w:tr>
        <w:trPr>
          <w:trHeight w:hRule="atLeast"/>
        </w:trPr>
        <w:tc>
          <w:tcPr>
            <w:tcW w:type="dxa" w:w="105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TEL-02</w:t>
            </w:r>
          </w:p>
        </w:tc>
        <w:tc>
          <w:tcPr>
            <w:tcW w:type="dxa" w:w="19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Asterisk/TURN baseline</w:t>
            </w:r>
          </w:p>
        </w:tc>
        <w:tc>
          <w:tcPr>
            <w:tcW w:type="dxa" w:w="7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L</w:t>
            </w:r>
          </w:p>
        </w:tc>
        <w:tc>
          <w:tcPr>
            <w:tcW w:type="dxa" w:w="15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TEL-01</w:t>
            </w:r>
          </w:p>
        </w:tc>
        <w:tc>
          <w:tcPr>
            <w:tcW w:type="dxa" w:w="25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Pinned image, PJSIP/ARI, trusted TLS, TURN, no public admin</w:t>
            </w:r>
          </w:p>
        </w:tc>
        <w:tc>
          <w:tcPr>
            <w:tcW w:type="dxa" w:w="171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SIPp/WebRTC suite; config scan</w:t>
            </w:r>
          </w:p>
        </w:tc>
      </w:tr>
      <w:tr>
        <w:trPr>
          <w:trHeight w:hRule="atLeast"/>
        </w:trPr>
        <w:tc>
          <w:tcPr>
            <w:tcW w:type="dxa" w:w="105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TEL-03</w:t>
            </w:r>
          </w:p>
        </w:tc>
        <w:tc>
          <w:tcPr>
            <w:tcW w:type="dxa" w:w="19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PBX event bridge</w:t>
            </w:r>
          </w:p>
        </w:tc>
        <w:tc>
          <w:tcPr>
            <w:tcW w:type="dxa" w:w="7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XL</w:t>
            </w:r>
          </w:p>
        </w:tc>
        <w:tc>
          <w:tcPr>
            <w:tcW w:type="dxa" w:w="15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BE-06/TEL-02</w:t>
            </w:r>
          </w:p>
        </w:tc>
        <w:tc>
          <w:tcPr>
            <w:tcW w:type="dxa" w:w="25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Normalized answer/alert/end, cap/watchdog, correlation</w:t>
            </w:r>
          </w:p>
        </w:tc>
        <w:tc>
          <w:tcPr>
            <w:tcW w:type="dxa" w:w="171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Early-media/late/duplicate/fault tests</w:t>
            </w:r>
          </w:p>
        </w:tc>
      </w:tr>
      <w:tr>
        <w:trPr>
          <w:trHeight w:hRule="atLeast"/>
        </w:trPr>
        <w:tc>
          <w:tcPr>
            <w:tcW w:type="dxa" w:w="105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TEL-04</w:t>
            </w:r>
          </w:p>
        </w:tc>
        <w:tc>
          <w:tcPr>
            <w:tcW w:type="dxa" w:w="19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CarrierAdapter SDK + SIP line port</w:t>
            </w:r>
          </w:p>
        </w:tc>
        <w:tc>
          <w:tcPr>
            <w:tcW w:type="dxa" w:w="7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L</w:t>
            </w:r>
          </w:p>
        </w:tc>
        <w:tc>
          <w:tcPr>
            <w:tcW w:type="dxa" w:w="15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FND-03/BE-07,TEL-02</w:t>
            </w:r>
          </w:p>
        </w:tc>
        <w:tc>
          <w:tcPr>
            <w:tcW w:type="dxa" w:w="25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Versioned port, standard Asterisk/PJSIP call boundary, capability flags, UNKNOWN/UNSUPPORTED health</w:t>
            </w:r>
          </w:p>
        </w:tc>
        <w:tc>
          <w:tcPr>
            <w:tcW w:type="dxa" w:w="171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Shared conformance suite</w:t>
            </w:r>
          </w:p>
        </w:tc>
      </w:tr>
      <w:tr>
        <w:trPr>
          <w:trHeight w:hRule="atLeast"/>
        </w:trPr>
        <w:tc>
          <w:tcPr>
            <w:tcW w:type="dxa" w:w="105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TEL-05</w:t>
            </w:r>
          </w:p>
        </w:tc>
        <w:tc>
          <w:tcPr>
            <w:tcW w:type="dxa" w:w="19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SimulatorAdapter</w:t>
            </w:r>
          </w:p>
        </w:tc>
        <w:tc>
          <w:tcPr>
            <w:tcW w:type="dxa" w:w="7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L</w:t>
            </w:r>
          </w:p>
        </w:tc>
        <w:tc>
          <w:tcPr>
            <w:tcW w:type="dxa" w:w="15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TEL-04</w:t>
            </w:r>
          </w:p>
        </w:tc>
        <w:tc>
          <w:tcPr>
            <w:tcW w:type="dxa" w:w="25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Deterministic scenarios, fake clock, scripted faults/evidence</w:t>
            </w:r>
          </w:p>
        </w:tc>
        <w:tc>
          <w:tcPr>
            <w:tcW w:type="dxa" w:w="171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All contract cases; reproducible seeds</w:t>
            </w:r>
          </w:p>
        </w:tc>
      </w:tr>
      <w:tr>
        <w:trPr>
          <w:trHeight w:hRule="atLeast"/>
        </w:trPr>
        <w:tc>
          <w:tcPr>
            <w:tcW w:type="dxa" w:w="105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TEL-06</w:t>
            </w:r>
          </w:p>
        </w:tc>
        <w:tc>
          <w:tcPr>
            <w:tcW w:type="dxa" w:w="19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RealGatewayAdapter + telemetry plugin</w:t>
            </w:r>
          </w:p>
        </w:tc>
        <w:tc>
          <w:tcPr>
            <w:tcW w:type="dxa" w:w="7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XL</w:t>
            </w:r>
          </w:p>
        </w:tc>
        <w:tc>
          <w:tcPr>
            <w:tcW w:type="dxa" w:w="15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TEL-04</w:t>
            </w:r>
          </w:p>
        </w:tc>
        <w:tc>
          <w:tcPr>
            <w:tcW w:type="dxa" w:w="25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Production SIP/PJSIP driver, baseline SIP/ARI/CDR plugin, optional vendor plugin port, fake/vendor transport</w:t>
            </w:r>
          </w:p>
        </w:tc>
        <w:tc>
          <w:tcPr>
            <w:tcW w:type="dxa" w:w="171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Same conformance; zero carrier command</w:t>
            </w:r>
          </w:p>
        </w:tc>
      </w:tr>
      <w:tr>
        <w:trPr>
          <w:trHeight w:hRule="atLeast"/>
        </w:trPr>
        <w:tc>
          <w:tcPr>
            <w:tcW w:type="dxa" w:w="105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TEL-07</w:t>
            </w:r>
          </w:p>
        </w:tc>
        <w:tc>
          <w:tcPr>
            <w:tcW w:type="dxa" w:w="19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Activation and kill enforcement</w:t>
            </w:r>
          </w:p>
        </w:tc>
        <w:tc>
          <w:tcPr>
            <w:tcW w:type="dxa" w:w="7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XL</w:t>
            </w:r>
          </w:p>
        </w:tc>
        <w:tc>
          <w:tcPr>
            <w:tcW w:type="dxa" w:w="15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BE-03/07,TEL-02/06</w:t>
            </w:r>
          </w:p>
        </w:tc>
        <w:tc>
          <w:tcPr>
            <w:tcW w:type="dxa" w:w="25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Generation manifest, PBX route lock, adapter lock, four kill modes</w:t>
            </w:r>
          </w:p>
        </w:tc>
        <w:tc>
          <w:tcPr>
            <w:tcW w:type="dxa" w:w="171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Stale/missing/compromised-layer negative proof</w:t>
            </w:r>
          </w:p>
        </w:tc>
      </w:tr>
      <w:tr>
        <w:trPr>
          <w:trHeight w:hRule="atLeast"/>
        </w:trPr>
        <w:tc>
          <w:tcPr>
            <w:tcW w:type="dxa" w:w="105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TEL-08</w:t>
            </w:r>
          </w:p>
        </w:tc>
        <w:tc>
          <w:tcPr>
            <w:tcW w:type="dxa" w:w="19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Home-edge/watchdog/tunnel</w:t>
            </w:r>
          </w:p>
        </w:tc>
        <w:tc>
          <w:tcPr>
            <w:tcW w:type="dxa" w:w="7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L</w:t>
            </w:r>
          </w:p>
        </w:tc>
        <w:tc>
          <w:tcPr>
            <w:tcW w:type="dxa" w:w="15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FND-05,TEL-06/07</w:t>
            </w:r>
          </w:p>
        </w:tc>
        <w:tc>
          <w:tcPr>
            <w:tcW w:type="dxa" w:w="25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Outbound tunnel agent, local expiry/watchdog, safe status and config</w:t>
            </w:r>
          </w:p>
        </w:tc>
        <w:tc>
          <w:tcPr>
            <w:tcW w:type="dxa" w:w="171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Cloud-loss/orphan-leg simulation</w:t>
            </w:r>
          </w:p>
        </w:tc>
      </w:tr>
    </w:tbl>
    <w:p>
      <w:pPr>
        <w:pStyle w:val="Heading2"/>
      </w:pPr>
      <w:r>
        <w:t>4.4 Android member application</w:t>
      </w:r>
    </w:p>
    <w:tbl>
      <w:tblPr>
        <w:tblStyle w:val="TableGrid"/>
        <w:tblW w:type="dxa" w:w="9360"/>
        <w:jc w:val="left"/>
        <w:tblLayout w:type="fixed"/>
        <w:tblLook w:firstColumn="1" w:firstRow="1" w:lastColumn="0" w:lastRow="0" w:noHBand="0" w:noVBand="1" w:val="04A0"/>
        <w:tblInd w:w="120" w:type="dxa"/>
        <w:tblBorders>
          <w:top w:val="single" w:sz="4" w:color="C7CDD6"/>
          <w:left w:val="single" w:sz="4" w:color="C7CDD6"/>
          <w:bottom w:val="single" w:sz="4" w:color="C7CDD6"/>
          <w:right w:val="single" w:sz="4" w:color="C7CDD6"/>
          <w:insideH w:val="single" w:sz="4" w:color="C7CDD6"/>
          <w:insideV w:val="single" w:sz="4" w:color="C7CDD6"/>
        </w:tblBorders>
      </w:tblPr>
      <w:tblGrid>
        <w:gridCol w:w="1050"/>
        <w:gridCol w:w="1900"/>
        <w:gridCol w:w="700"/>
        <w:gridCol w:w="1500"/>
        <w:gridCol w:w="2500"/>
        <w:gridCol w:w="1710"/>
      </w:tblGrid>
      <w:tr>
        <w:trPr>
          <w:trHeight w:hRule="atLeast"/>
          <w:tblHeader w:val="true"/>
        </w:trPr>
        <w:tc>
          <w:tcPr>
            <w:tcW w:type="dxa" w:w="105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4"/>
              </w:rPr>
              <w:t>ID</w:t>
            </w:r>
          </w:p>
        </w:tc>
        <w:tc>
          <w:tcPr>
            <w:tcW w:type="dxa" w:w="19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4"/>
              </w:rPr>
              <w:t>Package</w:t>
            </w:r>
          </w:p>
        </w:tc>
        <w:tc>
          <w:tcPr>
            <w:tcW w:type="dxa" w:w="7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4"/>
              </w:rPr>
              <w:t>Size</w:t>
            </w:r>
          </w:p>
        </w:tc>
        <w:tc>
          <w:tcPr>
            <w:tcW w:type="dxa" w:w="15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4"/>
              </w:rPr>
              <w:t>Depends</w:t>
            </w:r>
          </w:p>
        </w:tc>
        <w:tc>
          <w:tcPr>
            <w:tcW w:type="dxa" w:w="25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4"/>
              </w:rPr>
              <w:t>Primary output</w:t>
            </w:r>
          </w:p>
        </w:tc>
        <w:tc>
          <w:tcPr>
            <w:tcW w:type="dxa" w:w="171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4"/>
              </w:rPr>
              <w:t>Completion evidence</w:t>
            </w:r>
          </w:p>
        </w:tc>
      </w:tr>
      <w:tr>
        <w:trPr>
          <w:trHeight w:hRule="atLeast"/>
        </w:trPr>
        <w:tc>
          <w:tcPr>
            <w:tcW w:type="dxa" w:w="105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AND-01</w:t>
            </w:r>
          </w:p>
        </w:tc>
        <w:tc>
          <w:tcPr>
            <w:tcW w:type="dxa" w:w="19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App shell/design system</w:t>
            </w:r>
          </w:p>
        </w:tc>
        <w:tc>
          <w:tcPr>
            <w:tcW w:type="dxa" w:w="7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M</w:t>
            </w:r>
          </w:p>
        </w:tc>
        <w:tc>
          <w:tcPr>
            <w:tcW w:type="dxa" w:w="15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FND-02</w:t>
            </w:r>
          </w:p>
        </w:tc>
        <w:tc>
          <w:tcPr>
            <w:tcW w:type="dxa" w:w="25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Compose navigation, tokens, demo banner, localization/a11y harness</w:t>
            </w:r>
          </w:p>
        </w:tc>
        <w:tc>
          <w:tcPr>
            <w:tcW w:type="dxa" w:w="171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Screenshot/a11y/pseudo-locale</w:t>
            </w:r>
          </w:p>
        </w:tc>
      </w:tr>
      <w:tr>
        <w:trPr>
          <w:trHeight w:hRule="atLeast"/>
        </w:trPr>
        <w:tc>
          <w:tcPr>
            <w:tcW w:type="dxa" w:w="105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AND-02</w:t>
            </w:r>
          </w:p>
        </w:tc>
        <w:tc>
          <w:tcPr>
            <w:tcW w:type="dxa" w:w="19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Enrollment/device security</w:t>
            </w:r>
          </w:p>
        </w:tc>
        <w:tc>
          <w:tcPr>
            <w:tcW w:type="dxa" w:w="7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XL</w:t>
            </w:r>
          </w:p>
        </w:tc>
        <w:tc>
          <w:tcPr>
            <w:tcW w:type="dxa" w:w="15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BE-02,FND-03</w:t>
            </w:r>
          </w:p>
        </w:tc>
        <w:tc>
          <w:tcPr>
            <w:tcW w:type="dxa" w:w="25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Invite/OTP, Keystore proof, sessions, migration/recovery</w:t>
            </w:r>
          </w:p>
        </w:tc>
        <w:tc>
          <w:tcPr>
            <w:tcW w:type="dxa" w:w="171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One-device/reinstall/revoke matrix</w:t>
            </w:r>
          </w:p>
        </w:tc>
      </w:tr>
      <w:tr>
        <w:trPr>
          <w:trHeight w:hRule="atLeast"/>
        </w:trPr>
        <w:tc>
          <w:tcPr>
            <w:tcW w:type="dxa" w:w="105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AND-03</w:t>
            </w:r>
          </w:p>
        </w:tc>
        <w:tc>
          <w:tcPr>
            <w:tcW w:type="dxa" w:w="19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Contacts/dialer/preflight</w:t>
            </w:r>
          </w:p>
        </w:tc>
        <w:tc>
          <w:tcPr>
            <w:tcW w:type="dxa" w:w="7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L</w:t>
            </w:r>
          </w:p>
        </w:tc>
        <w:tc>
          <w:tcPr>
            <w:tcW w:type="dxa" w:w="15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BE-01/06</w:t>
            </w:r>
          </w:p>
        </w:tc>
        <w:tc>
          <w:tcPr>
            <w:tcW w:type="dxa" w:w="25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App contacts, optional picker, E.164 UX, emergency exclusion</w:t>
            </w:r>
          </w:p>
        </w:tc>
        <w:tc>
          <w:tcPr>
            <w:tcW w:type="dxa" w:w="171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Permission denial + route corpus</w:t>
            </w:r>
          </w:p>
        </w:tc>
      </w:tr>
      <w:tr>
        <w:trPr>
          <w:trHeight w:hRule="atLeast"/>
        </w:trPr>
        <w:tc>
          <w:tcPr>
            <w:tcW w:type="dxa" w:w="105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AND-04</w:t>
            </w:r>
          </w:p>
        </w:tc>
        <w:tc>
          <w:tcPr>
            <w:tcW w:type="dxa" w:w="19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Call state and controls</w:t>
            </w:r>
          </w:p>
        </w:tc>
        <w:tc>
          <w:tcPr>
            <w:tcW w:type="dxa" w:w="7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XL</w:t>
            </w:r>
          </w:p>
        </w:tc>
        <w:tc>
          <w:tcPr>
            <w:tcW w:type="dxa" w:w="15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TEL-03/05</w:t>
            </w:r>
          </w:p>
        </w:tc>
        <w:tc>
          <w:tcPr>
            <w:tcW w:type="dxa" w:w="25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Truthful states, controls, DTMF, cap/reconnect/finalizing</w:t>
            </w:r>
          </w:p>
        </w:tc>
        <w:tc>
          <w:tcPr>
            <w:tcW w:type="dxa" w:w="171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No false Connected; process/network tests</w:t>
            </w:r>
          </w:p>
        </w:tc>
      </w:tr>
      <w:tr>
        <w:trPr>
          <w:trHeight w:hRule="atLeast"/>
        </w:trPr>
        <w:tc>
          <w:tcPr>
            <w:tcW w:type="dxa" w:w="105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AND-05</w:t>
            </w:r>
          </w:p>
        </w:tc>
        <w:tc>
          <w:tcPr>
            <w:tcW w:type="dxa" w:w="19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Media/audio foreground service</w:t>
            </w:r>
          </w:p>
        </w:tc>
        <w:tc>
          <w:tcPr>
            <w:tcW w:type="dxa" w:w="7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XL</w:t>
            </w:r>
          </w:p>
        </w:tc>
        <w:tc>
          <w:tcPr>
            <w:tcW w:type="dxa" w:w="15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TEL-01/02</w:t>
            </w:r>
          </w:p>
        </w:tc>
        <w:tc>
          <w:tcPr>
            <w:tcW w:type="dxa" w:w="25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WebRTC module, foreground call, routes, lock screen, battery</w:t>
            </w:r>
          </w:p>
        </w:tc>
        <w:tc>
          <w:tcPr>
            <w:tcW w:type="dxa" w:w="171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12-device and network matrix</w:t>
            </w:r>
          </w:p>
        </w:tc>
      </w:tr>
      <w:tr>
        <w:trPr>
          <w:trHeight w:hRule="atLeast"/>
        </w:trPr>
        <w:tc>
          <w:tcPr>
            <w:tcW w:type="dxa" w:w="105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AND-06</w:t>
            </w:r>
          </w:p>
        </w:tc>
        <w:tc>
          <w:tcPr>
            <w:tcW w:type="dxa" w:w="19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Minutes/queue/history</w:t>
            </w:r>
          </w:p>
        </w:tc>
        <w:tc>
          <w:tcPr>
            <w:tcW w:type="dxa" w:w="7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L</w:t>
            </w:r>
          </w:p>
        </w:tc>
        <w:tc>
          <w:tcPr>
            <w:tcW w:type="dxa" w:w="15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BE-05/08/09</w:t>
            </w:r>
          </w:p>
        </w:tc>
        <w:tc>
          <w:tcPr>
            <w:tcW w:type="dxa" w:w="25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Requests, grants, claims, own history, reconciliation</w:t>
            </w:r>
          </w:p>
        </w:tc>
        <w:tc>
          <w:tcPr>
            <w:tcW w:type="dxa" w:w="171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Offline/stale/push failure UX</w:t>
            </w:r>
          </w:p>
        </w:tc>
      </w:tr>
      <w:tr>
        <w:trPr>
          <w:trHeight w:hRule="atLeast"/>
        </w:trPr>
        <w:tc>
          <w:tcPr>
            <w:tcW w:type="dxa" w:w="105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AND-07</w:t>
            </w:r>
          </w:p>
        </w:tc>
        <w:tc>
          <w:tcPr>
            <w:tcW w:type="dxa" w:w="19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Local recording gated skeleton</w:t>
            </w:r>
          </w:p>
        </w:tc>
        <w:tc>
          <w:tcPr>
            <w:tcW w:type="dxa" w:w="7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M</w:t>
            </w:r>
          </w:p>
        </w:tc>
        <w:tc>
          <w:tcPr>
            <w:tcW w:type="dxa" w:w="15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AND-04</w:t>
            </w:r>
          </w:p>
        </w:tc>
        <w:tc>
          <w:tcPr>
            <w:tcW w:type="dxa" w:w="25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No baseline control; encrypted local module and consent hooks disabled</w:t>
            </w:r>
          </w:p>
        </w:tc>
        <w:tc>
          <w:tcPr>
            <w:tcW w:type="dxa" w:w="171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No server path/backup; feature-off proof</w:t>
            </w:r>
          </w:p>
        </w:tc>
      </w:tr>
      <w:tr>
        <w:trPr>
          <w:trHeight w:hRule="atLeast"/>
        </w:trPr>
        <w:tc>
          <w:tcPr>
            <w:tcW w:type="dxa" w:w="105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AND-08</w:t>
            </w:r>
          </w:p>
        </w:tc>
        <w:tc>
          <w:tcPr>
            <w:tcW w:type="dxa" w:w="19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Hardening and release</w:t>
            </w:r>
          </w:p>
        </w:tc>
        <w:tc>
          <w:tcPr>
            <w:tcW w:type="dxa" w:w="7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L</w:t>
            </w:r>
          </w:p>
        </w:tc>
        <w:tc>
          <w:tcPr>
            <w:tcW w:type="dxa" w:w="15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AND-01…07</w:t>
            </w:r>
          </w:p>
        </w:tc>
        <w:tc>
          <w:tcPr>
            <w:tcW w:type="dxa" w:w="25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TalkBack, Tigrinya samples, RTL isolation, performance, obfuscation</w:t>
            </w:r>
          </w:p>
        </w:tc>
        <w:tc>
          <w:tcPr>
            <w:tcW w:type="dxa" w:w="171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Quality/device/release evidence</w:t>
            </w:r>
          </w:p>
        </w:tc>
      </w:tr>
    </w:tbl>
    <w:p>
      <w:pPr>
        <w:pStyle w:val="Heading2"/>
      </w:pPr>
      <w:r>
        <w:t>4.5 Administration web</w:t>
      </w:r>
    </w:p>
    <w:tbl>
      <w:tblPr>
        <w:tblStyle w:val="TableGrid"/>
        <w:tblW w:type="dxa" w:w="9360"/>
        <w:jc w:val="left"/>
        <w:tblLayout w:type="fixed"/>
        <w:tblLook w:firstColumn="1" w:firstRow="1" w:lastColumn="0" w:lastRow="0" w:noHBand="0" w:noVBand="1" w:val="04A0"/>
        <w:tblInd w:w="120" w:type="dxa"/>
        <w:tblBorders>
          <w:top w:val="single" w:sz="4" w:color="C7CDD6"/>
          <w:left w:val="single" w:sz="4" w:color="C7CDD6"/>
          <w:bottom w:val="single" w:sz="4" w:color="C7CDD6"/>
          <w:right w:val="single" w:sz="4" w:color="C7CDD6"/>
          <w:insideH w:val="single" w:sz="4" w:color="C7CDD6"/>
          <w:insideV w:val="single" w:sz="4" w:color="C7CDD6"/>
        </w:tblBorders>
      </w:tblPr>
      <w:tblGrid>
        <w:gridCol w:w="1050"/>
        <w:gridCol w:w="1900"/>
        <w:gridCol w:w="700"/>
        <w:gridCol w:w="1500"/>
        <w:gridCol w:w="2500"/>
        <w:gridCol w:w="1710"/>
      </w:tblGrid>
      <w:tr>
        <w:trPr>
          <w:trHeight w:hRule="atLeast"/>
          <w:tblHeader w:val="true"/>
        </w:trPr>
        <w:tc>
          <w:tcPr>
            <w:tcW w:type="dxa" w:w="105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4"/>
              </w:rPr>
              <w:t>ID</w:t>
            </w:r>
          </w:p>
        </w:tc>
        <w:tc>
          <w:tcPr>
            <w:tcW w:type="dxa" w:w="19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4"/>
              </w:rPr>
              <w:t>Package</w:t>
            </w:r>
          </w:p>
        </w:tc>
        <w:tc>
          <w:tcPr>
            <w:tcW w:type="dxa" w:w="7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4"/>
              </w:rPr>
              <w:t>Size</w:t>
            </w:r>
          </w:p>
        </w:tc>
        <w:tc>
          <w:tcPr>
            <w:tcW w:type="dxa" w:w="15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4"/>
              </w:rPr>
              <w:t>Depends</w:t>
            </w:r>
          </w:p>
        </w:tc>
        <w:tc>
          <w:tcPr>
            <w:tcW w:type="dxa" w:w="25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4"/>
              </w:rPr>
              <w:t>Primary output</w:t>
            </w:r>
          </w:p>
        </w:tc>
        <w:tc>
          <w:tcPr>
            <w:tcW w:type="dxa" w:w="171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4"/>
              </w:rPr>
              <w:t>Completion evidence</w:t>
            </w:r>
          </w:p>
        </w:tc>
      </w:tr>
      <w:tr>
        <w:trPr>
          <w:trHeight w:hRule="atLeast"/>
        </w:trPr>
        <w:tc>
          <w:tcPr>
            <w:tcW w:type="dxa" w:w="105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WEB-01</w:t>
            </w:r>
          </w:p>
        </w:tc>
        <w:tc>
          <w:tcPr>
            <w:tcW w:type="dxa" w:w="19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Shell/auth/permission UI</w:t>
            </w:r>
          </w:p>
        </w:tc>
        <w:tc>
          <w:tcPr>
            <w:tcW w:type="dxa" w:w="7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L</w:t>
            </w:r>
          </w:p>
        </w:tc>
        <w:tc>
          <w:tcPr>
            <w:tcW w:type="dxa" w:w="15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BE-02,FND-03</w:t>
            </w:r>
          </w:p>
        </w:tc>
        <w:tc>
          <w:tcPr>
            <w:tcW w:type="dxa" w:w="25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Responsive shell, MFA/step-up, scope guards, error states</w:t>
            </w:r>
          </w:p>
        </w:tc>
        <w:tc>
          <w:tcPr>
            <w:tcW w:type="dxa" w:w="171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Role/route/CSRF/CSP tests</w:t>
            </w:r>
          </w:p>
        </w:tc>
      </w:tr>
      <w:tr>
        <w:trPr>
          <w:trHeight w:hRule="atLeast"/>
        </w:trPr>
        <w:tc>
          <w:tcPr>
            <w:tcW w:type="dxa" w:w="105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WEB-02</w:t>
            </w:r>
          </w:p>
        </w:tc>
        <w:tc>
          <w:tcPr>
            <w:tcW w:type="dxa" w:w="19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Requests and allocation</w:t>
            </w:r>
          </w:p>
        </w:tc>
        <w:tc>
          <w:tcPr>
            <w:tcW w:type="dxa" w:w="7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L</w:t>
            </w:r>
          </w:p>
        </w:tc>
        <w:tc>
          <w:tcPr>
            <w:tcW w:type="dxa" w:w="15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BE-05</w:t>
            </w:r>
          </w:p>
        </w:tc>
        <w:tc>
          <w:tcPr>
            <w:tcW w:type="dxa" w:w="25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Queue, recommendation explanation, approve/edit/reject/override</w:t>
            </w:r>
          </w:p>
        </w:tc>
        <w:tc>
          <w:tcPr>
            <w:tcW w:type="dxa" w:w="171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Deterministic inputs; reason/audit</w:t>
            </w:r>
          </w:p>
        </w:tc>
      </w:tr>
      <w:tr>
        <w:trPr>
          <w:trHeight w:hRule="atLeast"/>
        </w:trPr>
        <w:tc>
          <w:tcPr>
            <w:tcW w:type="dxa" w:w="105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WEB-03</w:t>
            </w:r>
          </w:p>
        </w:tc>
        <w:tc>
          <w:tcPr>
            <w:tcW w:type="dxa" w:w="19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Members/devices/roles</w:t>
            </w:r>
          </w:p>
        </w:tc>
        <w:tc>
          <w:tcPr>
            <w:tcW w:type="dxa" w:w="7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L</w:t>
            </w:r>
          </w:p>
        </w:tc>
        <w:tc>
          <w:tcPr>
            <w:tcW w:type="dxa" w:w="15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BE-02</w:t>
            </w:r>
          </w:p>
        </w:tc>
        <w:tc>
          <w:tcPr>
            <w:tcW w:type="dxa" w:w="25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Invite, suspend, recovery, migration, delegated permissions</w:t>
            </w:r>
          </w:p>
        </w:tc>
        <w:tc>
          <w:tcPr>
            <w:tcW w:type="dxa" w:w="171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Consequence-specific confirmations</w:t>
            </w:r>
          </w:p>
        </w:tc>
      </w:tr>
      <w:tr>
        <w:trPr>
          <w:trHeight w:hRule="atLeast"/>
        </w:trPr>
        <w:tc>
          <w:tcPr>
            <w:tcW w:type="dxa" w:w="105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WEB-04</w:t>
            </w:r>
          </w:p>
        </w:tc>
        <w:tc>
          <w:tcPr>
            <w:tcW w:type="dxa" w:w="19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Calls/privacy/reconciliation</w:t>
            </w:r>
          </w:p>
        </w:tc>
        <w:tc>
          <w:tcPr>
            <w:tcW w:type="dxa" w:w="7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L</w:t>
            </w:r>
          </w:p>
        </w:tc>
        <w:tc>
          <w:tcPr>
            <w:tcW w:type="dxa" w:w="15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BE-04/06/09</w:t>
            </w:r>
          </w:p>
        </w:tc>
        <w:tc>
          <w:tcPr>
            <w:tcW w:type="dxa" w:w="25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Masked history, reveal, force end, cases, exports</w:t>
            </w:r>
          </w:p>
        </w:tc>
        <w:tc>
          <w:tcPr>
            <w:tcW w:type="dxa" w:w="171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Step-up/reason/no recording access</w:t>
            </w:r>
          </w:p>
        </w:tc>
      </w:tr>
      <w:tr>
        <w:trPr>
          <w:trHeight w:hRule="atLeast"/>
        </w:trPr>
        <w:tc>
          <w:tcPr>
            <w:tcW w:type="dxa" w:w="105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WEB-05</w:t>
            </w:r>
          </w:p>
        </w:tc>
        <w:tc>
          <w:tcPr>
            <w:tcW w:type="dxa" w:w="19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Service/gateway/incidents</w:t>
            </w:r>
          </w:p>
        </w:tc>
        <w:tc>
          <w:tcPr>
            <w:tcW w:type="dxa" w:w="7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L</w:t>
            </w:r>
          </w:p>
        </w:tc>
        <w:tc>
          <w:tcPr>
            <w:tcW w:type="dxa" w:w="15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TEL-05…08</w:t>
            </w:r>
          </w:p>
        </w:tc>
        <w:tc>
          <w:tcPr>
            <w:tcW w:type="dxa" w:w="25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Separate implementation/test/lock/health status, four kill controls</w:t>
            </w:r>
          </w:p>
        </w:tc>
        <w:tc>
          <w:tcPr>
            <w:tcW w:type="dxa" w:w="171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No Enable; truthful locked/outage states</w:t>
            </w:r>
          </w:p>
        </w:tc>
      </w:tr>
      <w:tr>
        <w:trPr>
          <w:trHeight w:hRule="atLeast"/>
        </w:trPr>
        <w:tc>
          <w:tcPr>
            <w:tcW w:type="dxa" w:w="105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WEB-06</w:t>
            </w:r>
          </w:p>
        </w:tc>
        <w:tc>
          <w:tcPr>
            <w:tcW w:type="dxa" w:w="19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Configuration/audit/physical tasks</w:t>
            </w:r>
          </w:p>
        </w:tc>
        <w:tc>
          <w:tcPr>
            <w:tcW w:type="dxa" w:w="7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XL</w:t>
            </w:r>
          </w:p>
        </w:tc>
        <w:tc>
          <w:tcPr>
            <w:tcW w:type="dxa" w:w="15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BE-03/04</w:t>
            </w:r>
          </w:p>
        </w:tc>
        <w:tc>
          <w:tcPr>
            <w:tcW w:type="dxa" w:w="25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Draft/diff/publish/rollback, audit, incident tasks</w:t>
            </w:r>
          </w:p>
        </w:tc>
        <w:tc>
          <w:tcPr>
            <w:tcW w:type="dxa" w:w="171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Locked fields immutable; drift/rollback</w:t>
            </w:r>
          </w:p>
        </w:tc>
      </w:tr>
    </w:tbl>
    <w:p>
      <w:pPr>
        <w:pStyle w:val="Heading2"/>
      </w:pPr>
      <w:r>
        <w:t>4.6 Quality, security, operations, and evidence</w:t>
      </w:r>
    </w:p>
    <w:tbl>
      <w:tblPr>
        <w:tblStyle w:val="TableGrid"/>
        <w:tblW w:type="dxa" w:w="9360"/>
        <w:jc w:val="left"/>
        <w:tblLayout w:type="fixed"/>
        <w:tblLook w:firstColumn="1" w:firstRow="1" w:lastColumn="0" w:lastRow="0" w:noHBand="0" w:noVBand="1" w:val="04A0"/>
        <w:tblInd w:w="120" w:type="dxa"/>
        <w:tblBorders>
          <w:top w:val="single" w:sz="4" w:color="C7CDD6"/>
          <w:left w:val="single" w:sz="4" w:color="C7CDD6"/>
          <w:bottom w:val="single" w:sz="4" w:color="C7CDD6"/>
          <w:right w:val="single" w:sz="4" w:color="C7CDD6"/>
          <w:insideH w:val="single" w:sz="4" w:color="C7CDD6"/>
          <w:insideV w:val="single" w:sz="4" w:color="C7CDD6"/>
        </w:tblBorders>
      </w:tblPr>
      <w:tblGrid>
        <w:gridCol w:w="1050"/>
        <w:gridCol w:w="1900"/>
        <w:gridCol w:w="700"/>
        <w:gridCol w:w="1500"/>
        <w:gridCol w:w="2500"/>
        <w:gridCol w:w="1710"/>
      </w:tblGrid>
      <w:tr>
        <w:trPr>
          <w:trHeight w:hRule="atLeast"/>
          <w:tblHeader w:val="true"/>
        </w:trPr>
        <w:tc>
          <w:tcPr>
            <w:tcW w:type="dxa" w:w="105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4"/>
              </w:rPr>
              <w:t>ID</w:t>
            </w:r>
          </w:p>
        </w:tc>
        <w:tc>
          <w:tcPr>
            <w:tcW w:type="dxa" w:w="19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4"/>
              </w:rPr>
              <w:t>Package</w:t>
            </w:r>
          </w:p>
        </w:tc>
        <w:tc>
          <w:tcPr>
            <w:tcW w:type="dxa" w:w="7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4"/>
              </w:rPr>
              <w:t>Size</w:t>
            </w:r>
          </w:p>
        </w:tc>
        <w:tc>
          <w:tcPr>
            <w:tcW w:type="dxa" w:w="15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4"/>
              </w:rPr>
              <w:t>Depends</w:t>
            </w:r>
          </w:p>
        </w:tc>
        <w:tc>
          <w:tcPr>
            <w:tcW w:type="dxa" w:w="25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4"/>
              </w:rPr>
              <w:t>Primary output</w:t>
            </w:r>
          </w:p>
        </w:tc>
        <w:tc>
          <w:tcPr>
            <w:tcW w:type="dxa" w:w="171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4"/>
              </w:rPr>
              <w:t>Completion evidence</w:t>
            </w:r>
          </w:p>
        </w:tc>
      </w:tr>
      <w:tr>
        <w:trPr>
          <w:trHeight w:hRule="atLeast"/>
        </w:trPr>
        <w:tc>
          <w:tcPr>
            <w:tcW w:type="dxa" w:w="105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QAO-01</w:t>
            </w:r>
          </w:p>
        </w:tc>
        <w:tc>
          <w:tcPr>
            <w:tcW w:type="dxa" w:w="19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Test orchestration</w:t>
            </w:r>
          </w:p>
        </w:tc>
        <w:tc>
          <w:tcPr>
            <w:tcW w:type="dxa" w:w="7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L</w:t>
            </w:r>
          </w:p>
        </w:tc>
        <w:tc>
          <w:tcPr>
            <w:tcW w:type="dxa" w:w="15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FND-02/03</w:t>
            </w:r>
          </w:p>
        </w:tc>
        <w:tc>
          <w:tcPr>
            <w:tcW w:type="dxa" w:w="25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Fixtures, fake clock, containers, emulator/SIP drivers, evidence index</w:t>
            </w:r>
          </w:p>
        </w:tc>
        <w:tc>
          <w:tcPr>
            <w:tcW w:type="dxa" w:w="171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One command per suite; deterministic rerun</w:t>
            </w:r>
          </w:p>
        </w:tc>
      </w:tr>
      <w:tr>
        <w:trPr>
          <w:trHeight w:hRule="atLeast"/>
        </w:trPr>
        <w:tc>
          <w:tcPr>
            <w:tcW w:type="dxa" w:w="105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QAO-02</w:t>
            </w:r>
          </w:p>
        </w:tc>
        <w:tc>
          <w:tcPr>
            <w:tcW w:type="dxa" w:w="19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Threat model/security suite</w:t>
            </w:r>
          </w:p>
        </w:tc>
        <w:tc>
          <w:tcPr>
            <w:tcW w:type="dxa" w:w="7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XL</w:t>
            </w:r>
          </w:p>
        </w:tc>
        <w:tc>
          <w:tcPr>
            <w:tcW w:type="dxa" w:w="15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FND-01 onward</w:t>
            </w:r>
          </w:p>
        </w:tc>
        <w:tc>
          <w:tcPr>
            <w:tcW w:type="dxa" w:w="25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Toll fraud, injection, replay, admin, gateway, logging, rooted device</w:t>
            </w:r>
          </w:p>
        </w:tc>
        <w:tc>
          <w:tcPr>
            <w:tcW w:type="dxa" w:w="171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All critical controls tested; alpha review</w:t>
            </w:r>
          </w:p>
        </w:tc>
      </w:tr>
      <w:tr>
        <w:trPr>
          <w:trHeight w:hRule="atLeast"/>
        </w:trPr>
        <w:tc>
          <w:tcPr>
            <w:tcW w:type="dxa" w:w="105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QAO-03</w:t>
            </w:r>
          </w:p>
        </w:tc>
        <w:tc>
          <w:tcPr>
            <w:tcW w:type="dxa" w:w="19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Reliability/performance/faults</w:t>
            </w:r>
          </w:p>
        </w:tc>
        <w:tc>
          <w:tcPr>
            <w:tcW w:type="dxa" w:w="7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XL</w:t>
            </w:r>
          </w:p>
        </w:tc>
        <w:tc>
          <w:tcPr>
            <w:tcW w:type="dxa" w:w="15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Vertical slice</w:t>
            </w:r>
          </w:p>
        </w:tc>
        <w:tc>
          <w:tcPr>
            <w:tcW w:type="dxa" w:w="25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Load, deploy/restart, tunnel/DB/KMS/PBX loss, alert/kill failure</w:t>
            </w:r>
          </w:p>
        </w:tc>
        <w:tc>
          <w:tcPr>
            <w:tcW w:type="dxa" w:w="171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SLO and no-orphan/no-duplicate evidence</w:t>
            </w:r>
          </w:p>
        </w:tc>
      </w:tr>
      <w:tr>
        <w:trPr>
          <w:trHeight w:hRule="atLeast"/>
        </w:trPr>
        <w:tc>
          <w:tcPr>
            <w:tcW w:type="dxa" w:w="105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QAO-04</w:t>
            </w:r>
          </w:p>
        </w:tc>
        <w:tc>
          <w:tcPr>
            <w:tcW w:type="dxa" w:w="19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Privacy/retention/backup</w:t>
            </w:r>
          </w:p>
        </w:tc>
        <w:tc>
          <w:tcPr>
            <w:tcW w:type="dxa" w:w="7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L</w:t>
            </w:r>
          </w:p>
        </w:tc>
        <w:tc>
          <w:tcPr>
            <w:tcW w:type="dxa" w:w="15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BE-04/09</w:t>
            </w:r>
          </w:p>
        </w:tc>
        <w:tc>
          <w:tcPr>
            <w:tcW w:type="dxa" w:w="25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Export/reveal/purge, backup/restore, key/credential runbooks</w:t>
            </w:r>
          </w:p>
        </w:tc>
        <w:tc>
          <w:tcPr>
            <w:tcW w:type="dxa" w:w="171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P4M and minimal-audit proof</w:t>
            </w:r>
          </w:p>
        </w:tc>
      </w:tr>
      <w:tr>
        <w:trPr>
          <w:trHeight w:hRule="atLeast"/>
        </w:trPr>
        <w:tc>
          <w:tcPr>
            <w:tcW w:type="dxa" w:w="105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QAO-05</w:t>
            </w:r>
          </w:p>
        </w:tc>
        <w:tc>
          <w:tcPr>
            <w:tcW w:type="dxa" w:w="19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B6 locked demonstration</w:t>
            </w:r>
          </w:p>
        </w:tc>
        <w:tc>
          <w:tcPr>
            <w:tcW w:type="dxa" w:w="7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L</w:t>
            </w:r>
          </w:p>
        </w:tc>
        <w:tc>
          <w:tcPr>
            <w:tcW w:type="dxa" w:w="15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All MVP packages</w:t>
            </w:r>
          </w:p>
        </w:tc>
        <w:tc>
          <w:tcPr>
            <w:tcW w:type="dxa" w:w="250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Seeded 12-member demo, scripted scenarios, support/runbooks</w:t>
            </w:r>
          </w:p>
        </w:tc>
        <w:tc>
          <w:tcPr>
            <w:tcW w:type="dxa" w:w="1710"/>
            <w:tcMar>
              <w:top w:w="80" w:type="dxa"/>
              <w:bottom w:w="80" w:type="dxa"/>
              <w:start w:w="120" w:type="dxa"/>
              <w:end w:w="120" w:type="dxa"/>
            </w:tcMar>
            <w:vAlign w:val="center"/>
          </w:tcPr>
          <w:p>
            <w:pPr>
              <w:keepNext w:val="0"/>
              <w:spacing w:before="0" w:after="0" w:line="252" w:lineRule="auto"/>
            </w:pPr>
            <w:r/>
            <w:r>
              <w:rPr>
                <w:rFonts w:ascii="Calibri" w:hAnsi="Calibri"/>
                <w:color w:val="000000"/>
                <w:sz w:val="14"/>
              </w:rPr>
              <w:t>Signed evidence; alpha veto clear</w:t>
            </w:r>
          </w:p>
        </w:tc>
      </w:tr>
    </w:tbl>
    <w:p>
      <w:pPr>
        <w:pStyle w:val="Heading1"/>
      </w:pPr>
      <w:r>
        <w:t>5. Delivery increments and critical path</w:t>
      </w:r>
    </w:p>
    <w:p>
      <w:pPr>
        <w:keepLines/>
        <w:spacing w:after="60"/>
        <w:jc w:val="center"/>
      </w:pPr>
      <w:r>
        <w:drawing>
          <wp:inline xmlns:a="http://schemas.openxmlformats.org/drawingml/2006/main" xmlns:pic="http://schemas.openxmlformats.org/drawingml/2006/picture">
            <wp:extent cx="5897880" cy="3082778"/>
            <wp:docPr id="2" name="Picture 2"/>
            <wp:cNvGraphicFramePr>
              <a:graphicFrameLocks noChangeAspect="1"/>
            </wp:cNvGraphicFramePr>
            <a:graphic>
              <a:graphicData uri="http://schemas.openxmlformats.org/drawingml/2006/picture">
                <pic:pic>
                  <pic:nvPicPr>
                    <pic:cNvPr id="0" name="implementation_roadmap.png"/>
                    <pic:cNvPicPr/>
                  </pic:nvPicPr>
                  <pic:blipFill>
                    <a:blip r:embed="rId12"/>
                    <a:stretch>
                      <a:fillRect/>
                    </a:stretch>
                  </pic:blipFill>
                  <pic:spPr>
                    <a:xfrm>
                      <a:off x="0" y="0"/>
                      <a:ext cx="5897880" cy="3082778"/>
                    </a:xfrm>
                    <a:prstGeom prst="rect"/>
                  </pic:spPr>
                </pic:pic>
              </a:graphicData>
            </a:graphic>
          </wp:inline>
        </w:drawing>
      </w:r>
    </w:p>
    <w:p>
      <w:pPr>
        <w:keepNext w:val="0"/>
        <w:spacing w:before="0" w:after="140" w:line="240" w:lineRule="auto"/>
        <w:jc w:val="center"/>
      </w:pPr>
      <w:r>
        <w:rPr>
          <w:rFonts w:ascii="Calibri" w:hAnsi="Calibri"/>
          <w:i/>
          <w:color w:val="5F6B7A"/>
          <w:sz w:val="17"/>
        </w:rPr>
        <w:t>Figure 2. Security and QA begin early and continue; they are not a final cleanup phase.</w:t>
      </w:r>
    </w:p>
    <w:tbl>
      <w:tblPr>
        <w:tblStyle w:val="TableGrid"/>
        <w:tblW w:type="dxa" w:w="9360"/>
        <w:jc w:val="left"/>
        <w:tblLayout w:type="fixed"/>
        <w:tblLook w:firstColumn="1" w:firstRow="1" w:lastColumn="0" w:lastRow="0" w:noHBand="0" w:noVBand="1" w:val="04A0"/>
        <w:tblInd w:w="120" w:type="dxa"/>
        <w:tblBorders>
          <w:top w:val="single" w:sz="4" w:color="C7CDD6"/>
          <w:left w:val="single" w:sz="4" w:color="C7CDD6"/>
          <w:bottom w:val="single" w:sz="4" w:color="C7CDD6"/>
          <w:right w:val="single" w:sz="4" w:color="C7CDD6"/>
          <w:insideH w:val="single" w:sz="4" w:color="C7CDD6"/>
          <w:insideV w:val="single" w:sz="4" w:color="C7CDD6"/>
        </w:tblBorders>
      </w:tblPr>
      <w:tblGrid>
        <w:gridCol w:w="1900"/>
        <w:gridCol w:w="4400"/>
        <w:gridCol w:w="3060"/>
      </w:tblGrid>
      <w:tr>
        <w:trPr>
          <w:trHeight w:hRule="atLeast"/>
          <w:tblHeader w:val="true"/>
        </w:trPr>
        <w:tc>
          <w:tcPr>
            <w:tcW w:type="dxa" w:w="19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Increment</w:t>
            </w:r>
          </w:p>
        </w:tc>
        <w:tc>
          <w:tcPr>
            <w:tcW w:type="dxa" w:w="44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Runnable outcome</w:t>
            </w:r>
          </w:p>
        </w:tc>
        <w:tc>
          <w:tcPr>
            <w:tcW w:type="dxa" w:w="306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Exit condition</w:t>
            </w:r>
          </w:p>
        </w:tc>
      </w:tr>
      <w:tr>
        <w:trPr>
          <w:trHeight w:hRule="atLeast"/>
        </w:trPr>
        <w:tc>
          <w:tcPr>
            <w:tcW w:type="dxa" w:w="1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I0 — controlled skeleton</w:t>
            </w:r>
          </w:p>
        </w:tc>
        <w:tc>
          <w:tcPr>
            <w:tcW w:type="dxa" w:w="44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Monorepo builds; Compose/staging has locked network; contracts generate typed clients.</w:t>
            </w:r>
          </w:p>
        </w:tc>
        <w:tc>
          <w:tcPr>
            <w:tcW w:type="dxa" w:w="30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FND-01…06 green; no secret or carrier path.</w:t>
            </w:r>
          </w:p>
        </w:tc>
      </w:tr>
      <w:tr>
        <w:trPr>
          <w:trHeight w:hRule="atLeast"/>
        </w:trPr>
        <w:tc>
          <w:tcPr>
            <w:tcW w:type="dxa" w:w="1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I1 — thin simulator call</w:t>
            </w:r>
          </w:p>
        </w:tc>
        <w:tc>
          <w:tcPr>
            <w:tcW w:type="dxa" w:w="44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One seeded member enrolls, receives grant, places simulated answered call, sees debit/history.</w:t>
            </w:r>
          </w:p>
        </w:tc>
        <w:tc>
          <w:tcPr>
            <w:tcW w:type="dxa" w:w="30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Single correlation trace; authoritative answer; one lease; no negative time.</w:t>
            </w:r>
          </w:p>
        </w:tc>
      </w:tr>
      <w:tr>
        <w:trPr>
          <w:trHeight w:hRule="atLeast"/>
        </w:trPr>
        <w:tc>
          <w:tcPr>
            <w:tcW w:type="dxa" w:w="1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I2 — multi-member product</w:t>
            </w:r>
          </w:p>
        </w:tc>
        <w:tc>
          <w:tcPr>
            <w:tcW w:type="dxa" w:w="44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12 configurable members, requests/fairness, queue, contacts, admin member/grant operations.</w:t>
            </w:r>
          </w:p>
        </w:tc>
        <w:tc>
          <w:tcPr>
            <w:tcW w:type="dxa" w:w="30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Race, permission, allocation, queue and offline cases pass.</w:t>
            </w:r>
          </w:p>
        </w:tc>
      </w:tr>
      <w:tr>
        <w:trPr>
          <w:trHeight w:hRule="atLeast"/>
        </w:trPr>
        <w:tc>
          <w:tcPr>
            <w:tcW w:type="dxa" w:w="1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I3 — full call semantics</w:t>
            </w:r>
          </w:p>
        </w:tc>
        <w:tc>
          <w:tcPr>
            <w:tcW w:type="dxa" w:w="44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Caps, 10-second reconnect, DTMF, late events, finalizing/reconciliation, retention.</w:t>
            </w:r>
          </w:p>
        </w:tc>
        <w:tc>
          <w:tcPr>
            <w:tcW w:type="dxa" w:w="30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State/property/fault suites show no orphan/duplicate/underflow.</w:t>
            </w:r>
          </w:p>
        </w:tc>
      </w:tr>
      <w:tr>
        <w:trPr>
          <w:trHeight w:hRule="atLeast"/>
        </w:trPr>
        <w:tc>
          <w:tcPr>
            <w:tcW w:type="dxa" w:w="1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I4 — locked real-adapter parity</w:t>
            </w:r>
          </w:p>
        </w:tc>
        <w:tc>
          <w:tcPr>
            <w:tcW w:type="dxa" w:w="44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Real driver and home edge run fake/vendor scenarios with activation/kill enforcement.</w:t>
            </w:r>
          </w:p>
        </w:tc>
        <w:tc>
          <w:tcPr>
            <w:tcW w:type="dxa" w:w="30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Shared conformance and no-carrier-command proof.</w:t>
            </w:r>
          </w:p>
        </w:tc>
      </w:tr>
      <w:tr>
        <w:trPr>
          <w:trHeight w:hRule="atLeast"/>
        </w:trPr>
        <w:tc>
          <w:tcPr>
            <w:tcW w:type="dxa" w:w="1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I5 — hardened clients/operations</w:t>
            </w:r>
          </w:p>
        </w:tc>
        <w:tc>
          <w:tcPr>
            <w:tcW w:type="dxa" w:w="44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Admin config/audit/incidents; Android a11y/localization/security; monitoring/runbooks.</w:t>
            </w:r>
          </w:p>
        </w:tc>
        <w:tc>
          <w:tcPr>
            <w:tcW w:type="dxa" w:w="30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Security/privacy/device/backup/restore evidence.</w:t>
            </w:r>
          </w:p>
        </w:tc>
      </w:tr>
      <w:tr>
        <w:trPr>
          <w:trHeight w:hRule="atLeast"/>
        </w:trPr>
        <w:tc>
          <w:tcPr>
            <w:tcW w:type="dxa" w:w="1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I6 — B6 demonstration</w:t>
            </w:r>
          </w:p>
        </w:tc>
        <w:tc>
          <w:tcPr>
            <w:tcW w:type="dxa" w:w="44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Production-shaped locked deployment and scripted 12-member acceptance.</w:t>
            </w:r>
          </w:p>
        </w:tc>
        <w:tc>
          <w:tcPr>
            <w:tcW w:type="dxa" w:w="30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Alpha signs evidence; all veto conditions clear.</w:t>
            </w:r>
          </w:p>
        </w:tc>
      </w:tr>
    </w:tbl>
    <w:p>
      <w:pPr>
        <w:pStyle w:val="Heading2"/>
      </w:pPr>
      <w:r>
        <w:t>5.1 Critical path</w:t>
      </w:r>
    </w:p>
    <w:p>
      <w:r>
        <w:rPr>
          <w:rFonts w:ascii="Calibri" w:hAnsi="Calibri"/>
          <w:i w:val="0"/>
          <w:color w:val="000000"/>
        </w:rPr>
        <w:t>FND-01 → FND-03 → BE-01/BE-06/BE-07 → TEL-02, then TEL-03 and TEL-04/TEL-05 in parallel → AND-04/AND-05 → TEL-06/TEL-07/TEL-08 → QAO-02/QAO-03 → QAO-05. Adding agents outside this path improves breadth; adding agents to the same serialized contract does not.</w:t>
      </w:r>
    </w:p>
    <w:p>
      <w:pPr>
        <w:pStyle w:val="Heading2"/>
      </w:pPr>
      <w:r>
        <w:t>5.2 Earliest useful demonstrations</w:t>
      </w:r>
    </w:p>
    <w:p>
      <w:pPr>
        <w:numPr>
          <w:ilvl w:val="0"/>
          <w:numId w:val="41"/>
        </w:numPr>
      </w:pPr>
      <w:r>
        <w:rPr>
          <w:rFonts w:ascii="Calibri" w:hAnsi="Calibri"/>
        </w:rPr>
        <w:t>Contract demo: generated Android/admin clients consume one authoritative error/state catalogue.</w:t>
      </w:r>
    </w:p>
    <w:p>
      <w:pPr>
        <w:numPr>
          <w:ilvl w:val="0"/>
          <w:numId w:val="41"/>
        </w:numPr>
      </w:pPr>
      <w:r>
        <w:rPr>
          <w:rFonts w:ascii="Calibri" w:hAnsi="Calibri"/>
        </w:rPr>
        <w:t>Safety demo: every locked layer independently rejects a real originate envelope.</w:t>
      </w:r>
    </w:p>
    <w:p>
      <w:pPr>
        <w:numPr>
          <w:ilvl w:val="0"/>
          <w:numId w:val="41"/>
        </w:numPr>
      </w:pPr>
      <w:r>
        <w:rPr>
          <w:rFonts w:ascii="Calibri" w:hAnsi="Calibri"/>
        </w:rPr>
        <w:t>Simulator demo: controlled busy/no-answer/answer/reconnect/cap/finalization scenarios with synchronized UI and ledger.</w:t>
      </w:r>
    </w:p>
    <w:p>
      <w:pPr>
        <w:numPr>
          <w:ilvl w:val="0"/>
          <w:numId w:val="41"/>
        </w:numPr>
      </w:pPr>
      <w:r>
        <w:rPr>
          <w:rFonts w:ascii="Calibri" w:hAnsi="Calibri"/>
        </w:rPr>
        <w:t>Privacy demo: masked admin list, step-up reveal, audit fact, P4M purge, and no recording endpoint.</w:t>
      </w:r>
    </w:p>
    <w:p>
      <w:pPr>
        <w:numPr>
          <w:ilvl w:val="0"/>
          <w:numId w:val="41"/>
        </w:numPr>
      </w:pPr>
      <w:r>
        <w:rPr>
          <w:rFonts w:ascii="Calibri" w:hAnsi="Calibri"/>
        </w:rPr>
        <w:t>Operations demo: line uncertainty enters quarantine; restart/reconciliation prevents reuse until proven idle.</w:t>
      </w:r>
    </w:p>
    <w:p>
      <w:pPr>
        <w:pStyle w:val="Heading1"/>
      </w:pPr>
      <w:r>
        <w:t>6. Agent operating model</w:t>
      </w:r>
    </w:p>
    <w:tbl>
      <w:tblPr>
        <w:tblStyle w:val="TableGrid"/>
        <w:tblW w:type="dxa" w:w="9360"/>
        <w:jc w:val="left"/>
        <w:tblLayout w:type="fixed"/>
        <w:tblLook w:firstColumn="1" w:firstRow="1" w:lastColumn="0" w:lastRow="0" w:noHBand="0" w:noVBand="1" w:val="04A0"/>
        <w:tblInd w:w="120" w:type="dxa"/>
        <w:tblBorders>
          <w:top w:val="single" w:sz="4" w:color="C7CDD6"/>
          <w:left w:val="single" w:sz="4" w:color="C7CDD6"/>
          <w:bottom w:val="single" w:sz="4" w:color="C7CDD6"/>
          <w:right w:val="single" w:sz="4" w:color="C7CDD6"/>
          <w:insideH w:val="single" w:sz="4" w:color="C7CDD6"/>
          <w:insideV w:val="single" w:sz="4" w:color="C7CDD6"/>
        </w:tblBorders>
      </w:tblPr>
      <w:tblGrid>
        <w:gridCol w:w="1900"/>
        <w:gridCol w:w="2300"/>
        <w:gridCol w:w="3000"/>
        <w:gridCol w:w="2160"/>
      </w:tblGrid>
      <w:tr>
        <w:trPr>
          <w:trHeight w:hRule="atLeast"/>
          <w:tblHeader w:val="true"/>
        </w:trPr>
        <w:tc>
          <w:tcPr>
            <w:tcW w:type="dxa" w:w="19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5"/>
              </w:rPr>
              <w:t>Role</w:t>
            </w:r>
          </w:p>
        </w:tc>
        <w:tc>
          <w:tcPr>
            <w:tcW w:type="dxa" w:w="23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5"/>
              </w:rPr>
              <w:t>Model policy</w:t>
            </w:r>
          </w:p>
        </w:tc>
        <w:tc>
          <w:tcPr>
            <w:tcW w:type="dxa" w:w="30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5"/>
              </w:rPr>
              <w:t>Owns</w:t>
            </w:r>
          </w:p>
        </w:tc>
        <w:tc>
          <w:tcPr>
            <w:tcW w:type="dxa" w:w="216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5"/>
              </w:rPr>
              <w:t>May not do</w:t>
            </w:r>
          </w:p>
        </w:tc>
      </w:tr>
      <w:tr>
        <w:trPr>
          <w:trHeight w:hRule="atLeast"/>
        </w:trPr>
        <w:tc>
          <w:tcPr>
            <w:tcW w:type="dxa" w:w="19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Primary integration lead</w:t>
            </w:r>
          </w:p>
        </w:tc>
        <w:tc>
          <w:tcPr>
            <w:tcW w:type="dxa" w:w="23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Codex root</w:t>
            </w:r>
          </w:p>
        </w:tc>
        <w:tc>
          <w:tcPr>
            <w:tcW w:type="dxa" w:w="30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Plan, task briefs, contract change queue, integration, user decisions.</w:t>
            </w:r>
          </w:p>
        </w:tc>
        <w:tc>
          <w:tcPr>
            <w:tcW w:type="dxa" w:w="216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Silently broaden scope or waive evidence.</w:t>
            </w:r>
          </w:p>
        </w:tc>
      </w:tr>
      <w:tr>
        <w:trPr>
          <w:trHeight w:hRule="atLeast"/>
        </w:trPr>
        <w:tc>
          <w:tcPr>
            <w:tcW w:type="dxa" w:w="19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Alpha overseer</w:t>
            </w:r>
          </w:p>
        </w:tc>
        <w:tc>
          <w:tcPr>
            <w:tcW w:type="dxa" w:w="23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GPT-5.6 Sol</w:t>
            </w:r>
          </w:p>
        </w:tc>
        <w:tc>
          <w:tcPr>
            <w:tcW w:type="dxa" w:w="30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Semantic/security review, cross-workstream consistency, veto and gate sign-off.</w:t>
            </w:r>
          </w:p>
        </w:tc>
        <w:tc>
          <w:tcPr>
            <w:tcW w:type="dxa" w:w="216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Act as a volume coding worker or approve own implementation.</w:t>
            </w:r>
          </w:p>
        </w:tc>
      </w:tr>
      <w:tr>
        <w:trPr>
          <w:trHeight w:hRule="atLeast"/>
        </w:trPr>
        <w:tc>
          <w:tcPr>
            <w:tcW w:type="dxa" w:w="19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Critical implementation agent</w:t>
            </w:r>
          </w:p>
        </w:tc>
        <w:tc>
          <w:tcPr>
            <w:tcW w:type="dxa" w:w="23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Separate GPT-5.6 Sol</w:t>
            </w:r>
          </w:p>
        </w:tc>
        <w:tc>
          <w:tcPr>
            <w:tcW w:type="dxa" w:w="30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State, ledgers, leases, auth/recovery, encryption, migrations, PBX concurrency, activation/kill.</w:t>
            </w:r>
          </w:p>
        </w:tc>
        <w:tc>
          <w:tcPr>
            <w:tcW w:type="dxa" w:w="216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Independently approve its own critical work.</w:t>
            </w:r>
          </w:p>
        </w:tc>
      </w:tr>
      <w:tr>
        <w:trPr>
          <w:trHeight w:hRule="atLeast"/>
        </w:trPr>
        <w:tc>
          <w:tcPr>
            <w:tcW w:type="dxa" w:w="19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Backend/data agent</w:t>
            </w:r>
          </w:p>
        </w:tc>
        <w:tc>
          <w:tcPr>
            <w:tcW w:type="dxa" w:w="23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GPT-5.6 Terra for contract-bounded handlers/jobs</w:t>
            </w:r>
          </w:p>
        </w:tc>
        <w:tc>
          <w:tcPr>
            <w:tcW w:type="dxa" w:w="30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Non-critical BE packages within accepted contracts.</w:t>
            </w:r>
          </w:p>
        </w:tc>
        <w:tc>
          <w:tcPr>
            <w:tcW w:type="dxa" w:w="216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Change adapter/call/identity contracts unilaterally.</w:t>
            </w:r>
          </w:p>
        </w:tc>
      </w:tr>
      <w:tr>
        <w:trPr>
          <w:trHeight w:hRule="atLeast"/>
        </w:trPr>
        <w:tc>
          <w:tcPr>
            <w:tcW w:type="dxa" w:w="19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Media/adapter agent</w:t>
            </w:r>
          </w:p>
        </w:tc>
        <w:tc>
          <w:tcPr>
            <w:tcW w:type="dxa" w:w="23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GPT-5.6 Terra for fixtures/integration; Sol for critical control</w:t>
            </w:r>
          </w:p>
        </w:tc>
        <w:tc>
          <w:tcPr>
            <w:tcW w:type="dxa" w:w="30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TEL packages and telephony fixtures.</w:t>
            </w:r>
          </w:p>
        </w:tc>
        <w:tc>
          <w:tcPr>
            <w:tcW w:type="dxa" w:w="216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Use live credentials/routes or weaken lock for testing.</w:t>
            </w:r>
          </w:p>
        </w:tc>
      </w:tr>
      <w:tr>
        <w:trPr>
          <w:trHeight w:hRule="atLeast"/>
        </w:trPr>
        <w:tc>
          <w:tcPr>
            <w:tcW w:type="dxa" w:w="19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Android agent</w:t>
            </w:r>
          </w:p>
        </w:tc>
        <w:tc>
          <w:tcPr>
            <w:tcW w:type="dxa" w:w="23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GPT-5.6 Terra</w:t>
            </w:r>
          </w:p>
        </w:tc>
        <w:tc>
          <w:tcPr>
            <w:tcW w:type="dxa" w:w="30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AND packages, device tests, UX semantics.</w:t>
            </w:r>
          </w:p>
        </w:tc>
        <w:tc>
          <w:tcPr>
            <w:tcW w:type="dxa" w:w="216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Treat local state/timer/device ID as authority.</w:t>
            </w:r>
          </w:p>
        </w:tc>
      </w:tr>
      <w:tr>
        <w:trPr>
          <w:trHeight w:hRule="atLeast"/>
        </w:trPr>
        <w:tc>
          <w:tcPr>
            <w:tcW w:type="dxa" w:w="19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Admin agent</w:t>
            </w:r>
          </w:p>
        </w:tc>
        <w:tc>
          <w:tcPr>
            <w:tcW w:type="dxa" w:w="23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GPT-5.6 Terra</w:t>
            </w:r>
          </w:p>
        </w:tc>
        <w:tc>
          <w:tcPr>
            <w:tcW w:type="dxa" w:w="30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WEB packages and browser tests.</w:t>
            </w:r>
          </w:p>
        </w:tc>
        <w:tc>
          <w:tcPr>
            <w:tcW w:type="dxa" w:w="216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Expose activation toggle or unrestricted sensitive data.</w:t>
            </w:r>
          </w:p>
        </w:tc>
      </w:tr>
      <w:tr>
        <w:trPr>
          <w:trHeight w:hRule="atLeast"/>
        </w:trPr>
        <w:tc>
          <w:tcPr>
            <w:tcW w:type="dxa" w:w="19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QA/security/ops agent</w:t>
            </w:r>
          </w:p>
        </w:tc>
        <w:tc>
          <w:tcPr>
            <w:tcW w:type="dxa" w:w="23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Terra for harnesses; Sol for threat/veto review</w:t>
            </w:r>
          </w:p>
        </w:tc>
        <w:tc>
          <w:tcPr>
            <w:tcW w:type="dxa" w:w="30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QAO packages, evidence automation, runbooks.</w:t>
            </w:r>
          </w:p>
        </w:tc>
        <w:tc>
          <w:tcPr>
            <w:tcW w:type="dxa" w:w="216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Mark an owner team's untested assertion as evidence.</w:t>
            </w:r>
          </w:p>
        </w:tc>
      </w:tr>
    </w:tbl>
    <w:p>
      <w:pPr>
        <w:pStyle w:val="Heading2"/>
      </w:pPr>
      <w:r>
        <w:t>6.1 Concurrency policy</w:t>
      </w:r>
    </w:p>
    <w:p>
      <w:pPr>
        <w:numPr>
          <w:ilvl w:val="0"/>
          <w:numId w:val="41"/>
        </w:numPr>
      </w:pPr>
      <w:r>
        <w:rPr>
          <w:rFonts w:ascii="Calibri" w:hAnsi="Calibri"/>
        </w:rPr>
        <w:t>Maximum active work is limited to one integration task plus three bounded agent tasks; unused slots are preferable to conflicting edits, and alpha remains available at critical checkpoints.</w:t>
      </w:r>
    </w:p>
    <w:p>
      <w:pPr>
        <w:numPr>
          <w:ilvl w:val="0"/>
          <w:numId w:val="41"/>
        </w:numPr>
      </w:pPr>
      <w:r>
        <w:rPr>
          <w:rFonts w:ascii="Calibri" w:hAnsi="Calibri"/>
        </w:rPr>
        <w:t>A wave starts only when each package has immutable preconditions and disjoint path ownership.</w:t>
      </w:r>
    </w:p>
    <w:p>
      <w:pPr>
        <w:numPr>
          <w:ilvl w:val="0"/>
          <w:numId w:val="41"/>
        </w:numPr>
      </w:pPr>
      <w:r>
        <w:rPr>
          <w:rFonts w:ascii="Calibri" w:hAnsi="Calibri"/>
        </w:rPr>
        <w:t>Contracts, migrations touching shared tables, call reducer, identity lifecycle, and activation controls have a single writer at a time.</w:t>
      </w:r>
    </w:p>
    <w:p>
      <w:pPr>
        <w:numPr>
          <w:ilvl w:val="0"/>
          <w:numId w:val="41"/>
        </w:numPr>
      </w:pPr>
      <w:r>
        <w:rPr>
          <w:rFonts w:ascii="Calibri" w:hAnsi="Calibri"/>
        </w:rPr>
        <w:t>Review agents inspect commits/evidence and do not simultaneously author the same package.</w:t>
      </w:r>
    </w:p>
    <w:p>
      <w:pPr>
        <w:numPr>
          <w:ilvl w:val="0"/>
          <w:numId w:val="41"/>
        </w:numPr>
      </w:pPr>
      <w:r>
        <w:rPr>
          <w:rFonts w:ascii="Calibri" w:hAnsi="Calibri"/>
        </w:rPr>
        <w:t>When an agent finds missing authority or a contract defect, it stops and files a change record; it does not improvise a local exception.</w:t>
      </w:r>
    </w:p>
    <w:p>
      <w:pPr>
        <w:numPr>
          <w:ilvl w:val="0"/>
          <w:numId w:val="41"/>
        </w:numPr>
      </w:pPr>
      <w:r>
        <w:rPr>
          <w:rFonts w:ascii="Calibri" w:hAnsi="Calibri"/>
        </w:rPr>
        <w:t>TEL-01, TEL-03, TEL-07, TEL-08, BE-06, BE-07, and critical AND-05 media/control work use a separate Sol implementation agent or require direct alpha review; alpha never signs work it materially authored.</w:t>
      </w:r>
    </w:p>
    <w:p>
      <w:pPr>
        <w:pStyle w:val="Heading2"/>
      </w:pPr>
      <w:r>
        <w:t>6.2 Standard agent brief</w:t>
      </w:r>
    </w:p>
    <w:tbl>
      <w:tblPr>
        <w:tblStyle w:val="TableGrid"/>
        <w:tblW w:type="dxa" w:w="9360"/>
        <w:jc w:val="left"/>
        <w:tblLayout w:type="fixed"/>
        <w:tblLook w:firstColumn="1" w:firstRow="1" w:lastColumn="0" w:lastRow="0" w:noHBand="0" w:noVBand="1" w:val="04A0"/>
        <w:tblInd w:w="120" w:type="dxa"/>
        <w:tblBorders>
          <w:top w:val="single" w:sz="4" w:color="C7CDD6"/>
          <w:left w:val="single" w:sz="4" w:color="C7CDD6"/>
          <w:bottom w:val="single" w:sz="4" w:color="C7CDD6"/>
          <w:right w:val="single" w:sz="4" w:color="C7CDD6"/>
          <w:insideH w:val="single" w:sz="4" w:color="C7CDD6"/>
          <w:insideV w:val="single" w:sz="4" w:color="C7CDD6"/>
        </w:tblBorders>
      </w:tblPr>
      <w:tblGrid>
        <w:gridCol w:w="2200"/>
        <w:gridCol w:w="7160"/>
      </w:tblGrid>
      <w:tr>
        <w:trPr>
          <w:trHeight w:hRule="atLeast"/>
          <w:tblHeader w:val="true"/>
        </w:trPr>
        <w:tc>
          <w:tcPr>
            <w:tcW w:type="dxa" w:w="22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Brief field</w:t>
            </w:r>
          </w:p>
        </w:tc>
        <w:tc>
          <w:tcPr>
            <w:tcW w:type="dxa" w:w="716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Required content</w:t>
            </w:r>
          </w:p>
        </w:tc>
      </w:tr>
      <w:tr>
        <w:trPr>
          <w:trHeight w:hRule="atLeast"/>
        </w:trPr>
        <w:tc>
          <w:tcPr>
            <w:tcW w:type="dxa" w:w="2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Objective</w:t>
            </w:r>
          </w:p>
        </w:tc>
        <w:tc>
          <w:tcPr>
            <w:tcW w:type="dxa" w:w="71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One externally verifiable outcome, not a broad role.</w:t>
            </w:r>
          </w:p>
        </w:tc>
      </w:tr>
      <w:tr>
        <w:trPr>
          <w:trHeight w:hRule="atLeast"/>
        </w:trPr>
        <w:tc>
          <w:tcPr>
            <w:tcW w:type="dxa" w:w="2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Inputs</w:t>
            </w:r>
          </w:p>
        </w:tc>
        <w:tc>
          <w:tcPr>
            <w:tcW w:type="dxa" w:w="71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Exact PRD/design/ADR/contract versions and existing fixtures.</w:t>
            </w:r>
          </w:p>
        </w:tc>
      </w:tr>
      <w:tr>
        <w:trPr>
          <w:trHeight w:hRule="atLeast"/>
        </w:trPr>
        <w:tc>
          <w:tcPr>
            <w:tcW w:type="dxa" w:w="2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Allowed paths</w:t>
            </w:r>
          </w:p>
        </w:tc>
        <w:tc>
          <w:tcPr>
            <w:tcW w:type="dxa" w:w="71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Explicit directories/files; shared paths read-only unless granted.</w:t>
            </w:r>
          </w:p>
        </w:tc>
      </w:tr>
      <w:tr>
        <w:trPr>
          <w:trHeight w:hRule="atLeast"/>
        </w:trPr>
        <w:tc>
          <w:tcPr>
            <w:tcW w:type="dxa" w:w="2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Must preserve</w:t>
            </w:r>
          </w:p>
        </w:tc>
        <w:tc>
          <w:tcPr>
            <w:tcW w:type="dxa" w:w="71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Named invariants, privacy classes, activation locks, compatibility.</w:t>
            </w:r>
          </w:p>
        </w:tc>
      </w:tr>
      <w:tr>
        <w:trPr>
          <w:trHeight w:hRule="atLeast"/>
        </w:trPr>
        <w:tc>
          <w:tcPr>
            <w:tcW w:type="dxa" w:w="2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Deliverables</w:t>
            </w:r>
          </w:p>
        </w:tc>
        <w:tc>
          <w:tcPr>
            <w:tcW w:type="dxa" w:w="71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Code, migrations, generated artifacts, tests, telemetry, docs/runbook.</w:t>
            </w:r>
          </w:p>
        </w:tc>
      </w:tr>
      <w:tr>
        <w:trPr>
          <w:trHeight w:hRule="atLeast"/>
        </w:trPr>
        <w:tc>
          <w:tcPr>
            <w:tcW w:type="dxa" w:w="2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Acceptance</w:t>
            </w:r>
          </w:p>
        </w:tc>
        <w:tc>
          <w:tcPr>
            <w:tcW w:type="dxa" w:w="71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Exact commands/scenarios and evidence files.</w:t>
            </w:r>
          </w:p>
        </w:tc>
      </w:tr>
      <w:tr>
        <w:trPr>
          <w:trHeight w:hRule="atLeast"/>
        </w:trPr>
        <w:tc>
          <w:tcPr>
            <w:tcW w:type="dxa" w:w="2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Failure protocol</w:t>
            </w:r>
          </w:p>
        </w:tc>
        <w:tc>
          <w:tcPr>
            <w:tcW w:type="dxa" w:w="71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Stop conditions, change-record path, no guess/waiver behavior.</w:t>
            </w:r>
          </w:p>
        </w:tc>
      </w:tr>
      <w:tr>
        <w:trPr>
          <w:trHeight w:hRule="atLeast"/>
        </w:trPr>
        <w:tc>
          <w:tcPr>
            <w:tcW w:type="dxa" w:w="2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Handoff</w:t>
            </w:r>
          </w:p>
        </w:tc>
        <w:tc>
          <w:tcPr>
            <w:tcW w:type="dxa" w:w="71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Commit, changed-contract summary, residual risks, reproducible test output.</w:t>
            </w:r>
          </w:p>
        </w:tc>
      </w:tr>
    </w:tbl>
    <w:p>
      <w:pPr>
        <w:pStyle w:val="Heading2"/>
      </w:pPr>
      <w:r>
        <w:t>6.3 Review cadence</w:t>
      </w:r>
    </w:p>
    <w:p>
      <w:pPr>
        <w:numPr>
          <w:ilvl w:val="0"/>
          <w:numId w:val="45"/>
        </w:numPr>
      </w:pPr>
      <w:r>
        <w:rPr>
          <w:rFonts w:ascii="Calibri" w:hAnsi="Calibri"/>
        </w:rPr>
        <w:t>Agent self-check: focused tests, static checks, diff review, contract/evidence inventory.</w:t>
      </w:r>
    </w:p>
    <w:p>
      <w:pPr>
        <w:numPr>
          <w:ilvl w:val="0"/>
          <w:numId w:val="45"/>
        </w:numPr>
      </w:pPr>
      <w:r>
        <w:rPr>
          <w:rFonts w:ascii="Calibri" w:hAnsi="Calibri"/>
        </w:rPr>
        <w:t>Peer/domain check: consumer compatibility, migration, observability, rollback, failure semantics.</w:t>
      </w:r>
    </w:p>
    <w:p>
      <w:pPr>
        <w:numPr>
          <w:ilvl w:val="0"/>
          <w:numId w:val="45"/>
        </w:numPr>
      </w:pPr>
      <w:r>
        <w:rPr>
          <w:rFonts w:ascii="Calibri" w:hAnsi="Calibri"/>
        </w:rPr>
        <w:t>QA/security check: negative cases, privacy scan, idempotency/race/fault evidence.</w:t>
      </w:r>
    </w:p>
    <w:p>
      <w:pPr>
        <w:numPr>
          <w:ilvl w:val="0"/>
          <w:numId w:val="45"/>
        </w:numPr>
      </w:pPr>
      <w:r>
        <w:rPr>
          <w:rFonts w:ascii="Calibri" w:hAnsi="Calibri"/>
        </w:rPr>
        <w:t>Alpha check for semantic/security-critical changes: invariant trace, adversarial scenarios, veto decision.</w:t>
      </w:r>
    </w:p>
    <w:p>
      <w:pPr>
        <w:numPr>
          <w:ilvl w:val="0"/>
          <w:numId w:val="45"/>
        </w:numPr>
      </w:pPr>
      <w:r>
        <w:rPr>
          <w:rFonts w:ascii="Calibri" w:hAnsi="Calibri"/>
        </w:rPr>
        <w:t>Integration lead merges, runs required aggregate suites, and updates the evidence ledger.</w:t>
      </w:r>
    </w:p>
    <w:p>
      <w:pPr>
        <w:pStyle w:val="Heading2"/>
      </w:pPr>
      <w:r>
        <w:t>6.4 Branch and evidence discipline</w:t>
      </w:r>
    </w:p>
    <w:p>
      <w:pPr>
        <w:numPr>
          <w:ilvl w:val="0"/>
          <w:numId w:val="41"/>
        </w:numPr>
      </w:pPr>
      <w:r>
        <w:rPr>
          <w:rFonts w:ascii="Calibri" w:hAnsi="Calibri"/>
        </w:rPr>
        <w:t>Protected main; temporary integration/B1…B6 branches; isolated agent/&lt;work-package-id&gt; branches or worktrees.</w:t>
      </w:r>
    </w:p>
    <w:p>
      <w:pPr>
        <w:numPr>
          <w:ilvl w:val="0"/>
          <w:numId w:val="41"/>
        </w:numPr>
      </w:pPr>
      <w:r>
        <w:rPr>
          <w:rFonts w:ascii="Calibri" w:hAnsi="Calibri"/>
        </w:rPr>
        <w:t>Critical changes require two independent approvals: alpha plus the consumer or verification lane.</w:t>
      </w:r>
    </w:p>
    <w:p>
      <w:pPr>
        <w:numPr>
          <w:ilvl w:val="0"/>
          <w:numId w:val="41"/>
        </w:numPr>
      </w:pPr>
      <w:r>
        <w:rPr>
          <w:rFonts w:ascii="Calibri" w:hAnsi="Calibri"/>
        </w:rPr>
        <w:t>No agent merges its own safety-critical work; root performs the integration merge after approvals.</w:t>
      </w:r>
    </w:p>
    <w:p>
      <w:pPr>
        <w:numPr>
          <w:ilvl w:val="0"/>
          <w:numId w:val="41"/>
        </w:numPr>
      </w:pPr>
      <w:r>
        <w:rPr>
          <w:rFonts w:ascii="Calibri" w:hAnsi="Calibri"/>
        </w:rPr>
        <w:t>Gate evidence lives at evidence/&lt;gate&gt;/&lt;commit&gt;/ with baseline hashes, tool versions, seeds, raw reports, artifact hashes, reviewers, exceptions, and residual risks.</w:t>
      </w:r>
    </w:p>
    <w:p>
      <w:pPr>
        <w:numPr>
          <w:ilvl w:val="0"/>
          <w:numId w:val="41"/>
        </w:numPr>
      </w:pPr>
      <w:r>
        <w:rPr>
          <w:rFonts w:ascii="Calibri" w:hAnsi="Calibri"/>
        </w:rPr>
        <w:t>Feature-development lock remains active until B2 semantic contracts and golden vectors are approved.</w:t>
      </w:r>
    </w:p>
    <w:p>
      <w:pPr>
        <w:pStyle w:val="Heading1"/>
      </w:pPr>
      <w:r>
        <w:t>7. Verification strategy</w:t>
      </w:r>
    </w:p>
    <w:p>
      <w:pPr>
        <w:pStyle w:val="Heading2"/>
      </w:pPr>
      <w:r>
        <w:t>7.1 Test layers</w:t>
      </w:r>
    </w:p>
    <w:tbl>
      <w:tblPr>
        <w:tblStyle w:val="TableGrid"/>
        <w:tblW w:type="dxa" w:w="9360"/>
        <w:jc w:val="left"/>
        <w:tblLayout w:type="fixed"/>
        <w:tblLook w:firstColumn="1" w:firstRow="1" w:lastColumn="0" w:lastRow="0" w:noHBand="0" w:noVBand="1" w:val="04A0"/>
        <w:tblInd w:w="120" w:type="dxa"/>
        <w:tblBorders>
          <w:top w:val="single" w:sz="4" w:color="C7CDD6"/>
          <w:left w:val="single" w:sz="4" w:color="C7CDD6"/>
          <w:bottom w:val="single" w:sz="4" w:color="C7CDD6"/>
          <w:right w:val="single" w:sz="4" w:color="C7CDD6"/>
          <w:insideH w:val="single" w:sz="4" w:color="C7CDD6"/>
          <w:insideV w:val="single" w:sz="4" w:color="C7CDD6"/>
        </w:tblBorders>
      </w:tblPr>
      <w:tblGrid>
        <w:gridCol w:w="1700"/>
        <w:gridCol w:w="2500"/>
        <w:gridCol w:w="4100"/>
        <w:gridCol w:w="1060"/>
      </w:tblGrid>
      <w:tr>
        <w:trPr>
          <w:trHeight w:hRule="atLeast"/>
          <w:tblHeader w:val="true"/>
        </w:trPr>
        <w:tc>
          <w:tcPr>
            <w:tcW w:type="dxa" w:w="17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5"/>
              </w:rPr>
              <w:t>Layer</w:t>
            </w:r>
          </w:p>
        </w:tc>
        <w:tc>
          <w:tcPr>
            <w:tcW w:type="dxa" w:w="25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5"/>
              </w:rPr>
              <w:t>Primary subjects</w:t>
            </w:r>
          </w:p>
        </w:tc>
        <w:tc>
          <w:tcPr>
            <w:tcW w:type="dxa" w:w="41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5"/>
              </w:rPr>
              <w:t>Required examples</w:t>
            </w:r>
          </w:p>
        </w:tc>
        <w:tc>
          <w:tcPr>
            <w:tcW w:type="dxa" w:w="106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5"/>
              </w:rPr>
              <w:t>Cadence</w:t>
            </w:r>
          </w:p>
        </w:tc>
      </w:tr>
      <w:tr>
        <w:trPr>
          <w:trHeight w:hRule="atLeast"/>
        </w:trPr>
        <w:tc>
          <w:tcPr>
            <w:tcW w:type="dxa" w:w="17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Pure unit/property</w:t>
            </w:r>
          </w:p>
        </w:tc>
        <w:tc>
          <w:tcPr>
            <w:tcW w:type="dxa" w:w="25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Parsers, reducers, fairness, ledgers, time, config.</w:t>
            </w:r>
          </w:p>
        </w:tc>
        <w:tc>
          <w:tcPr>
            <w:tcW w:type="dxa" w:w="41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Unicode +291, underflow, duplicate orderings, month-end, cap boundary.</w:t>
            </w:r>
          </w:p>
        </w:tc>
        <w:tc>
          <w:tcPr>
            <w:tcW w:type="dxa" w:w="106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Every change</w:t>
            </w:r>
          </w:p>
        </w:tc>
      </w:tr>
      <w:tr>
        <w:trPr>
          <w:trHeight w:hRule="atLeast"/>
        </w:trPr>
        <w:tc>
          <w:tcPr>
            <w:tcW w:type="dxa" w:w="17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Contract/conformance</w:t>
            </w:r>
          </w:p>
        </w:tc>
        <w:tc>
          <w:tcPr>
            <w:tcW w:type="dxa" w:w="25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OpenAPI/events/adapter/PBX normalization.</w:t>
            </w:r>
          </w:p>
        </w:tc>
        <w:tc>
          <w:tcPr>
            <w:tcW w:type="dxa" w:w="41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Golden fixtures, backward compatibility, simulator and real parity.</w:t>
            </w:r>
          </w:p>
        </w:tc>
        <w:tc>
          <w:tcPr>
            <w:tcW w:type="dxa" w:w="106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Every change</w:t>
            </w:r>
          </w:p>
        </w:tc>
      </w:tr>
      <w:tr>
        <w:trPr>
          <w:trHeight w:hRule="atLeast"/>
        </w:trPr>
        <w:tc>
          <w:tcPr>
            <w:tcW w:type="dxa" w:w="17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Database integration</w:t>
            </w:r>
          </w:p>
        </w:tc>
        <w:tc>
          <w:tcPr>
            <w:tcW w:type="dxa" w:w="25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Transactions, locks, epochs, outbox/inbox, purge.</w:t>
            </w:r>
          </w:p>
        </w:tc>
        <w:tc>
          <w:tcPr>
            <w:tcW w:type="dxa" w:w="41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Concurrent calls, crash-after-commit, stale event, restore then purge.</w:t>
            </w:r>
          </w:p>
        </w:tc>
        <w:tc>
          <w:tcPr>
            <w:tcW w:type="dxa" w:w="106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Every change</w:t>
            </w:r>
          </w:p>
        </w:tc>
      </w:tr>
      <w:tr>
        <w:trPr>
          <w:trHeight w:hRule="atLeast"/>
        </w:trPr>
        <w:tc>
          <w:tcPr>
            <w:tcW w:type="dxa" w:w="17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Media integration</w:t>
            </w:r>
          </w:p>
        </w:tc>
        <w:tc>
          <w:tcPr>
            <w:tcW w:type="dxa" w:w="25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Asterisk, TURN, WebRTC, app leg, cap/watchdog.</w:t>
            </w:r>
          </w:p>
        </w:tc>
        <w:tc>
          <w:tcPr>
            <w:tcW w:type="dxa" w:w="41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Early media, answer truth, DTMF redaction, reconnect, network loss.</w:t>
            </w:r>
          </w:p>
        </w:tc>
        <w:tc>
          <w:tcPr>
            <w:tcW w:type="dxa" w:w="106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Daily/affected change</w:t>
            </w:r>
          </w:p>
        </w:tc>
      </w:tr>
      <w:tr>
        <w:trPr>
          <w:trHeight w:hRule="atLeast"/>
        </w:trPr>
        <w:tc>
          <w:tcPr>
            <w:tcW w:type="dxa" w:w="17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Client UI</w:t>
            </w:r>
          </w:p>
        </w:tc>
        <w:tc>
          <w:tcPr>
            <w:tcW w:type="dxa" w:w="25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Compose/admin semantics, offline, roles, localization/a11y.</w:t>
            </w:r>
          </w:p>
        </w:tc>
        <w:tc>
          <w:tcPr>
            <w:tcW w:type="dxa" w:w="41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No false Connected, demo banner, reveal confirmation, RTL +291.</w:t>
            </w:r>
          </w:p>
        </w:tc>
        <w:tc>
          <w:tcPr>
            <w:tcW w:type="dxa" w:w="106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Every change + device nightly</w:t>
            </w:r>
          </w:p>
        </w:tc>
      </w:tr>
      <w:tr>
        <w:trPr>
          <w:trHeight w:hRule="atLeast"/>
        </w:trPr>
        <w:tc>
          <w:tcPr>
            <w:tcW w:type="dxa" w:w="17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End-to-end</w:t>
            </w:r>
          </w:p>
        </w:tc>
        <w:tc>
          <w:tcPr>
            <w:tcW w:type="dxa" w:w="25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Full seeded stack.</w:t>
            </w:r>
          </w:p>
        </w:tc>
        <w:tc>
          <w:tcPr>
            <w:tcW w:type="dxa" w:w="41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Enroll/grant/call/history, queue claim, finalization, config rollback.</w:t>
            </w:r>
          </w:p>
        </w:tc>
        <w:tc>
          <w:tcPr>
            <w:tcW w:type="dxa" w:w="106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Daily/release</w:t>
            </w:r>
          </w:p>
        </w:tc>
      </w:tr>
      <w:tr>
        <w:trPr>
          <w:trHeight w:hRule="atLeast"/>
        </w:trPr>
        <w:tc>
          <w:tcPr>
            <w:tcW w:type="dxa" w:w="17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Fault/chaos</w:t>
            </w:r>
          </w:p>
        </w:tc>
        <w:tc>
          <w:tcPr>
            <w:tcW w:type="dxa" w:w="25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DB/PBX/worker/tunnel/KMS/gateway/monitoring/deploy.</w:t>
            </w:r>
          </w:p>
        </w:tc>
        <w:tc>
          <w:tcPr>
            <w:tcW w:type="dxa" w:w="41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No duplicate/orphan/free-uncertain line; admission stops safely.</w:t>
            </w:r>
          </w:p>
        </w:tc>
        <w:tc>
          <w:tcPr>
            <w:tcW w:type="dxa" w:w="106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Nightly/release</w:t>
            </w:r>
          </w:p>
        </w:tc>
      </w:tr>
      <w:tr>
        <w:trPr>
          <w:trHeight w:hRule="atLeast"/>
        </w:trPr>
        <w:tc>
          <w:tcPr>
            <w:tcW w:type="dxa" w:w="17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Security/privacy</w:t>
            </w:r>
          </w:p>
        </w:tc>
        <w:tc>
          <w:tcPr>
            <w:tcW w:type="dxa" w:w="25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Identity, authz, toll fraud, logs, secrets, recording.</w:t>
            </w:r>
          </w:p>
        </w:tc>
        <w:tc>
          <w:tcPr>
            <w:tcW w:type="dxa" w:w="41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Replay/injection/stale generation/reveal/no-server-recording.</w:t>
            </w:r>
          </w:p>
        </w:tc>
        <w:tc>
          <w:tcPr>
            <w:tcW w:type="dxa" w:w="106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Every critical change/release</w:t>
            </w:r>
          </w:p>
        </w:tc>
      </w:tr>
    </w:tbl>
    <w:p>
      <w:pPr>
        <w:pStyle w:val="Heading2"/>
      </w:pPr>
      <w:r>
        <w:t>7.2 Semantic invariant suite</w:t>
      </w:r>
    </w:p>
    <w:p>
      <w:pPr>
        <w:numPr>
          <w:ilvl w:val="0"/>
          <w:numId w:val="41"/>
        </w:numPr>
      </w:pPr>
      <w:r>
        <w:rPr>
          <w:rFonts w:ascii="Calibri" w:hAnsi="Calibri"/>
        </w:rPr>
        <w:t>Available seconds is a non-negative integer; shortfall is a distinct type and cannot authorize a call.</w:t>
      </w:r>
    </w:p>
    <w:p>
      <w:pPr>
        <w:numPr>
          <w:ilvl w:val="0"/>
          <w:numId w:val="41"/>
        </w:numPr>
      </w:pPr>
      <w:r>
        <w:rPr>
          <w:rFonts w:ascii="Calibri" w:hAnsi="Calibri"/>
        </w:rPr>
        <w:t>At most one active or uncertain line owner exists initially; timeout never frees uncertain ownership.</w:t>
      </w:r>
    </w:p>
    <w:p>
      <w:pPr>
        <w:numPr>
          <w:ilvl w:val="0"/>
          <w:numId w:val="41"/>
        </w:numPr>
      </w:pPr>
      <w:r>
        <w:rPr>
          <w:rFonts w:ascii="Calibri" w:hAnsi="Calibri"/>
        </w:rPr>
        <w:t>Only authoritative remote answer starts connected seconds; early media/app connection never does.</w:t>
      </w:r>
    </w:p>
    <w:p>
      <w:pPr>
        <w:numPr>
          <w:ilvl w:val="0"/>
          <w:numId w:val="41"/>
        </w:numPr>
      </w:pPr>
      <w:r>
        <w:rPr>
          <w:rFonts w:ascii="Calibri" w:hAnsi="Calibri"/>
        </w:rPr>
        <w:t>Every transition is legal/monotonic or becomes a duplicate/stale/reconciliation result; terminal facts are immutable.</w:t>
      </w:r>
    </w:p>
    <w:p>
      <w:pPr>
        <w:numPr>
          <w:ilvl w:val="0"/>
          <w:numId w:val="41"/>
        </w:numPr>
      </w:pPr>
      <w:r>
        <w:rPr>
          <w:rFonts w:ascii="Calibri" w:hAnsi="Calibri"/>
        </w:rPr>
        <w:t>Admission reservation and ledger mutation are atomic; duplicate requests/events cannot duplicate debit, grant, call, or release.</w:t>
      </w:r>
    </w:p>
    <w:p>
      <w:pPr>
        <w:numPr>
          <w:ilvl w:val="0"/>
          <w:numId w:val="41"/>
        </w:numPr>
      </w:pPr>
      <w:r>
        <w:rPr>
          <w:rFonts w:ascii="Calibri" w:hAnsi="Calibri"/>
        </w:rPr>
        <w:t>Every carrier command has current activation generation, line/lease epoch, route policy, sequence, deadline, and idempotency key.</w:t>
      </w:r>
    </w:p>
    <w:p>
      <w:pPr>
        <w:numPr>
          <w:ilvl w:val="0"/>
          <w:numId w:val="41"/>
        </w:numPr>
      </w:pPr>
      <w:r>
        <w:rPr>
          <w:rFonts w:ascii="Calibri" w:hAnsi="Calibri"/>
        </w:rPr>
        <w:t>No plaintext destination, DTMF, OTP, token, SIP credential, or media appears in logs, analytics, URLs, push, or crash output.</w:t>
      </w:r>
    </w:p>
    <w:p>
      <w:pPr>
        <w:numPr>
          <w:ilvl w:val="0"/>
          <w:numId w:val="41"/>
        </w:numPr>
      </w:pPr>
      <w:r>
        <w:rPr>
          <w:rFonts w:ascii="Calibri" w:hAnsi="Calibri"/>
        </w:rPr>
        <w:t>Admin/server has no API, storage object, diagnostic path, or backup containing a member recording.</w:t>
      </w:r>
    </w:p>
    <w:p>
      <w:pPr>
        <w:pStyle w:val="Heading2"/>
      </w:pPr>
      <w:r>
        <w:t>7.3 Locked-route negative proof</w:t>
      </w:r>
    </w:p>
    <w:p>
      <w:pPr>
        <w:numPr>
          <w:ilvl w:val="0"/>
          <w:numId w:val="46"/>
        </w:numPr>
      </w:pPr>
      <w:r>
        <w:rPr>
          <w:rFonts w:ascii="Calibri" w:hAnsi="Calibri"/>
        </w:rPr>
        <w:t>Enumerate every originate entry point: API, worker, PBX dial plan, adapter command, edge transport, management protocol.</w:t>
      </w:r>
    </w:p>
    <w:p>
      <w:pPr>
        <w:numPr>
          <w:ilvl w:val="0"/>
          <w:numId w:val="46"/>
        </w:numPr>
      </w:pPr>
      <w:r>
        <w:rPr>
          <w:rFonts w:ascii="Calibri" w:hAnsi="Calibri"/>
        </w:rPr>
        <w:t>Run a generated matrix over missing/stale/mismatched evidence, generation, route, epoch, identity, policy, monitoring, KMS, and network capability.</w:t>
      </w:r>
    </w:p>
    <w:p>
      <w:pPr>
        <w:numPr>
          <w:ilvl w:val="0"/>
          <w:numId w:val="46"/>
        </w:numPr>
      </w:pPr>
      <w:r>
        <w:rPr>
          <w:rFonts w:ascii="Calibri" w:hAnsi="Calibri"/>
        </w:rPr>
        <w:t>Assert rejection occurs independently at each layer and that no fake transport records an outbound carrier command.</w:t>
      </w:r>
    </w:p>
    <w:p>
      <w:pPr>
        <w:numPr>
          <w:ilvl w:val="0"/>
          <w:numId w:val="46"/>
        </w:numPr>
      </w:pPr>
      <w:r>
        <w:rPr>
          <w:rFonts w:ascii="Calibri" w:hAnsi="Calibri"/>
        </w:rPr>
        <w:t>Attempt ordinary admin/config/API manipulation, stale replay, direct PBX route, direct adapter call, and network bypass.</w:t>
      </w:r>
    </w:p>
    <w:p>
      <w:pPr>
        <w:numPr>
          <w:ilvl w:val="0"/>
          <w:numId w:val="46"/>
        </w:numPr>
      </w:pPr>
      <w:r>
        <w:rPr>
          <w:rFonts w:ascii="Calibri" w:hAnsi="Calibri"/>
        </w:rPr>
        <w:t>Archive sanitized command/event traces, network-policy results, config hashes, test seed, build provenance, and alpha verdict.</w:t>
      </w:r>
    </w:p>
    <w:p>
      <w:pPr>
        <w:pStyle w:val="Heading2"/>
      </w:pPr>
      <w:r>
        <w:t>7.4 Device and browser matrix</w:t>
      </w:r>
    </w:p>
    <w:p>
      <w:pPr>
        <w:numPr>
          <w:ilvl w:val="0"/>
          <w:numId w:val="41"/>
        </w:numPr>
      </w:pPr>
      <w:r>
        <w:rPr>
          <w:rFonts w:ascii="Calibri" w:hAnsi="Calibri"/>
        </w:rPr>
        <w:t>Collect all 12 Android models, OS versions, vendors, audio/Bluetooth devices, battery restrictions, and primary networks before minimum-SDK freeze.</w:t>
      </w:r>
    </w:p>
    <w:p>
      <w:pPr>
        <w:numPr>
          <w:ilvl w:val="0"/>
          <w:numId w:val="41"/>
        </w:numPr>
      </w:pPr>
      <w:r>
        <w:rPr>
          <w:rFonts w:ascii="Calibri" w:hAnsi="Calibri"/>
        </w:rPr>
        <w:t>Run enrollment/recovery, foreground/background/lock screen, speaker/wired/Bluetooth, Wi-Fi↔mobile, 9-second reconnect, 10-second termination, and process-kill scenarios.</w:t>
      </w:r>
    </w:p>
    <w:p>
      <w:pPr>
        <w:numPr>
          <w:ilvl w:val="0"/>
          <w:numId w:val="41"/>
        </w:numPr>
      </w:pPr>
      <w:r>
        <w:rPr>
          <w:rFonts w:ascii="Calibri" w:hAnsi="Calibri"/>
        </w:rPr>
        <w:t>Admin browser coverage includes current Chrome/Edge/Safari responsive widths, keyboard-only, screen reader basics, session expiry, and step-up recovery.</w:t>
      </w:r>
    </w:p>
    <w:p>
      <w:pPr>
        <w:numPr>
          <w:ilvl w:val="0"/>
          <w:numId w:val="41"/>
        </w:numPr>
      </w:pPr>
      <w:r>
        <w:rPr>
          <w:rFonts w:ascii="Calibri" w:hAnsi="Calibri"/>
        </w:rPr>
        <w:t>Tigrinya sample/pseudo-localization and Arabic RTL prototype preserve +291/DTMF LTR order and do not clip dynamic text.</w:t>
      </w:r>
    </w:p>
    <w:p>
      <w:pPr>
        <w:pStyle w:val="Heading1"/>
      </w:pPr>
      <w:r>
        <w:t>8. Security, privacy, and operations implementation</w:t>
      </w:r>
    </w:p>
    <w:p>
      <w:pPr>
        <w:pStyle w:val="Heading2"/>
      </w:pPr>
      <w:r>
        <w:t>8.1 Security workstream</w:t>
      </w:r>
    </w:p>
    <w:tbl>
      <w:tblPr>
        <w:tblStyle w:val="TableGrid"/>
        <w:tblW w:type="dxa" w:w="9360"/>
        <w:jc w:val="left"/>
        <w:tblLayout w:type="fixed"/>
        <w:tblLook w:firstColumn="1" w:firstRow="1" w:lastColumn="0" w:lastRow="0" w:noHBand="0" w:noVBand="1" w:val="04A0"/>
        <w:tblInd w:w="120" w:type="dxa"/>
        <w:tblBorders>
          <w:top w:val="single" w:sz="4" w:color="C7CDD6"/>
          <w:left w:val="single" w:sz="4" w:color="C7CDD6"/>
          <w:bottom w:val="single" w:sz="4" w:color="C7CDD6"/>
          <w:right w:val="single" w:sz="4" w:color="C7CDD6"/>
          <w:insideH w:val="single" w:sz="4" w:color="C7CDD6"/>
          <w:insideV w:val="single" w:sz="4" w:color="C7CDD6"/>
        </w:tblBorders>
      </w:tblPr>
      <w:tblGrid>
        <w:gridCol w:w="2000"/>
        <w:gridCol w:w="5200"/>
        <w:gridCol w:w="2160"/>
      </w:tblGrid>
      <w:tr>
        <w:trPr>
          <w:trHeight w:hRule="atLeast"/>
          <w:tblHeader w:val="true"/>
        </w:trPr>
        <w:tc>
          <w:tcPr>
            <w:tcW w:type="dxa" w:w="20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Milestone</w:t>
            </w:r>
          </w:p>
        </w:tc>
        <w:tc>
          <w:tcPr>
            <w:tcW w:type="dxa" w:w="52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Required output</w:t>
            </w:r>
          </w:p>
        </w:tc>
        <w:tc>
          <w:tcPr>
            <w:tcW w:type="dxa" w:w="216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Gate</w:t>
            </w:r>
          </w:p>
        </w:tc>
      </w:tr>
      <w:tr>
        <w:trPr>
          <w:trHeight w:hRule="atLeast"/>
        </w:trPr>
        <w:tc>
          <w:tcPr>
            <w:tcW w:type="dxa" w:w="20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Threat model baseline</w:t>
            </w:r>
          </w:p>
        </w:tc>
        <w:tc>
          <w:tcPr>
            <w:tcW w:type="dxa" w:w="5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Assets, trust boundaries, attacker stories, abuse cases, control mapping.</w:t>
            </w:r>
          </w:p>
        </w:tc>
        <w:tc>
          <w:tcPr>
            <w:tcW w:type="dxa" w:w="21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Before thin vertical slice</w:t>
            </w:r>
          </w:p>
        </w:tc>
      </w:tr>
      <w:tr>
        <w:trPr>
          <w:trHeight w:hRule="atLeast"/>
        </w:trPr>
        <w:tc>
          <w:tcPr>
            <w:tcW w:type="dxa" w:w="20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Identity review</w:t>
            </w:r>
          </w:p>
        </w:tc>
        <w:tc>
          <w:tcPr>
            <w:tcW w:type="dxa" w:w="5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Invite/OTP/Keystore/session/migration/recovery adversarial tests.</w:t>
            </w:r>
          </w:p>
        </w:tc>
        <w:tc>
          <w:tcPr>
            <w:tcW w:type="dxa" w:w="21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Before multi-member demo</w:t>
            </w:r>
          </w:p>
        </w:tc>
      </w:tr>
      <w:tr>
        <w:trPr>
          <w:trHeight w:hRule="atLeast"/>
        </w:trPr>
        <w:tc>
          <w:tcPr>
            <w:tcW w:type="dxa" w:w="20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Telephony review</w:t>
            </w:r>
          </w:p>
        </w:tc>
        <w:tc>
          <w:tcPr>
            <w:tcW w:type="dxa" w:w="5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Toll fraud, route injection, caller ID, replay, gateway/PBX exposure, orphan leg.</w:t>
            </w:r>
          </w:p>
        </w:tc>
        <w:tc>
          <w:tcPr>
            <w:tcW w:type="dxa" w:w="21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Before real-adapter merge</w:t>
            </w:r>
          </w:p>
        </w:tc>
      </w:tr>
      <w:tr>
        <w:trPr>
          <w:trHeight w:hRule="atLeast"/>
        </w:trPr>
        <w:tc>
          <w:tcPr>
            <w:tcW w:type="dxa" w:w="20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Privacy review</w:t>
            </w:r>
          </w:p>
        </w:tc>
        <w:tc>
          <w:tcPr>
            <w:tcW w:type="dxa" w:w="5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Data map, number encryption/reveal, telemetry, retention, backup, local recording boundary.</w:t>
            </w:r>
          </w:p>
        </w:tc>
        <w:tc>
          <w:tcPr>
            <w:tcW w:type="dxa" w:w="21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Before B4 closure</w:t>
            </w:r>
          </w:p>
        </w:tc>
      </w:tr>
      <w:tr>
        <w:trPr>
          <w:trHeight w:hRule="atLeast"/>
        </w:trPr>
        <w:tc>
          <w:tcPr>
            <w:tcW w:type="dxa" w:w="20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Release review</w:t>
            </w:r>
          </w:p>
        </w:tc>
        <w:tc>
          <w:tcPr>
            <w:tcW w:type="dxa" w:w="5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SAST/dependencies/secrets/SBOM/provenance, penetration test, residual risk.</w:t>
            </w:r>
          </w:p>
        </w:tc>
        <w:tc>
          <w:tcPr>
            <w:tcW w:type="dxa" w:w="21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Before B6</w:t>
            </w:r>
          </w:p>
        </w:tc>
      </w:tr>
    </w:tbl>
    <w:p>
      <w:pPr>
        <w:pStyle w:val="Heading2"/>
      </w:pPr>
      <w:r>
        <w:t>8.2 Environments</w:t>
      </w:r>
    </w:p>
    <w:tbl>
      <w:tblPr>
        <w:tblStyle w:val="TableGrid"/>
        <w:tblW w:type="dxa" w:w="9360"/>
        <w:jc w:val="left"/>
        <w:tblLayout w:type="fixed"/>
        <w:tblLook w:firstColumn="1" w:firstRow="1" w:lastColumn="0" w:lastRow="0" w:noHBand="0" w:noVBand="1" w:val="04A0"/>
        <w:tblInd w:w="120" w:type="dxa"/>
        <w:tblBorders>
          <w:top w:val="single" w:sz="4" w:color="C7CDD6"/>
          <w:left w:val="single" w:sz="4" w:color="C7CDD6"/>
          <w:bottom w:val="single" w:sz="4" w:color="C7CDD6"/>
          <w:right w:val="single" w:sz="4" w:color="C7CDD6"/>
          <w:insideH w:val="single" w:sz="4" w:color="C7CDD6"/>
          <w:insideV w:val="single" w:sz="4" w:color="C7CDD6"/>
        </w:tblBorders>
      </w:tblPr>
      <w:tblGrid>
        <w:gridCol w:w="1800"/>
        <w:gridCol w:w="3200"/>
        <w:gridCol w:w="1900"/>
        <w:gridCol w:w="2460"/>
      </w:tblGrid>
      <w:tr>
        <w:trPr>
          <w:trHeight w:hRule="atLeast"/>
          <w:tblHeader w:val="true"/>
        </w:trPr>
        <w:tc>
          <w:tcPr>
            <w:tcW w:type="dxa" w:w="18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Environment</w:t>
            </w:r>
          </w:p>
        </w:tc>
        <w:tc>
          <w:tcPr>
            <w:tcW w:type="dxa" w:w="32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Adapters/routes</w:t>
            </w:r>
          </w:p>
        </w:tc>
        <w:tc>
          <w:tcPr>
            <w:tcW w:type="dxa" w:w="19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Data</w:t>
            </w:r>
          </w:p>
        </w:tc>
        <w:tc>
          <w:tcPr>
            <w:tcW w:type="dxa" w:w="246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Purpose</w:t>
            </w:r>
          </w:p>
        </w:tc>
      </w:tr>
      <w:tr>
        <w:trPr>
          <w:trHeight w:hRule="atLeast"/>
        </w:trPr>
        <w:tc>
          <w:tcPr>
            <w:tcW w:type="dxa" w:w="18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Local</w:t>
            </w:r>
          </w:p>
        </w:tc>
        <w:tc>
          <w:tcPr>
            <w:tcW w:type="dxa" w:w="3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Simulator + real fake transport; no gateway network.</w:t>
            </w:r>
          </w:p>
        </w:tc>
        <w:tc>
          <w:tcPr>
            <w:tcW w:type="dxa" w:w="1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Synthetic only.</w:t>
            </w:r>
          </w:p>
        </w:tc>
        <w:tc>
          <w:tcPr>
            <w:tcW w:type="dxa" w:w="24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Fast development and deterministic tests.</w:t>
            </w:r>
          </w:p>
        </w:tc>
      </w:tr>
      <w:tr>
        <w:trPr>
          <w:trHeight w:hRule="atLeast"/>
        </w:trPr>
        <w:tc>
          <w:tcPr>
            <w:tcW w:type="dxa" w:w="18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CI</w:t>
            </w:r>
          </w:p>
        </w:tc>
        <w:tc>
          <w:tcPr>
            <w:tcW w:type="dxa" w:w="3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Ephemeral simulator/fake vendor/PBX; deny egress by policy.</w:t>
            </w:r>
          </w:p>
        </w:tc>
        <w:tc>
          <w:tcPr>
            <w:tcW w:type="dxa" w:w="1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Seeded fixtures.</w:t>
            </w:r>
          </w:p>
        </w:tc>
        <w:tc>
          <w:tcPr>
            <w:tcW w:type="dxa" w:w="24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Merge and fault evidence.</w:t>
            </w:r>
          </w:p>
        </w:tc>
      </w:tr>
      <w:tr>
        <w:trPr>
          <w:trHeight w:hRule="atLeast"/>
        </w:trPr>
        <w:tc>
          <w:tcPr>
            <w:tcW w:type="dxa" w:w="18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Staging</w:t>
            </w:r>
          </w:p>
        </w:tc>
        <w:tc>
          <w:tcPr>
            <w:tcW w:type="dxa" w:w="3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Simulator selected; real driver DRY_RUN/locked; no carrier credentials.</w:t>
            </w:r>
          </w:p>
        </w:tc>
        <w:tc>
          <w:tcPr>
            <w:tcW w:type="dxa" w:w="1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Synthetic named demo users.</w:t>
            </w:r>
          </w:p>
        </w:tc>
        <w:tc>
          <w:tcPr>
            <w:tcW w:type="dxa" w:w="24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Production-shaped integration and B6 rehearsal.</w:t>
            </w:r>
          </w:p>
        </w:tc>
      </w:tr>
      <w:tr>
        <w:trPr>
          <w:trHeight w:hRule="atLeast"/>
        </w:trPr>
        <w:tc>
          <w:tcPr>
            <w:tcW w:type="dxa" w:w="18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Locked production candidate</w:t>
            </w:r>
          </w:p>
        </w:tc>
        <w:tc>
          <w:tcPr>
            <w:tcW w:type="dxa" w:w="3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Same images; activation material absent; PBX route disabled; network denied.</w:t>
            </w:r>
          </w:p>
        </w:tc>
        <w:tc>
          <w:tcPr>
            <w:tcW w:type="dxa" w:w="1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Approved 12-member onboarding only after privacy readiness.</w:t>
            </w:r>
          </w:p>
        </w:tc>
        <w:tc>
          <w:tcPr>
            <w:tcW w:type="dxa" w:w="24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Deployability/operations evidence, not live calls.</w:t>
            </w:r>
          </w:p>
        </w:tc>
      </w:tr>
    </w:tbl>
    <w:p>
      <w:pPr>
        <w:pStyle w:val="Heading2"/>
      </w:pPr>
      <w:r>
        <w:t>8.3 Operational readiness</w:t>
      </w:r>
    </w:p>
    <w:p>
      <w:pPr>
        <w:numPr>
          <w:ilvl w:val="0"/>
          <w:numId w:val="41"/>
        </w:numPr>
      </w:pPr>
      <w:r>
        <w:rPr>
          <w:rFonts w:ascii="Calibri" w:hAnsi="Calibri"/>
        </w:rPr>
        <w:t>Runbooks: deploy/drain/rollback, incident severity, line quarantine/reconciliation, gateway task, key/credential rotation, backup/restore, retention purge, privacy request, and kill modes.</w:t>
      </w:r>
    </w:p>
    <w:p>
      <w:pPr>
        <w:numPr>
          <w:ilvl w:val="0"/>
          <w:numId w:val="41"/>
        </w:numPr>
      </w:pPr>
      <w:r>
        <w:rPr>
          <w:rFonts w:ascii="Calibri" w:hAnsi="Calibri"/>
        </w:rPr>
        <w:t>Alerts: API/DB/PBX/TURN/tunnel/gateway/SIM, stale/uncertain line, cap/watchdog, activation attempt/change, monitoring loss, ledger mismatch, backup/purge/reveal anomalies.</w:t>
      </w:r>
    </w:p>
    <w:p>
      <w:pPr>
        <w:numPr>
          <w:ilvl w:val="0"/>
          <w:numId w:val="41"/>
        </w:numPr>
      </w:pPr>
      <w:r>
        <w:rPr>
          <w:rFonts w:ascii="Calibri" w:hAnsi="Calibri"/>
        </w:rPr>
        <w:t>Dashboards use non-sensitive labels and one correlation ID across app, API, worker, PBX, adapter, ledgers, reconciliation, and audit.</w:t>
      </w:r>
    </w:p>
    <w:p>
      <w:pPr>
        <w:numPr>
          <w:ilvl w:val="0"/>
          <w:numId w:val="41"/>
        </w:numPr>
      </w:pPr>
      <w:r>
        <w:rPr>
          <w:rFonts w:ascii="Calibri" w:hAnsi="Calibri"/>
        </w:rPr>
        <w:t>A simulated monthly restoration proves encrypted backup integrity and reruns retention after restore.</w:t>
      </w:r>
    </w:p>
    <w:p>
      <w:pPr>
        <w:numPr>
          <w:ilvl w:val="0"/>
          <w:numId w:val="41"/>
        </w:numPr>
      </w:pPr>
      <w:r>
        <w:rPr>
          <w:rFonts w:ascii="Calibri" w:hAnsi="Calibri"/>
        </w:rPr>
        <w:t>Critical live-route monitoring loss is implemented even while locked and tested to stop admission after the configured bound.</w:t>
      </w:r>
    </w:p>
    <w:p>
      <w:pPr>
        <w:pStyle w:val="Heading2"/>
      </w:pPr>
      <w:r>
        <w:t>8.4 Deployment safety</w:t>
      </w:r>
    </w:p>
    <w:p>
      <w:pPr>
        <w:numPr>
          <w:ilvl w:val="0"/>
          <w:numId w:val="47"/>
        </w:numPr>
      </w:pPr>
      <w:r>
        <w:rPr>
          <w:rFonts w:ascii="Calibri" w:hAnsi="Calibri"/>
        </w:rPr>
        <w:t>Build immutable signed images and SBOM; verify provenance before promotion.</w:t>
      </w:r>
    </w:p>
    <w:p>
      <w:pPr>
        <w:numPr>
          <w:ilvl w:val="0"/>
          <w:numId w:val="47"/>
        </w:numPr>
      </w:pPr>
      <w:r>
        <w:rPr>
          <w:rFonts w:ascii="Calibri" w:hAnsi="Calibri"/>
        </w:rPr>
        <w:t>Run migration expand phase, compatibility tests, and backup checkpoint.</w:t>
      </w:r>
    </w:p>
    <w:p>
      <w:pPr>
        <w:numPr>
          <w:ilvl w:val="0"/>
          <w:numId w:val="47"/>
        </w:numPr>
      </w:pPr>
      <w:r>
        <w:rPr>
          <w:rFonts w:ascii="Calibri" w:hAnsi="Calibri"/>
        </w:rPr>
        <w:t>Stop new calls or drain according to change class; never interrupt by ordinary deploy accident.</w:t>
      </w:r>
    </w:p>
    <w:p>
      <w:pPr>
        <w:numPr>
          <w:ilvl w:val="0"/>
          <w:numId w:val="47"/>
        </w:numPr>
      </w:pPr>
      <w:r>
        <w:rPr>
          <w:rFonts w:ascii="Calibri" w:hAnsi="Calibri"/>
        </w:rPr>
        <w:t>Deploy control/API/worker, then media/edge, then clients under compatible contracts.</w:t>
      </w:r>
    </w:p>
    <w:p>
      <w:pPr>
        <w:numPr>
          <w:ilvl w:val="0"/>
          <w:numId w:val="47"/>
        </w:numPr>
      </w:pPr>
      <w:r>
        <w:rPr>
          <w:rFonts w:ascii="Calibri" w:hAnsi="Calibri"/>
        </w:rPr>
        <w:t>Verify health, config acknowledgements, route lock, activation generation absence, and synthetic simulator canary.</w:t>
      </w:r>
    </w:p>
    <w:p>
      <w:pPr>
        <w:numPr>
          <w:ilvl w:val="0"/>
          <w:numId w:val="47"/>
        </w:numPr>
      </w:pPr>
      <w:r>
        <w:rPr>
          <w:rFonts w:ascii="Calibri" w:hAnsi="Calibri"/>
        </w:rPr>
        <w:t>Complete contract phase only after rollback window and consumer evidence; rollback publishes new config/migration action rather than erasing history.</w:t>
      </w:r>
    </w:p>
    <w:p>
      <w:pPr>
        <w:pStyle w:val="Heading1"/>
      </w:pPr>
      <w:r>
        <w:t>9. Build gates, evidence, and veto authority</w:t>
      </w:r>
    </w:p>
    <w:tbl>
      <w:tblPr>
        <w:tblStyle w:val="TableGrid"/>
        <w:tblW w:type="dxa" w:w="9360"/>
        <w:jc w:val="left"/>
        <w:tblLayout w:type="fixed"/>
        <w:tblLook w:firstColumn="1" w:firstRow="1" w:lastColumn="0" w:lastRow="0" w:noHBand="0" w:noVBand="1" w:val="04A0"/>
        <w:tblInd w:w="120" w:type="dxa"/>
        <w:tblBorders>
          <w:top w:val="single" w:sz="4" w:color="C7CDD6"/>
          <w:left w:val="single" w:sz="4" w:color="C7CDD6"/>
          <w:bottom w:val="single" w:sz="4" w:color="C7CDD6"/>
          <w:right w:val="single" w:sz="4" w:color="C7CDD6"/>
          <w:insideH w:val="single" w:sz="4" w:color="C7CDD6"/>
          <w:insideV w:val="single" w:sz="4" w:color="C7CDD6"/>
        </w:tblBorders>
      </w:tblPr>
      <w:tblGrid>
        <w:gridCol w:w="1900"/>
        <w:gridCol w:w="5600"/>
        <w:gridCol w:w="1860"/>
      </w:tblGrid>
      <w:tr>
        <w:trPr>
          <w:trHeight w:hRule="atLeast"/>
          <w:tblHeader w:val="true"/>
        </w:trPr>
        <w:tc>
          <w:tcPr>
            <w:tcW w:type="dxa" w:w="19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Gate</w:t>
            </w:r>
          </w:p>
        </w:tc>
        <w:tc>
          <w:tcPr>
            <w:tcW w:type="dxa" w:w="56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Mandatory evidence</w:t>
            </w:r>
          </w:p>
        </w:tc>
        <w:tc>
          <w:tcPr>
            <w:tcW w:type="dxa" w:w="186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Approver</w:t>
            </w:r>
          </w:p>
        </w:tc>
      </w:tr>
      <w:tr>
        <w:trPr>
          <w:trHeight w:hRule="atLeast"/>
        </w:trPr>
        <w:tc>
          <w:tcPr>
            <w:tcW w:type="dxa" w:w="1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B1 requirements</w:t>
            </w:r>
          </w:p>
        </w:tc>
        <w:tc>
          <w:tcPr>
            <w:tcW w:type="dxa" w:w="56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PRD v0.3, Product Design v0.2, CAR-01…08, decisions and terminology frozen; no unresolved build blocker.</w:t>
            </w:r>
          </w:p>
        </w:tc>
        <w:tc>
          <w:tcPr>
            <w:tcW w:type="dxa" w:w="18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Owner + primary + alpha</w:t>
            </w:r>
          </w:p>
        </w:tc>
      </w:tr>
      <w:tr>
        <w:trPr>
          <w:trHeight w:hRule="atLeast"/>
        </w:trPr>
        <w:tc>
          <w:tcPr>
            <w:tcW w:type="dxa" w:w="1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B2 semantic/domain</w:t>
            </w:r>
          </w:p>
        </w:tc>
        <w:tc>
          <w:tcPr>
            <w:tcW w:type="dxa" w:w="56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State/ledger/config/error/fairness models and property-test catalogue independently reviewed.</w:t>
            </w:r>
          </w:p>
        </w:tc>
        <w:tc>
          <w:tcPr>
            <w:tcW w:type="dxa" w:w="18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Alpha</w:t>
            </w:r>
          </w:p>
        </w:tc>
      </w:tr>
      <w:tr>
        <w:trPr>
          <w:trHeight w:hRule="atLeast"/>
        </w:trPr>
        <w:tc>
          <w:tcPr>
            <w:tcW w:type="dxa" w:w="1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B3 architecture/contract</w:t>
            </w:r>
          </w:p>
        </w:tc>
        <w:tc>
          <w:tcPr>
            <w:tcW w:type="dxa" w:w="56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Media/lease/adapter/network/privacy spikes; standard SIP line + telemetry plugin surface; ADR-010/011/014; locked topology and rollback proven.</w:t>
            </w:r>
          </w:p>
        </w:tc>
        <w:tc>
          <w:tcPr>
            <w:tcW w:type="dxa" w:w="18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Primary + alpha</w:t>
            </w:r>
          </w:p>
        </w:tc>
      </w:tr>
      <w:tr>
        <w:trPr>
          <w:trHeight w:hRule="atLeast"/>
        </w:trPr>
        <w:tc>
          <w:tcPr>
            <w:tcW w:type="dxa" w:w="1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B4 security/privacy</w:t>
            </w:r>
          </w:p>
        </w:tc>
        <w:tc>
          <w:tcPr>
            <w:tcW w:type="dxa" w:w="56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Threat/control matrix, identity/telephony/privacy tests, no critical/high exploitable finding.</w:t>
            </w:r>
          </w:p>
        </w:tc>
        <w:tc>
          <w:tcPr>
            <w:tcW w:type="dxa" w:w="18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Security reviewer + alpha</w:t>
            </w:r>
          </w:p>
        </w:tc>
      </w:tr>
      <w:tr>
        <w:trPr>
          <w:trHeight w:hRule="atLeast"/>
        </w:trPr>
        <w:tc>
          <w:tcPr>
            <w:tcW w:type="dxa" w:w="1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B5 locked integration</w:t>
            </w:r>
          </w:p>
        </w:tc>
        <w:tc>
          <w:tcPr>
            <w:tcW w:type="dxa" w:w="56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Simulator and real fake-transport conformance, client E2E, faults, kill modes, retention/restore.</w:t>
            </w:r>
          </w:p>
        </w:tc>
        <w:tc>
          <w:tcPr>
            <w:tcW w:type="dxa" w:w="18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QA + primary + alpha</w:t>
            </w:r>
          </w:p>
        </w:tc>
      </w:tr>
      <w:tr>
        <w:trPr>
          <w:trHeight w:hRule="atLeast"/>
        </w:trPr>
        <w:tc>
          <w:tcPr>
            <w:tcW w:type="dxa" w:w="1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B6 locked demonstration</w:t>
            </w:r>
          </w:p>
        </w:tc>
        <w:tc>
          <w:tcPr>
            <w:tcW w:type="dxa" w:w="56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Signed artifacts/SBOM, 12-member scripted demo, operations/evidence pack, 100% traceability, persistent demo labeling, packet/egress no-carrier proof.</w:t>
            </w:r>
          </w:p>
        </w:tc>
        <w:tc>
          <w:tcPr>
            <w:tcW w:type="dxa" w:w="18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Owner + alpha</w:t>
            </w:r>
          </w:p>
        </w:tc>
      </w:tr>
    </w:tbl>
    <w:p>
      <w:pPr>
        <w:pStyle w:val="Heading2"/>
      </w:pPr>
      <w:r>
        <w:t>9.1 Package definition of done</w:t>
      </w:r>
    </w:p>
    <w:p>
      <w:pPr>
        <w:numPr>
          <w:ilvl w:val="0"/>
          <w:numId w:val="41"/>
        </w:numPr>
      </w:pPr>
      <w:r>
        <w:rPr>
          <w:rFonts w:ascii="Calibri" w:hAnsi="Calibri"/>
        </w:rPr>
        <w:t>Named requirement/invariant and accepted contract are linked.</w:t>
      </w:r>
    </w:p>
    <w:p>
      <w:pPr>
        <w:numPr>
          <w:ilvl w:val="0"/>
          <w:numId w:val="41"/>
        </w:numPr>
      </w:pPr>
      <w:r>
        <w:rPr>
          <w:rFonts w:ascii="Calibri" w:hAnsi="Calibri"/>
        </w:rPr>
        <w:t>Code, migration, generated artifacts, feature/activation posture, tests, telemetry, documentation, and rollback are complete.</w:t>
      </w:r>
    </w:p>
    <w:p>
      <w:pPr>
        <w:numPr>
          <w:ilvl w:val="0"/>
          <w:numId w:val="41"/>
        </w:numPr>
      </w:pPr>
      <w:r>
        <w:rPr>
          <w:rFonts w:ascii="Calibri" w:hAnsi="Calibri"/>
        </w:rPr>
        <w:t>Happy, boundary, negative, duplicate, stale, permission, failure, and recovery cases pass at the package's required layers.</w:t>
      </w:r>
    </w:p>
    <w:p>
      <w:pPr>
        <w:numPr>
          <w:ilvl w:val="0"/>
          <w:numId w:val="41"/>
        </w:numPr>
      </w:pPr>
      <w:r>
        <w:rPr>
          <w:rFonts w:ascii="Calibri" w:hAnsi="Calibri"/>
        </w:rPr>
        <w:t>No disallowed secret/PII/logging path exists; dependencies are pinned/scanned and licenses recorded.</w:t>
      </w:r>
    </w:p>
    <w:p>
      <w:pPr>
        <w:numPr>
          <w:ilvl w:val="0"/>
          <w:numId w:val="41"/>
        </w:numPr>
      </w:pPr>
      <w:r>
        <w:rPr>
          <w:rFonts w:ascii="Calibri" w:hAnsi="Calibri"/>
        </w:rPr>
        <w:t>Evidence is reproducible from a clean checkout and indexed by commit/build/config/test seed.</w:t>
      </w:r>
    </w:p>
    <w:p>
      <w:pPr>
        <w:numPr>
          <w:ilvl w:val="0"/>
          <w:numId w:val="41"/>
        </w:numPr>
      </w:pPr>
      <w:r>
        <w:rPr>
          <w:rFonts w:ascii="Calibri" w:hAnsi="Calibri"/>
        </w:rPr>
        <w:t>Owner/reviewer approvals are attributable; residual risk and follow-up are explicit, never hidden in comments.</w:t>
      </w:r>
    </w:p>
    <w:p>
      <w:pPr>
        <w:pStyle w:val="Heading2"/>
      </w:pPr>
      <w:r>
        <w:t>9.2 Build-start veto conditions</w:t>
      </w:r>
    </w:p>
    <w:p>
      <w:pPr>
        <w:numPr>
          <w:ilvl w:val="0"/>
          <w:numId w:val="41"/>
        </w:numPr>
      </w:pPr>
      <w:r>
        <w:rPr>
          <w:rFonts w:ascii="Calibri" w:hAnsi="Calibri"/>
        </w:rPr>
        <w:t>PRD v0.3, Product Design v0.2, or the invariant catalogue are inconsistent, or the plan assigns two writers to a serialized authority.</w:t>
      </w:r>
    </w:p>
    <w:p>
      <w:pPr>
        <w:numPr>
          <w:ilvl w:val="0"/>
          <w:numId w:val="41"/>
        </w:numPr>
      </w:pPr>
      <w:r>
        <w:rPr>
          <w:rFonts w:ascii="Calibri" w:hAnsi="Calibri"/>
        </w:rPr>
        <w:t>Contract change protocol, test/evidence storage, branch protection, secrets policy, or locked network baseline is missing.</w:t>
      </w:r>
    </w:p>
    <w:p>
      <w:pPr>
        <w:numPr>
          <w:ilvl w:val="0"/>
          <w:numId w:val="41"/>
        </w:numPr>
      </w:pPr>
      <w:r>
        <w:rPr>
          <w:rFonts w:ascii="Calibri" w:hAnsi="Calibri"/>
        </w:rPr>
        <w:t>Any planned task requires live SIM credentials, carrier route, ordinary activation UI, or unapproved hardware interoperability.</w:t>
      </w:r>
    </w:p>
    <w:p>
      <w:pPr>
        <w:numPr>
          <w:ilvl w:val="0"/>
          <w:numId w:val="41"/>
        </w:numPr>
      </w:pPr>
      <w:r>
        <w:rPr>
          <w:rFonts w:ascii="Calibri" w:hAnsi="Calibri"/>
        </w:rPr>
        <w:t>The real adapter package is a placeholder rather than production-intent code plus shared conformance requirements.</w:t>
      </w:r>
    </w:p>
    <w:p>
      <w:pPr>
        <w:numPr>
          <w:ilvl w:val="0"/>
          <w:numId w:val="41"/>
        </w:numPr>
      </w:pPr>
      <w:r>
        <w:rPr>
          <w:rFonts w:ascii="Calibri" w:hAnsi="Calibri"/>
        </w:rPr>
        <w:t>No owner exists for call reducer, ledgers, identity/device lifecycle, activation controls, privacy schema, or release evidence.</w:t>
      </w:r>
    </w:p>
    <w:p>
      <w:pPr>
        <w:numPr>
          <w:ilvl w:val="0"/>
          <w:numId w:val="41"/>
        </w:numPr>
      </w:pPr>
      <w:r>
        <w:rPr>
          <w:rFonts w:ascii="Calibri" w:hAnsi="Calibri"/>
        </w:rPr>
        <w:t>An agent brief permits semantic improvisation, cross-package edits, or marking unverified behavior complete.</w:t>
      </w:r>
    </w:p>
    <w:p>
      <w:pPr>
        <w:numPr>
          <w:ilvl w:val="0"/>
          <w:numId w:val="41"/>
        </w:numPr>
      </w:pPr>
      <w:r>
        <w:rPr>
          <w:rFonts w:ascii="Calibri" w:hAnsi="Calibri"/>
        </w:rPr>
        <w:t>The planned build can represent negative callable time, floating-point time/money, impossible transition, unfenced line, blind originate retry, or unrestricted route.</w:t>
      </w:r>
    </w:p>
    <w:p>
      <w:pPr>
        <w:numPr>
          <w:ilvl w:val="0"/>
          <w:numId w:val="41"/>
        </w:numPr>
      </w:pPr>
      <w:r>
        <w:rPr>
          <w:rFonts w:ascii="Calibri" w:hAnsi="Calibri"/>
        </w:rPr>
        <w:t>No alpha review capacity exists for critical contract/security changes.</w:t>
      </w:r>
    </w:p>
    <w:p>
      <w:pPr>
        <w:pStyle w:val="Heading2"/>
      </w:pPr>
      <w:r>
        <w:t>9.3 Merge/release veto conditions</w:t>
      </w:r>
    </w:p>
    <w:p>
      <w:pPr>
        <w:numPr>
          <w:ilvl w:val="0"/>
          <w:numId w:val="41"/>
        </w:numPr>
      </w:pPr>
      <w:r>
        <w:rPr>
          <w:rFonts w:ascii="Calibri" w:hAnsi="Calibri"/>
        </w:rPr>
        <w:t>A required test/evidence artifact is absent, flaky without quarantine/root cause, or not reproducible.</w:t>
      </w:r>
    </w:p>
    <w:p>
      <w:pPr>
        <w:numPr>
          <w:ilvl w:val="0"/>
          <w:numId w:val="41"/>
        </w:numPr>
      </w:pPr>
      <w:r>
        <w:rPr>
          <w:rFonts w:ascii="Calibri" w:hAnsi="Calibri"/>
        </w:rPr>
        <w:t>Any locked configuration can emit a carrier command, any stale generation/epoch is accepted, or an uncertain line can be freed by timeout.</w:t>
      </w:r>
    </w:p>
    <w:p>
      <w:pPr>
        <w:numPr>
          <w:ilvl w:val="0"/>
          <w:numId w:val="41"/>
        </w:numPr>
      </w:pPr>
      <w:r>
        <w:rPr>
          <w:rFonts w:ascii="Calibri" w:hAnsi="Calibri"/>
        </w:rPr>
        <w:t>UI truth diverges from authoritative state, including demo, answer, duration, balance, outage, finalization, kill, or verification status.</w:t>
      </w:r>
    </w:p>
    <w:p>
      <w:pPr>
        <w:numPr>
          <w:ilvl w:val="0"/>
          <w:numId w:val="41"/>
        </w:numPr>
      </w:pPr>
      <w:r>
        <w:rPr>
          <w:rFonts w:ascii="Calibri" w:hAnsi="Calibri"/>
        </w:rPr>
        <w:t>PII/DTMF/credentials/media leak to telemetry; reveal lacks reason/step-up; recording is server-accessible or consentless.</w:t>
      </w:r>
    </w:p>
    <w:p>
      <w:pPr>
        <w:numPr>
          <w:ilvl w:val="0"/>
          <w:numId w:val="41"/>
        </w:numPr>
      </w:pPr>
      <w:r>
        <w:rPr>
          <w:rFonts w:ascii="Calibri" w:hAnsi="Calibri"/>
        </w:rPr>
        <w:t>Critical/high exploitable security issue, migration/rollback uncertainty, failed restore, or unavailable monitoring/kill control remains.</w:t>
      </w:r>
    </w:p>
    <w:p>
      <w:pPr>
        <w:pStyle w:val="Heading1"/>
      </w:pPr>
      <w:r>
        <w:t>10. Effort, schedule policy, and risks</w:t>
      </w:r>
    </w:p>
    <w:p>
      <w:pPr>
        <w:pStyle w:val="Heading2"/>
      </w:pPr>
      <w:r>
        <w:t>10.1 Planning range</w:t>
      </w:r>
    </w:p>
    <w:tbl>
      <w:tblPr>
        <w:tblStyle w:val="TableGrid"/>
        <w:tblW w:type="dxa" w:w="9360"/>
        <w:jc w:val="left"/>
        <w:tblLayout w:type="fixed"/>
        <w:tblLook w:firstColumn="1" w:firstRow="1" w:lastColumn="0" w:lastRow="0" w:noHBand="0" w:noVBand="1" w:val="04A0"/>
        <w:tblInd w:w="120" w:type="dxa"/>
        <w:tblBorders>
          <w:top w:val="single" w:sz="4" w:color="C7CDD6"/>
          <w:left w:val="single" w:sz="4" w:color="C7CDD6"/>
          <w:bottom w:val="single" w:sz="4" w:color="C7CDD6"/>
          <w:right w:val="single" w:sz="4" w:color="C7CDD6"/>
          <w:insideH w:val="single" w:sz="4" w:color="C7CDD6"/>
          <w:insideV w:val="single" w:sz="4" w:color="C7CDD6"/>
        </w:tblBorders>
      </w:tblPr>
      <w:tblGrid>
        <w:gridCol w:w="2300"/>
        <w:gridCol w:w="2600"/>
        <w:gridCol w:w="4460"/>
      </w:tblGrid>
      <w:tr>
        <w:trPr>
          <w:trHeight w:hRule="atLeast"/>
          <w:tblHeader w:val="true"/>
        </w:trPr>
        <w:tc>
          <w:tcPr>
            <w:tcW w:type="dxa" w:w="23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Milestone</w:t>
            </w:r>
          </w:p>
        </w:tc>
        <w:tc>
          <w:tcPr>
            <w:tcW w:type="dxa" w:w="26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Likely elapsed range</w:t>
            </w:r>
          </w:p>
        </w:tc>
        <w:tc>
          <w:tcPr>
            <w:tcW w:type="dxa" w:w="446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Dominant uncertainty</w:t>
            </w:r>
          </w:p>
        </w:tc>
      </w:tr>
      <w:tr>
        <w:trPr>
          <w:trHeight w:hRule="atLeast"/>
        </w:trPr>
        <w:tc>
          <w:tcPr>
            <w:tcW w:type="dxa" w:w="23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I0 controlled skeleton</w:t>
            </w:r>
          </w:p>
        </w:tc>
        <w:tc>
          <w:tcPr>
            <w:tcW w:type="dxa" w:w="26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1–2 weeks</w:t>
            </w:r>
          </w:p>
        </w:tc>
        <w:tc>
          <w:tcPr>
            <w:tcW w:type="dxa" w:w="44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Toolchain, contract generation, deployment account choices.</w:t>
            </w:r>
          </w:p>
        </w:tc>
      </w:tr>
      <w:tr>
        <w:trPr>
          <w:trHeight w:hRule="atLeast"/>
        </w:trPr>
        <w:tc>
          <w:tcPr>
            <w:tcW w:type="dxa" w:w="23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I1 thin simulator call</w:t>
            </w:r>
          </w:p>
        </w:tc>
        <w:tc>
          <w:tcPr>
            <w:tcW w:type="dxa" w:w="26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3–5 additional weeks</w:t>
            </w:r>
          </w:p>
        </w:tc>
        <w:tc>
          <w:tcPr>
            <w:tcW w:type="dxa" w:w="44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Android WebRTC/Asterisk audio and authoritative event mapping.</w:t>
            </w:r>
          </w:p>
        </w:tc>
      </w:tr>
      <w:tr>
        <w:trPr>
          <w:trHeight w:hRule="atLeast"/>
        </w:trPr>
        <w:tc>
          <w:tcPr>
            <w:tcW w:type="dxa" w:w="23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I2–I3 complete simulator MVP</w:t>
            </w:r>
          </w:p>
        </w:tc>
        <w:tc>
          <w:tcPr>
            <w:tcW w:type="dxa" w:w="26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5–8 additional weeks</w:t>
            </w:r>
          </w:p>
        </w:tc>
        <w:tc>
          <w:tcPr>
            <w:tcW w:type="dxa" w:w="44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Device diversity, race/fault semantics, admin breadth.</w:t>
            </w:r>
          </w:p>
        </w:tc>
      </w:tr>
      <w:tr>
        <w:trPr>
          <w:trHeight w:hRule="atLeast"/>
        </w:trPr>
        <w:tc>
          <w:tcPr>
            <w:tcW w:type="dxa" w:w="23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I4 locked real-adapter parity</w:t>
            </w:r>
          </w:p>
        </w:tc>
        <w:tc>
          <w:tcPr>
            <w:tcW w:type="dxa" w:w="26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3–6 additional weeks</w:t>
            </w:r>
          </w:p>
        </w:tc>
        <w:tc>
          <w:tcPr>
            <w:tcW w:type="dxa" w:w="44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SIP gateway compliance and optional vendor telemetry fixture quality.</w:t>
            </w:r>
          </w:p>
        </w:tc>
      </w:tr>
      <w:tr>
        <w:trPr>
          <w:trHeight w:hRule="atLeast"/>
        </w:trPr>
        <w:tc>
          <w:tcPr>
            <w:tcW w:type="dxa" w:w="23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I5–I6 hardening and B6</w:t>
            </w:r>
          </w:p>
        </w:tc>
        <w:tc>
          <w:tcPr>
            <w:tcW w:type="dxa" w:w="26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3–5 additional weeks</w:t>
            </w:r>
          </w:p>
        </w:tc>
        <w:tc>
          <w:tcPr>
            <w:tcW w:type="dxa" w:w="44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Fault/security remediation, 12-device QA, evidence closure.</w:t>
            </w:r>
          </w:p>
        </w:tc>
      </w:tr>
      <w:tr>
        <w:trPr>
          <w:trHeight w:hRule="atLeast"/>
        </w:trPr>
        <w:tc>
          <w:tcPr>
            <w:tcW w:type="dxa" w:w="23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Overall B6 candidate</w:t>
            </w:r>
          </w:p>
        </w:tc>
        <w:tc>
          <w:tcPr>
            <w:tcW w:type="dxa" w:w="26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15–24 elapsed weeks with disciplined parallel waves</w:t>
            </w:r>
          </w:p>
        </w:tc>
        <w:tc>
          <w:tcPr>
            <w:tcW w:type="dxa" w:w="44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Spikes and validation dominate; more agents cannot remove serialized risk.</w:t>
            </w:r>
          </w:p>
        </w:tc>
      </w:tr>
    </w:tbl>
    <w:p>
      <w:r>
        <w:rPr>
          <w:rFonts w:ascii="Calibri" w:hAnsi="Calibri"/>
          <w:i w:val="0"/>
          <w:color w:val="000000"/>
        </w:rPr>
        <w:t>The first thin end-to-end result arrives far earlier than B6. Calendar estimates are recalculated after TEL-01 and the exact vendor-protocol investigation; they must not be converted into fixed promises before those spikes close.</w:t>
      </w:r>
    </w:p>
    <w:p>
      <w:pPr>
        <w:pStyle w:val="Heading2"/>
      </w:pPr>
      <w:r>
        <w:t>10.2 Risk register</w:t>
      </w:r>
    </w:p>
    <w:tbl>
      <w:tblPr>
        <w:tblStyle w:val="TableGrid"/>
        <w:tblW w:type="dxa" w:w="9360"/>
        <w:jc w:val="left"/>
        <w:tblLayout w:type="fixed"/>
        <w:tblLook w:firstColumn="1" w:firstRow="1" w:lastColumn="0" w:lastRow="0" w:noHBand="0" w:noVBand="1" w:val="04A0"/>
        <w:tblInd w:w="120" w:type="dxa"/>
        <w:tblBorders>
          <w:top w:val="single" w:sz="4" w:color="C7CDD6"/>
          <w:left w:val="single" w:sz="4" w:color="C7CDD6"/>
          <w:bottom w:val="single" w:sz="4" w:color="C7CDD6"/>
          <w:right w:val="single" w:sz="4" w:color="C7CDD6"/>
          <w:insideH w:val="single" w:sz="4" w:color="C7CDD6"/>
          <w:insideV w:val="single" w:sz="4" w:color="C7CDD6"/>
        </w:tblBorders>
      </w:tblPr>
      <w:tblGrid>
        <w:gridCol w:w="2300"/>
        <w:gridCol w:w="3000"/>
        <w:gridCol w:w="4060"/>
      </w:tblGrid>
      <w:tr>
        <w:trPr>
          <w:trHeight w:hRule="atLeast"/>
          <w:tblHeader w:val="true"/>
        </w:trPr>
        <w:tc>
          <w:tcPr>
            <w:tcW w:type="dxa" w:w="23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5"/>
              </w:rPr>
              <w:t>Risk</w:t>
            </w:r>
          </w:p>
        </w:tc>
        <w:tc>
          <w:tcPr>
            <w:tcW w:type="dxa" w:w="30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5"/>
              </w:rPr>
              <w:t>Early signal</w:t>
            </w:r>
          </w:p>
        </w:tc>
        <w:tc>
          <w:tcPr>
            <w:tcW w:type="dxa" w:w="406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5"/>
              </w:rPr>
              <w:t>Containment / decision</w:t>
            </w:r>
          </w:p>
        </w:tc>
      </w:tr>
      <w:tr>
        <w:trPr>
          <w:trHeight w:hRule="atLeast"/>
        </w:trPr>
        <w:tc>
          <w:tcPr>
            <w:tcW w:type="dxa" w:w="23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Android WebRTC/audio instability</w:t>
            </w:r>
          </w:p>
        </w:tc>
        <w:tc>
          <w:tcPr>
            <w:tcW w:type="dxa" w:w="30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TEL-01 fails routes/background/reconnect on target devices.</w:t>
            </w:r>
          </w:p>
        </w:tc>
        <w:tc>
          <w:tcPr>
            <w:tcW w:type="dxa" w:w="406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Spike first; choose maintained library or narrow OS matrix with owner decision.</w:t>
            </w:r>
          </w:p>
        </w:tc>
      </w:tr>
      <w:tr>
        <w:trPr>
          <w:trHeight w:hRule="atLeast"/>
        </w:trPr>
        <w:tc>
          <w:tcPr>
            <w:tcW w:type="dxa" w:w="23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Vendor adapter protocol mismatch</w:t>
            </w:r>
          </w:p>
        </w:tc>
        <w:tc>
          <w:tcPr>
            <w:tcW w:type="dxa" w:w="30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No credible emulator/API/CDR/remote-hangup semantics.</w:t>
            </w:r>
          </w:p>
        </w:tc>
        <w:tc>
          <w:tcPr>
            <w:tcW w:type="dxa" w:w="406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Keep driver transport isolated; require vendor evidence; exact hardware moves to L1.</w:t>
            </w:r>
          </w:p>
        </w:tc>
      </w:tr>
      <w:tr>
        <w:trPr>
          <w:trHeight w:hRule="atLeast"/>
        </w:trPr>
        <w:tc>
          <w:tcPr>
            <w:tcW w:type="dxa" w:w="23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Carrier activation misunderstanding</w:t>
            </w:r>
          </w:p>
        </w:tc>
        <w:tc>
          <w:tcPr>
            <w:tcW w:type="dxa" w:w="30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Implementation status interpreted as authorization.</w:t>
            </w:r>
          </w:p>
        </w:tc>
        <w:tc>
          <w:tcPr>
            <w:tcW w:type="dxa" w:w="406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Separate lifecycle labels and persistent demo banner; no ordinary Enable.</w:t>
            </w:r>
          </w:p>
        </w:tc>
      </w:tr>
      <w:tr>
        <w:trPr>
          <w:trHeight w:hRule="atLeast"/>
        </w:trPr>
        <w:tc>
          <w:tcPr>
            <w:tcW w:type="dxa" w:w="23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Semantic drift under parallelism</w:t>
            </w:r>
          </w:p>
        </w:tc>
        <w:tc>
          <w:tcPr>
            <w:tcW w:type="dxa" w:w="30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Duplicate enums/parsers/ledger calculations appear.</w:t>
            </w:r>
          </w:p>
        </w:tc>
        <w:tc>
          <w:tcPr>
            <w:tcW w:type="dxa" w:w="406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Generated contracts, one writer, change records, alpha review.</w:t>
            </w:r>
          </w:p>
        </w:tc>
      </w:tr>
      <w:tr>
        <w:trPr>
          <w:trHeight w:hRule="atLeast"/>
        </w:trPr>
        <w:tc>
          <w:tcPr>
            <w:tcW w:type="dxa" w:w="23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Privacy leakage in telemetry</w:t>
            </w:r>
          </w:p>
        </w:tc>
        <w:tc>
          <w:tcPr>
            <w:tcW w:type="dxa" w:w="30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Destination/DTMF appears in fixture or log scan.</w:t>
            </w:r>
          </w:p>
        </w:tc>
        <w:tc>
          <w:tcPr>
            <w:tcW w:type="dxa" w:w="406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Redaction at source, canary secrets/PII, fail CI, rotate affected material.</w:t>
            </w:r>
          </w:p>
        </w:tc>
      </w:tr>
      <w:tr>
        <w:trPr>
          <w:trHeight w:hRule="atLeast"/>
        </w:trPr>
        <w:tc>
          <w:tcPr>
            <w:tcW w:type="dxa" w:w="23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One-line uncertainty/orphan call</w:t>
            </w:r>
          </w:p>
        </w:tc>
        <w:tc>
          <w:tcPr>
            <w:tcW w:type="dxa" w:w="30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Timeout/restart marks line free without evidence.</w:t>
            </w:r>
          </w:p>
        </w:tc>
        <w:tc>
          <w:tcPr>
            <w:tcW w:type="dxa" w:w="406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Quarantine, PBX/local caps, query not retry, reconciliation gate.</w:t>
            </w:r>
          </w:p>
        </w:tc>
      </w:tr>
      <w:tr>
        <w:trPr>
          <w:trHeight w:hRule="atLeast"/>
        </w:trPr>
        <w:tc>
          <w:tcPr>
            <w:tcW w:type="dxa" w:w="23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Device diversity</w:t>
            </w:r>
          </w:p>
        </w:tc>
        <w:tc>
          <w:tcPr>
            <w:tcW w:type="dxa" w:w="30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Vendor battery/audio behavior breaks foreground call.</w:t>
            </w:r>
          </w:p>
        </w:tc>
        <w:tc>
          <w:tcPr>
            <w:tcW w:type="dxa" w:w="406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Collect 12-device matrix early; automated/manual device evidence.</w:t>
            </w:r>
          </w:p>
        </w:tc>
      </w:tr>
      <w:tr>
        <w:trPr>
          <w:trHeight w:hRule="atLeast"/>
        </w:trPr>
        <w:tc>
          <w:tcPr>
            <w:tcW w:type="dxa" w:w="23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Cloud/home outage</w:t>
            </w:r>
          </w:p>
        </w:tc>
        <w:tc>
          <w:tcPr>
            <w:tcW w:type="dxa" w:w="30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New call or kill path depends on one unavailable component.</w:t>
            </w:r>
          </w:p>
        </w:tc>
        <w:tc>
          <w:tcPr>
            <w:tcW w:type="dxa" w:w="406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Fail admission; PBX/local bounded termination; truthful status and physical runbook.</w:t>
            </w:r>
          </w:p>
        </w:tc>
      </w:tr>
      <w:tr>
        <w:trPr>
          <w:trHeight w:hRule="atLeast"/>
        </w:trPr>
        <w:tc>
          <w:tcPr>
            <w:tcW w:type="dxa" w:w="23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Scope/config explosion</w:t>
            </w:r>
          </w:p>
        </w:tc>
        <w:tc>
          <w:tcPr>
            <w:tcW w:type="dxa" w:w="30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Every request becomes a new setting or branch.</w:t>
            </w:r>
          </w:p>
        </w:tc>
        <w:tc>
          <w:tcPr>
            <w:tcW w:type="dxa" w:w="406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Typed catalogue, immutable constraints, owner/change approval, defer non-MVP.</w:t>
            </w:r>
          </w:p>
        </w:tc>
      </w:tr>
    </w:tbl>
    <w:p>
      <w:pPr>
        <w:pStyle w:val="Heading2"/>
      </w:pPr>
      <w:r>
        <w:t>10.3 Decision checkpoints</w:t>
      </w:r>
    </w:p>
    <w:p>
      <w:pPr>
        <w:numPr>
          <w:ilvl w:val="0"/>
          <w:numId w:val="41"/>
        </w:numPr>
      </w:pPr>
      <w:r>
        <w:rPr>
          <w:rFonts w:ascii="Calibri" w:hAnsi="Calibri"/>
        </w:rPr>
        <w:t>After TEL-01: confirm Android WebRTC packaging, minimum OS, audio integration, and Asterisk event approach.</w:t>
      </w:r>
    </w:p>
    <w:p>
      <w:pPr>
        <w:numPr>
          <w:ilvl w:val="0"/>
          <w:numId w:val="41"/>
        </w:numPr>
      </w:pPr>
      <w:r>
        <w:rPr>
          <w:rFonts w:ascii="Calibri" w:hAnsi="Calibri"/>
        </w:rPr>
        <w:t>After vendor-protocol investigation: confirm fake transport, exact adapter boundaries, and whether locked real-driver completion is feasible without hardware.</w:t>
      </w:r>
    </w:p>
    <w:p>
      <w:pPr>
        <w:numPr>
          <w:ilvl w:val="0"/>
          <w:numId w:val="41"/>
        </w:numPr>
      </w:pPr>
      <w:r>
        <w:rPr>
          <w:rFonts w:ascii="Calibri" w:hAnsi="Calibri"/>
        </w:rPr>
        <w:t>After I1: validate user/admin semantic comprehension before multiplying screens.</w:t>
      </w:r>
    </w:p>
    <w:p>
      <w:pPr>
        <w:numPr>
          <w:ilvl w:val="0"/>
          <w:numId w:val="41"/>
        </w:numPr>
      </w:pPr>
      <w:r>
        <w:rPr>
          <w:rFonts w:ascii="Calibri" w:hAnsi="Calibri"/>
        </w:rPr>
        <w:t>After B4: decide whether recording skeleton remains compiled-out or feature-gated disabled.</w:t>
      </w:r>
    </w:p>
    <w:p>
      <w:pPr>
        <w:numPr>
          <w:ilvl w:val="0"/>
          <w:numId w:val="41"/>
        </w:numPr>
      </w:pPr>
      <w:r>
        <w:rPr>
          <w:rFonts w:ascii="Calibri" w:hAnsi="Calibri"/>
        </w:rPr>
        <w:t>Before B6: confirm staging cloud/provider, monthly budget, device matrix, support operator, and acceptance participants.</w:t>
      </w:r>
    </w:p>
    <w:p>
      <w:pPr>
        <w:pStyle w:val="Heading1"/>
      </w:pPr>
      <w:r>
        <w:t>11. Initial execution queue</w:t>
      </w:r>
    </w:p>
    <w:tbl>
      <w:tblPr>
        <w:tblW w:type="dxa" w:w="9360"/>
        <w:jc w:val="left"/>
        <w:tblLayout w:type="fixed"/>
        <w:tblLook w:firstColumn="1" w:firstRow="1" w:lastColumn="0" w:lastRow="0" w:noHBand="0" w:noVBand="1" w:val="04A0"/>
        <w:tblInd w:w="120" w:type="dxa"/>
        <w:tblBorders>
          <w:top w:val="single" w:sz="4" w:color="C7CDD6"/>
          <w:left w:val="single" w:sz="4" w:color="C7CDD6"/>
          <w:bottom w:val="single" w:sz="4" w:color="C7CDD6"/>
          <w:right w:val="single" w:sz="4" w:color="C7CDD6"/>
          <w:insideH w:val="single" w:sz="4" w:color="C7CDD6"/>
          <w:insideV w:val="single" w:sz="4" w:color="C7CDD6"/>
        </w:tblBorders>
      </w:tblPr>
      <w:tblGrid>
        <w:gridCol w:w="9360"/>
      </w:tblGrid>
      <w:tr>
        <w:trPr>
          <w:trHeight w:hRule="atLeast"/>
        </w:trPr>
        <w:tc>
          <w:tcPr>
            <w:tcW w:type="dxa" w:w="9360"/>
            <w:shd w:fill="EAF5EF"/>
            <w:tcMar>
              <w:top w:w="80" w:type="dxa"/>
              <w:bottom w:w="80" w:type="dxa"/>
              <w:start w:w="120" w:type="dxa"/>
              <w:end w:w="120" w:type="dxa"/>
            </w:tcMar>
            <w:vAlign w:val="center"/>
          </w:tcPr>
          <w:p>
            <w:pPr>
              <w:keepNext w:val="0"/>
              <w:spacing w:before="0" w:after="40" w:line="276" w:lineRule="auto"/>
            </w:pPr>
            <w:r>
              <w:rPr>
                <w:rFonts w:ascii="Calibri" w:hAnsi="Calibri"/>
                <w:b/>
                <w:color w:val="1F5D42"/>
                <w:sz w:val="21"/>
              </w:rPr>
              <w:t>First implementation wave</w:t>
            </w:r>
          </w:p>
          <w:p>
            <w:pPr>
              <w:keepNext w:val="0"/>
              <w:spacing w:before="0" w:after="0" w:line="276" w:lineRule="auto"/>
            </w:pPr>
            <w:r>
              <w:rPr>
                <w:rFonts w:ascii="Calibri" w:hAnsi="Calibri"/>
                <w:color w:val="000000"/>
                <w:sz w:val="19"/>
              </w:rPr>
              <w:t>Start only FND-01, FND-02, FND-05 discovery, and TEL-01 test-harness preparation. Do not begin feature UI, database domain implementation, PBX routing, or real-driver transport until the semantic catalogue and contract ownership are approved.</w:t>
            </w:r>
          </w:p>
        </w:tc>
      </w:tr>
    </w:tbl>
    <w:tbl>
      <w:tblPr>
        <w:tblStyle w:val="TableGrid"/>
        <w:tblW w:type="dxa" w:w="9360"/>
        <w:jc w:val="left"/>
        <w:tblLayout w:type="fixed"/>
        <w:tblLook w:firstColumn="1" w:firstRow="1" w:lastColumn="0" w:lastRow="0" w:noHBand="0" w:noVBand="1" w:val="04A0"/>
        <w:tblInd w:w="120" w:type="dxa"/>
        <w:tblBorders>
          <w:top w:val="single" w:sz="4" w:color="C7CDD6"/>
          <w:left w:val="single" w:sz="4" w:color="C7CDD6"/>
          <w:bottom w:val="single" w:sz="4" w:color="C7CDD6"/>
          <w:right w:val="single" w:sz="4" w:color="C7CDD6"/>
          <w:insideH w:val="single" w:sz="4" w:color="C7CDD6"/>
          <w:insideV w:val="single" w:sz="4" w:color="C7CDD6"/>
        </w:tblBorders>
      </w:tblPr>
      <w:tblGrid>
        <w:gridCol w:w="700"/>
        <w:gridCol w:w="3200"/>
        <w:gridCol w:w="1800"/>
        <w:gridCol w:w="1800"/>
        <w:gridCol w:w="1860"/>
      </w:tblGrid>
      <w:tr>
        <w:trPr>
          <w:trHeight w:hRule="atLeast"/>
          <w:tblHeader w:val="true"/>
        </w:trPr>
        <w:tc>
          <w:tcPr>
            <w:tcW w:type="dxa" w:w="7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5"/>
              </w:rPr>
              <w:t>Order</w:t>
            </w:r>
          </w:p>
        </w:tc>
        <w:tc>
          <w:tcPr>
            <w:tcW w:type="dxa" w:w="32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5"/>
              </w:rPr>
              <w:t>Task</w:t>
            </w:r>
          </w:p>
        </w:tc>
        <w:tc>
          <w:tcPr>
            <w:tcW w:type="dxa" w:w="18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5"/>
              </w:rPr>
              <w:t>Owner</w:t>
            </w:r>
          </w:p>
        </w:tc>
        <w:tc>
          <w:tcPr>
            <w:tcW w:type="dxa" w:w="18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5"/>
              </w:rPr>
              <w:t>Precondition</w:t>
            </w:r>
          </w:p>
        </w:tc>
        <w:tc>
          <w:tcPr>
            <w:tcW w:type="dxa" w:w="186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5"/>
              </w:rPr>
              <w:t>Exit evidence</w:t>
            </w:r>
          </w:p>
        </w:tc>
      </w:tr>
      <w:tr>
        <w:trPr>
          <w:trHeight w:hRule="atLeast"/>
        </w:trPr>
        <w:tc>
          <w:tcPr>
            <w:tcW w:type="dxa" w:w="7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1</w:t>
            </w:r>
          </w:p>
        </w:tc>
        <w:tc>
          <w:tcPr>
            <w:tcW w:type="dxa" w:w="32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Approve this plan and alpha memo; freeze B1/B2 source versions.</w:t>
            </w:r>
          </w:p>
        </w:tc>
        <w:tc>
          <w:tcPr>
            <w:tcW w:type="dxa" w:w="18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Owner / primary / alpha</w:t>
            </w:r>
          </w:p>
        </w:tc>
        <w:tc>
          <w:tcPr>
            <w:tcW w:type="dxa" w:w="18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PRD v0.3 + design v0.2</w:t>
            </w:r>
          </w:p>
        </w:tc>
        <w:tc>
          <w:tcPr>
            <w:tcW w:type="dxa" w:w="186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Signed build-start decision</w:t>
            </w:r>
          </w:p>
        </w:tc>
      </w:tr>
      <w:tr>
        <w:trPr>
          <w:trHeight w:hRule="atLeast"/>
        </w:trPr>
        <w:tc>
          <w:tcPr>
            <w:tcW w:type="dxa" w:w="7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2</w:t>
            </w:r>
          </w:p>
        </w:tc>
        <w:tc>
          <w:tcPr>
            <w:tcW w:type="dxa" w:w="32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Create repository skeleton, ownership, decision/evidence templates.</w:t>
            </w:r>
          </w:p>
        </w:tc>
        <w:tc>
          <w:tcPr>
            <w:tcW w:type="dxa" w:w="18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Platform agent</w:t>
            </w:r>
          </w:p>
        </w:tc>
        <w:tc>
          <w:tcPr>
            <w:tcW w:type="dxa" w:w="18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Plan approved</w:t>
            </w:r>
          </w:p>
        </w:tc>
        <w:tc>
          <w:tcPr>
            <w:tcW w:type="dxa" w:w="186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Clean reproducible bootstrap</w:t>
            </w:r>
          </w:p>
        </w:tc>
      </w:tr>
      <w:tr>
        <w:trPr>
          <w:trHeight w:hRule="atLeast"/>
        </w:trPr>
        <w:tc>
          <w:tcPr>
            <w:tcW w:type="dxa" w:w="7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3</w:t>
            </w:r>
          </w:p>
        </w:tc>
        <w:tc>
          <w:tcPr>
            <w:tcW w:type="dxa" w:w="32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Publish semantic catalogue and ADR shells.</w:t>
            </w:r>
          </w:p>
        </w:tc>
        <w:tc>
          <w:tcPr>
            <w:tcW w:type="dxa" w:w="18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Primary / contract agent; alpha reviews</w:t>
            </w:r>
          </w:p>
        </w:tc>
        <w:tc>
          <w:tcPr>
            <w:tcW w:type="dxa" w:w="18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Repository skeleton</w:t>
            </w:r>
          </w:p>
        </w:tc>
        <w:tc>
          <w:tcPr>
            <w:tcW w:type="dxa" w:w="186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B2 review record</w:t>
            </w:r>
          </w:p>
        </w:tc>
      </w:tr>
      <w:tr>
        <w:trPr>
          <w:trHeight w:hRule="atLeast"/>
        </w:trPr>
        <w:tc>
          <w:tcPr>
            <w:tcW w:type="dxa" w:w="7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4</w:t>
            </w:r>
          </w:p>
        </w:tc>
        <w:tc>
          <w:tcPr>
            <w:tcW w:type="dxa" w:w="32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Publish v1 API/event/adapter schemas and generators.</w:t>
            </w:r>
          </w:p>
        </w:tc>
        <w:tc>
          <w:tcPr>
            <w:tcW w:type="dxa" w:w="18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Contract agent</w:t>
            </w:r>
          </w:p>
        </w:tc>
        <w:tc>
          <w:tcPr>
            <w:tcW w:type="dxa" w:w="18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Semantic catalogue</w:t>
            </w:r>
          </w:p>
        </w:tc>
        <w:tc>
          <w:tcPr>
            <w:tcW w:type="dxa" w:w="186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Compatibility/golden-fixture suite</w:t>
            </w:r>
          </w:p>
        </w:tc>
      </w:tr>
      <w:tr>
        <w:trPr>
          <w:trHeight w:hRule="atLeast"/>
        </w:trPr>
        <w:tc>
          <w:tcPr>
            <w:tcW w:type="dxa" w:w="7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5</w:t>
            </w:r>
          </w:p>
        </w:tc>
        <w:tc>
          <w:tcPr>
            <w:tcW w:type="dxa" w:w="32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Create locked local/CI topology and egress-deny proof.</w:t>
            </w:r>
          </w:p>
        </w:tc>
        <w:tc>
          <w:tcPr>
            <w:tcW w:type="dxa" w:w="18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Platform agent</w:t>
            </w:r>
          </w:p>
        </w:tc>
        <w:tc>
          <w:tcPr>
            <w:tcW w:type="dxa" w:w="18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Repository + contract envelope</w:t>
            </w:r>
          </w:p>
        </w:tc>
        <w:tc>
          <w:tcPr>
            <w:tcW w:type="dxa" w:w="186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No carrier-reachable path</w:t>
            </w:r>
          </w:p>
        </w:tc>
      </w:tr>
      <w:tr>
        <w:trPr>
          <w:trHeight w:hRule="atLeast"/>
        </w:trPr>
        <w:tc>
          <w:tcPr>
            <w:tcW w:type="dxa" w:w="7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6</w:t>
            </w:r>
          </w:p>
        </w:tc>
        <w:tc>
          <w:tcPr>
            <w:tcW w:type="dxa" w:w="32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Run Android–Asterisk spike against simulator only.</w:t>
            </w:r>
          </w:p>
        </w:tc>
        <w:tc>
          <w:tcPr>
            <w:tcW w:type="dxa" w:w="18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Media + Android agents</w:t>
            </w:r>
          </w:p>
        </w:tc>
        <w:tc>
          <w:tcPr>
            <w:tcW w:type="dxa" w:w="18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Locked topology</w:t>
            </w:r>
          </w:p>
        </w:tc>
        <w:tc>
          <w:tcPr>
            <w:tcW w:type="dxa" w:w="186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TEL-01 decision evidence</w:t>
            </w:r>
          </w:p>
        </w:tc>
      </w:tr>
      <w:tr>
        <w:trPr>
          <w:trHeight w:hRule="atLeast"/>
        </w:trPr>
        <w:tc>
          <w:tcPr>
            <w:tcW w:type="dxa" w:w="7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7</w:t>
            </w:r>
          </w:p>
        </w:tc>
        <w:tc>
          <w:tcPr>
            <w:tcW w:type="dxa" w:w="32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Plan I1 thin vertical slice from spike outcome.</w:t>
            </w:r>
          </w:p>
        </w:tc>
        <w:tc>
          <w:tcPr>
            <w:tcW w:type="dxa" w:w="18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Primary + alpha</w:t>
            </w:r>
          </w:p>
        </w:tc>
        <w:tc>
          <w:tcPr>
            <w:tcW w:type="dxa" w:w="18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B3 spike/contract evidence</w:t>
            </w:r>
          </w:p>
        </w:tc>
        <w:tc>
          <w:tcPr>
            <w:tcW w:type="dxa" w:w="186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Bounded package briefs</w:t>
            </w:r>
          </w:p>
        </w:tc>
      </w:tr>
    </w:tbl>
    <w:p>
      <w:pPr>
        <w:pStyle w:val="Heading2"/>
      </w:pPr>
      <w:r>
        <w:t>11.1 Owner decisions needed before code wave</w:t>
      </w:r>
    </w:p>
    <w:p>
      <w:pPr>
        <w:numPr>
          <w:ilvl w:val="0"/>
          <w:numId w:val="41"/>
        </w:numPr>
      </w:pPr>
      <w:r>
        <w:rPr>
          <w:rFonts w:ascii="Calibri" w:hAnsi="Calibri"/>
        </w:rPr>
        <w:t>Approve the implementation plan and alpha veto model.</w:t>
      </w:r>
    </w:p>
    <w:p>
      <w:pPr>
        <w:numPr>
          <w:ilvl w:val="0"/>
          <w:numId w:val="41"/>
        </w:numPr>
      </w:pPr>
      <w:r>
        <w:rPr>
          <w:rFonts w:ascii="Calibri" w:hAnsi="Calibri"/>
        </w:rPr>
        <w:t>Authorize creation of the source repository and CI environment; select Git hosting if not already available.</w:t>
      </w:r>
    </w:p>
    <w:p>
      <w:pPr>
        <w:numPr>
          <w:ilvl w:val="0"/>
          <w:numId w:val="41"/>
        </w:numPr>
      </w:pPr>
      <w:r>
        <w:rPr>
          <w:rFonts w:ascii="Calibri" w:hAnsi="Calibri"/>
        </w:rPr>
        <w:t>Provide the 12-device inventory when requested during TEL-01/AND planning.</w:t>
      </w:r>
    </w:p>
    <w:p>
      <w:pPr>
        <w:numPr>
          <w:ilvl w:val="0"/>
          <w:numId w:val="41"/>
        </w:numPr>
      </w:pPr>
      <w:r>
        <w:rPr>
          <w:rFonts w:ascii="Calibri" w:hAnsi="Calibri"/>
        </w:rPr>
        <w:t>Select a provisional monthly cloud-spend ceiling before staging; provider choice may wait for regional measurements.</w:t>
      </w:r>
    </w:p>
    <w:p>
      <w:pPr>
        <w:numPr>
          <w:ilvl w:val="0"/>
          <w:numId w:val="41"/>
        </w:numPr>
      </w:pPr>
      <w:r>
        <w:rPr>
          <w:rFonts w:ascii="Calibri" w:hAnsi="Calibri"/>
        </w:rPr>
        <w:t>Confirm whether Tigrinya strings are translated during I5 or only the localization-ready sample ships at B6.</w:t>
      </w:r>
    </w:p>
    <w:p>
      <w:pPr>
        <w:pStyle w:val="Heading1"/>
      </w:pPr>
      <w:r>
        <w:t>12. Traceability index</w:t>
      </w:r>
    </w:p>
    <w:tbl>
      <w:tblPr>
        <w:tblStyle w:val="TableGrid"/>
        <w:tblW w:type="dxa" w:w="9360"/>
        <w:jc w:val="left"/>
        <w:tblLayout w:type="fixed"/>
        <w:tblLook w:firstColumn="1" w:firstRow="1" w:lastColumn="0" w:lastRow="0" w:noHBand="0" w:noVBand="1" w:val="04A0"/>
        <w:tblInd w:w="120" w:type="dxa"/>
        <w:tblBorders>
          <w:top w:val="single" w:sz="4" w:color="C7CDD6"/>
          <w:left w:val="single" w:sz="4" w:color="C7CDD6"/>
          <w:bottom w:val="single" w:sz="4" w:color="C7CDD6"/>
          <w:right w:val="single" w:sz="4" w:color="C7CDD6"/>
          <w:insideH w:val="single" w:sz="4" w:color="C7CDD6"/>
          <w:insideV w:val="single" w:sz="4" w:color="C7CDD6"/>
        </w:tblBorders>
      </w:tblPr>
      <w:tblGrid>
        <w:gridCol w:w="2200"/>
        <w:gridCol w:w="4700"/>
        <w:gridCol w:w="2460"/>
      </w:tblGrid>
      <w:tr>
        <w:trPr>
          <w:trHeight w:hRule="atLeast"/>
          <w:tblHeader w:val="true"/>
        </w:trPr>
        <w:tc>
          <w:tcPr>
            <w:tcW w:type="dxa" w:w="22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Requirement area</w:t>
            </w:r>
          </w:p>
        </w:tc>
        <w:tc>
          <w:tcPr>
            <w:tcW w:type="dxa" w:w="47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Primary packages</w:t>
            </w:r>
          </w:p>
        </w:tc>
        <w:tc>
          <w:tcPr>
            <w:tcW w:type="dxa" w:w="246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Gate evidence</w:t>
            </w:r>
          </w:p>
        </w:tc>
      </w:tr>
      <w:tr>
        <w:trPr>
          <w:trHeight w:hRule="atLeast"/>
        </w:trPr>
        <w:tc>
          <w:tcPr>
            <w:tcW w:type="dxa" w:w="2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IAM-01…09</w:t>
            </w:r>
          </w:p>
        </w:tc>
        <w:tc>
          <w:tcPr>
            <w:tcW w:type="dxa" w:w="47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BE-02, AND-02, WEB-01/03, QAO-02</w:t>
            </w:r>
          </w:p>
        </w:tc>
        <w:tc>
          <w:tcPr>
            <w:tcW w:type="dxa" w:w="24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B2, B4, B5</w:t>
            </w:r>
          </w:p>
        </w:tc>
      </w:tr>
      <w:tr>
        <w:trPr>
          <w:trHeight w:hRule="atLeast"/>
        </w:trPr>
        <w:tc>
          <w:tcPr>
            <w:tcW w:type="dxa" w:w="2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MIN-01…09</w:t>
            </w:r>
          </w:p>
        </w:tc>
        <w:tc>
          <w:tcPr>
            <w:tcW w:type="dxa" w:w="47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BE-05, AND-06, WEB-02, QAO-01/03</w:t>
            </w:r>
          </w:p>
        </w:tc>
        <w:tc>
          <w:tcPr>
            <w:tcW w:type="dxa" w:w="24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B2, B5</w:t>
            </w:r>
          </w:p>
        </w:tc>
      </w:tr>
      <w:tr>
        <w:trPr>
          <w:trHeight w:hRule="atLeast"/>
        </w:trPr>
        <w:tc>
          <w:tcPr>
            <w:tcW w:type="dxa" w:w="2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CALL-01…11</w:t>
            </w:r>
          </w:p>
        </w:tc>
        <w:tc>
          <w:tcPr>
            <w:tcW w:type="dxa" w:w="47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BE-01/06/07, TEL-01…05, AND-03…05</w:t>
            </w:r>
          </w:p>
        </w:tc>
        <w:tc>
          <w:tcPr>
            <w:tcW w:type="dxa" w:w="24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B2, B3, B5</w:t>
            </w:r>
          </w:p>
        </w:tc>
      </w:tr>
      <w:tr>
        <w:trPr>
          <w:trHeight w:hRule="atLeast"/>
        </w:trPr>
        <w:tc>
          <w:tcPr>
            <w:tcW w:type="dxa" w:w="2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QUE-01…06</w:t>
            </w:r>
          </w:p>
        </w:tc>
        <w:tc>
          <w:tcPr>
            <w:tcW w:type="dxa" w:w="47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BE-08, AND-06, QAO-03</w:t>
            </w:r>
          </w:p>
        </w:tc>
        <w:tc>
          <w:tcPr>
            <w:tcW w:type="dxa" w:w="24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B5</w:t>
            </w:r>
          </w:p>
        </w:tc>
      </w:tr>
      <w:tr>
        <w:trPr>
          <w:trHeight w:hRule="atLeast"/>
        </w:trPr>
        <w:tc>
          <w:tcPr>
            <w:tcW w:type="dxa" w:w="2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DATA-01…09</w:t>
            </w:r>
          </w:p>
        </w:tc>
        <w:tc>
          <w:tcPr>
            <w:tcW w:type="dxa" w:w="47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BE-04/09, AND-03/06, WEB-04, QAO-04</w:t>
            </w:r>
          </w:p>
        </w:tc>
        <w:tc>
          <w:tcPr>
            <w:tcW w:type="dxa" w:w="24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B4, B5</w:t>
            </w:r>
          </w:p>
        </w:tc>
      </w:tr>
      <w:tr>
        <w:trPr>
          <w:trHeight w:hRule="atLeast"/>
        </w:trPr>
        <w:tc>
          <w:tcPr>
            <w:tcW w:type="dxa" w:w="2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REC-01…07</w:t>
            </w:r>
          </w:p>
        </w:tc>
        <w:tc>
          <w:tcPr>
            <w:tcW w:type="dxa" w:w="47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AND-07, QAO-02/04</w:t>
            </w:r>
          </w:p>
        </w:tc>
        <w:tc>
          <w:tcPr>
            <w:tcW w:type="dxa" w:w="24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B4, B5</w:t>
            </w:r>
          </w:p>
        </w:tc>
      </w:tr>
      <w:tr>
        <w:trPr>
          <w:trHeight w:hRule="atLeast"/>
        </w:trPr>
        <w:tc>
          <w:tcPr>
            <w:tcW w:type="dxa" w:w="2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ADM-01…08</w:t>
            </w:r>
          </w:p>
        </w:tc>
        <w:tc>
          <w:tcPr>
            <w:tcW w:type="dxa" w:w="47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WEB-01…06, BE-02/03/04, TEL-07</w:t>
            </w:r>
          </w:p>
        </w:tc>
        <w:tc>
          <w:tcPr>
            <w:tcW w:type="dxa" w:w="24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B4, B5</w:t>
            </w:r>
          </w:p>
        </w:tc>
      </w:tr>
      <w:tr>
        <w:trPr>
          <w:trHeight w:hRule="atLeast"/>
        </w:trPr>
        <w:tc>
          <w:tcPr>
            <w:tcW w:type="dxa" w:w="2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CAR-01…08</w:t>
            </w:r>
          </w:p>
        </w:tc>
        <w:tc>
          <w:tcPr>
            <w:tcW w:type="dxa" w:w="47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TEL-04…08, BE-03/07, WEB-05, QAO-02/03/05</w:t>
            </w:r>
          </w:p>
        </w:tc>
        <w:tc>
          <w:tcPr>
            <w:tcW w:type="dxa" w:w="24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B3, B4, B5, B6</w:t>
            </w:r>
          </w:p>
        </w:tc>
      </w:tr>
      <w:tr>
        <w:trPr>
          <w:trHeight w:hRule="atLeast"/>
        </w:trPr>
        <w:tc>
          <w:tcPr>
            <w:tcW w:type="dxa" w:w="2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L10N/A11Y</w:t>
            </w:r>
          </w:p>
        </w:tc>
        <w:tc>
          <w:tcPr>
            <w:tcW w:type="dxa" w:w="47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AND-01/08, WEB-01, QAO-05</w:t>
            </w:r>
          </w:p>
        </w:tc>
        <w:tc>
          <w:tcPr>
            <w:tcW w:type="dxa" w:w="24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B5, B6</w:t>
            </w:r>
          </w:p>
        </w:tc>
      </w:tr>
      <w:tr>
        <w:trPr>
          <w:trHeight w:hRule="atLeast"/>
        </w:trPr>
        <w:tc>
          <w:tcPr>
            <w:tcW w:type="dxa" w:w="2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NFR/security/operations</w:t>
            </w:r>
          </w:p>
        </w:tc>
        <w:tc>
          <w:tcPr>
            <w:tcW w:type="dxa" w:w="47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FND-04…06, QAO-01…05</w:t>
            </w:r>
          </w:p>
        </w:tc>
        <w:tc>
          <w:tcPr>
            <w:tcW w:type="dxa" w:w="24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B3…B6</w:t>
            </w:r>
          </w:p>
        </w:tc>
      </w:tr>
    </w:tbl>
    <w:p>
      <w:pPr>
        <w:pStyle w:val="Heading2"/>
      </w:pPr>
      <w:r>
        <w:t>12.1 Authoritative planning artifacts</w:t>
      </w:r>
    </w:p>
    <w:p>
      <w:pPr>
        <w:numPr>
          <w:ilvl w:val="0"/>
          <w:numId w:val="41"/>
        </w:numPr>
      </w:pPr>
      <w:r>
        <w:rPr>
          <w:rFonts w:ascii="Calibri" w:hAnsi="Calibri"/>
        </w:rPr>
        <w:t>PRD v0.3: product scope, behavior, semantics, non-functional requirements, CAR-01…08, build/live gates.</w:t>
      </w:r>
    </w:p>
    <w:p>
      <w:pPr>
        <w:numPr>
          <w:ilvl w:val="0"/>
          <w:numId w:val="41"/>
        </w:numPr>
      </w:pPr>
      <w:r>
        <w:rPr>
          <w:rFonts w:ascii="Calibri" w:hAnsi="Calibri"/>
        </w:rPr>
        <w:t>Product Design v0.2: architecture, trust boundaries, selected standards-based real integration surface, Android/admin UX, security, operations, alpha vetoes.</w:t>
      </w:r>
    </w:p>
    <w:p>
      <w:pPr>
        <w:numPr>
          <w:ilvl w:val="0"/>
          <w:numId w:val="41"/>
        </w:numPr>
      </w:pPr>
      <w:r>
        <w:rPr>
          <w:rFonts w:ascii="Calibri" w:hAnsi="Calibri"/>
        </w:rPr>
        <w:t>Implementation Plan v0.1: work packages, sequencing, ownership, evidence, agent protocol, build-start veto.</w:t>
      </w:r>
    </w:p>
    <w:p>
      <w:pPr>
        <w:numPr>
          <w:ilvl w:val="0"/>
          <w:numId w:val="41"/>
        </w:numPr>
      </w:pPr>
      <w:r>
        <w:rPr>
          <w:rFonts w:ascii="Calibri" w:hAnsi="Calibri"/>
        </w:rPr>
        <w:t>Future repository artifacts: ADRs, threat model, API/event/adapter schemas, test/evidence ledger, runbooks, release records.</w:t>
      </w:r>
    </w:p>
    <w:p>
      <w:pPr>
        <w:pStyle w:val="Heading1"/>
      </w:pPr>
      <w:r>
        <w:t>13. Technical references</w:t>
      </w:r>
    </w:p>
    <w:tbl>
      <w:tblPr>
        <w:tblW w:type="dxa" w:w="9360"/>
        <w:jc w:val="left"/>
        <w:tblLayout w:type="fixed"/>
        <w:tblLook w:firstColumn="1" w:firstRow="1" w:lastColumn="0" w:lastRow="0" w:noHBand="0" w:noVBand="1" w:val="04A0"/>
        <w:tblInd w:w="120" w:type="dxa"/>
        <w:tblBorders>
          <w:top w:val="single" w:sz="4" w:color="C7CDD6"/>
          <w:left w:val="single" w:sz="4" w:color="C7CDD6"/>
          <w:bottom w:val="single" w:sz="4" w:color="C7CDD6"/>
          <w:right w:val="single" w:sz="4" w:color="C7CDD6"/>
          <w:insideH w:val="single" w:sz="4" w:color="C7CDD6"/>
          <w:insideV w:val="single" w:sz="4" w:color="C7CDD6"/>
        </w:tblBorders>
      </w:tblPr>
      <w:tblGrid>
        <w:gridCol w:w="700"/>
        <w:gridCol w:w="5700"/>
        <w:gridCol w:w="2960"/>
      </w:tblGrid>
      <w:tr>
        <w:trPr>
          <w:trHeight w:hRule="atLeast"/>
          <w:tblHeader w:val="true"/>
        </w:trPr>
        <w:tc>
          <w:tcPr>
            <w:tcW w:type="dxa" w:w="7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7"/>
              </w:rPr>
              <w:t>Ref</w:t>
            </w:r>
          </w:p>
        </w:tc>
        <w:tc>
          <w:tcPr>
            <w:tcW w:type="dxa" w:w="57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7"/>
              </w:rPr>
              <w:t>Source</w:t>
            </w:r>
          </w:p>
        </w:tc>
        <w:tc>
          <w:tcPr>
            <w:tcW w:type="dxa" w:w="296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7"/>
              </w:rPr>
              <w:t>Link</w:t>
            </w:r>
          </w:p>
        </w:tc>
      </w:tr>
      <w:tr>
        <w:trPr>
          <w:trHeight w:hRule="atLeast"/>
        </w:trPr>
        <w:tc>
          <w:tcPr>
            <w:tcW w:type="dxa" w:w="700"/>
            <w:tcMar>
              <w:top w:w="80" w:type="dxa"/>
              <w:bottom w:w="80" w:type="dxa"/>
              <w:start w:w="120" w:type="dxa"/>
              <w:end w:w="120" w:type="dxa"/>
            </w:tcMar>
            <w:vAlign w:val="center"/>
          </w:tcPr>
          <w:p>
            <w:pPr>
              <w:keepNext w:val="0"/>
              <w:spacing w:before="0" w:after="0" w:line="252" w:lineRule="auto"/>
            </w:pPr>
            <w:r/>
            <w:r>
              <w:rPr>
                <w:rFonts w:ascii="Calibri" w:hAnsi="Calibri"/>
                <w:sz w:val="16"/>
              </w:rPr>
              <w:t>R1</w:t>
            </w:r>
          </w:p>
        </w:tc>
        <w:tc>
          <w:tcPr>
            <w:tcW w:type="dxa" w:w="5700"/>
            <w:tcMar>
              <w:top w:w="80" w:type="dxa"/>
              <w:bottom w:w="80" w:type="dxa"/>
              <w:start w:w="120" w:type="dxa"/>
              <w:end w:w="120" w:type="dxa"/>
            </w:tcMar>
            <w:vAlign w:val="center"/>
          </w:tcPr>
          <w:p>
            <w:pPr>
              <w:keepNext w:val="0"/>
              <w:spacing w:before="0" w:after="0" w:line="252" w:lineRule="auto"/>
            </w:pPr>
            <w:r/>
            <w:r>
              <w:rPr>
                <w:rFonts w:ascii="Calibri" w:hAnsi="Calibri"/>
                <w:sz w:val="16"/>
              </w:rPr>
              <w:t>Asterisk, Configuring Asterisk for WebRTC Clients</w:t>
            </w:r>
          </w:p>
        </w:tc>
        <w:tc>
          <w:tcPr>
            <w:tcW w:type="dxa" w:w="2960"/>
            <w:tcMar>
              <w:top w:w="80" w:type="dxa"/>
              <w:bottom w:w="80" w:type="dxa"/>
              <w:start w:w="120" w:type="dxa"/>
              <w:end w:w="120" w:type="dxa"/>
            </w:tcMar>
            <w:vAlign w:val="center"/>
          </w:tcPr>
          <w:p>
            <w:pPr>
              <w:keepNext w:val="0"/>
              <w:spacing w:before="0" w:after="0" w:line="252" w:lineRule="auto"/>
            </w:pPr>
            <w:r/>
            <w:hyperlink r:id="rId13">
              <w:r>
                <w:rPr>
                  <w:rStyle w:val="Hyperlink"/>
                  <w:color w:val="2E74B5"/>
                  <w:u w:val="single"/>
                </w:rPr>
                <w:t>Open source</w:t>
              </w:r>
            </w:hyperlink>
          </w:p>
        </w:tc>
      </w:tr>
      <w:tr>
        <w:trPr>
          <w:trHeight w:hRule="atLeast"/>
        </w:trPr>
        <w:tc>
          <w:tcPr>
            <w:tcW w:type="dxa" w:w="700"/>
            <w:tcMar>
              <w:top w:w="80" w:type="dxa"/>
              <w:bottom w:w="80" w:type="dxa"/>
              <w:start w:w="120" w:type="dxa"/>
              <w:end w:w="120" w:type="dxa"/>
            </w:tcMar>
            <w:vAlign w:val="center"/>
          </w:tcPr>
          <w:p>
            <w:pPr>
              <w:keepNext w:val="0"/>
              <w:spacing w:before="0" w:after="0" w:line="252" w:lineRule="auto"/>
            </w:pPr>
            <w:r/>
            <w:r>
              <w:rPr>
                <w:rFonts w:ascii="Calibri" w:hAnsi="Calibri"/>
                <w:sz w:val="16"/>
              </w:rPr>
              <w:t>R2</w:t>
            </w:r>
          </w:p>
        </w:tc>
        <w:tc>
          <w:tcPr>
            <w:tcW w:type="dxa" w:w="5700"/>
            <w:tcMar>
              <w:top w:w="80" w:type="dxa"/>
              <w:bottom w:w="80" w:type="dxa"/>
              <w:start w:w="120" w:type="dxa"/>
              <w:end w:w="120" w:type="dxa"/>
            </w:tcMar>
            <w:vAlign w:val="center"/>
          </w:tcPr>
          <w:p>
            <w:pPr>
              <w:keepNext w:val="0"/>
              <w:spacing w:before="0" w:after="0" w:line="252" w:lineRule="auto"/>
            </w:pPr>
            <w:r/>
            <w:r>
              <w:rPr>
                <w:rFonts w:ascii="Calibri" w:hAnsi="Calibri"/>
                <w:sz w:val="16"/>
              </w:rPr>
              <w:t>Ktor, WebSockets in Ktor Server</w:t>
            </w:r>
          </w:p>
        </w:tc>
        <w:tc>
          <w:tcPr>
            <w:tcW w:type="dxa" w:w="2960"/>
            <w:tcMar>
              <w:top w:w="80" w:type="dxa"/>
              <w:bottom w:w="80" w:type="dxa"/>
              <w:start w:w="120" w:type="dxa"/>
              <w:end w:w="120" w:type="dxa"/>
            </w:tcMar>
            <w:vAlign w:val="center"/>
          </w:tcPr>
          <w:p>
            <w:pPr>
              <w:keepNext w:val="0"/>
              <w:spacing w:before="0" w:after="0" w:line="252" w:lineRule="auto"/>
            </w:pPr>
            <w:r/>
            <w:hyperlink r:id="rId14">
              <w:r>
                <w:rPr>
                  <w:rStyle w:val="Hyperlink"/>
                  <w:color w:val="2E74B5"/>
                  <w:u w:val="single"/>
                </w:rPr>
                <w:t>Open source</w:t>
              </w:r>
            </w:hyperlink>
          </w:p>
        </w:tc>
      </w:tr>
      <w:tr>
        <w:trPr>
          <w:trHeight w:hRule="atLeast"/>
        </w:trPr>
        <w:tc>
          <w:tcPr>
            <w:tcW w:type="dxa" w:w="700"/>
            <w:tcMar>
              <w:top w:w="80" w:type="dxa"/>
              <w:bottom w:w="80" w:type="dxa"/>
              <w:start w:w="120" w:type="dxa"/>
              <w:end w:w="120" w:type="dxa"/>
            </w:tcMar>
            <w:vAlign w:val="center"/>
          </w:tcPr>
          <w:p>
            <w:pPr>
              <w:keepNext w:val="0"/>
              <w:spacing w:before="0" w:after="0" w:line="252" w:lineRule="auto"/>
            </w:pPr>
            <w:r/>
            <w:r>
              <w:rPr>
                <w:rFonts w:ascii="Calibri" w:hAnsi="Calibri"/>
                <w:sz w:val="16"/>
              </w:rPr>
              <w:t>R3</w:t>
            </w:r>
          </w:p>
        </w:tc>
        <w:tc>
          <w:tcPr>
            <w:tcW w:type="dxa" w:w="5700"/>
            <w:tcMar>
              <w:top w:w="80" w:type="dxa"/>
              <w:bottom w:w="80" w:type="dxa"/>
              <w:start w:w="120" w:type="dxa"/>
              <w:end w:w="120" w:type="dxa"/>
            </w:tcMar>
            <w:vAlign w:val="center"/>
          </w:tcPr>
          <w:p>
            <w:pPr>
              <w:keepNext w:val="0"/>
              <w:spacing w:before="0" w:after="0" w:line="252" w:lineRule="auto"/>
            </w:pPr>
            <w:r/>
            <w:r>
              <w:rPr>
                <w:rFonts w:ascii="Calibri" w:hAnsi="Calibri"/>
                <w:sz w:val="16"/>
              </w:rPr>
              <w:t>WebRTC project overview</w:t>
            </w:r>
          </w:p>
        </w:tc>
        <w:tc>
          <w:tcPr>
            <w:tcW w:type="dxa" w:w="2960"/>
            <w:tcMar>
              <w:top w:w="80" w:type="dxa"/>
              <w:bottom w:w="80" w:type="dxa"/>
              <w:start w:w="120" w:type="dxa"/>
              <w:end w:w="120" w:type="dxa"/>
            </w:tcMar>
            <w:vAlign w:val="center"/>
          </w:tcPr>
          <w:p>
            <w:pPr>
              <w:keepNext w:val="0"/>
              <w:spacing w:before="0" w:after="0" w:line="252" w:lineRule="auto"/>
            </w:pPr>
            <w:r/>
            <w:hyperlink r:id="rId15">
              <w:r>
                <w:rPr>
                  <w:rStyle w:val="Hyperlink"/>
                  <w:color w:val="2E74B5"/>
                  <w:u w:val="single"/>
                </w:rPr>
                <w:t>Open source</w:t>
              </w:r>
            </w:hyperlink>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40" w:lineRule="auto"/>
      <w:jc w:val="right"/>
    </w:pPr>
    <w:r/>
    <w:r>
      <w:rPr>
        <w:rFonts w:ascii="Calibri" w:hAnsi="Calibri"/>
        <w:color w:val="5F6B7A"/>
        <w:sz w:val="17"/>
      </w:rPr>
      <w:t xml:space="preserve">Build Plan  •  Page </w:t>
    </w:r>
    <w:fldChar w:fldCharType="begin"/>
    <w:instrText xml:space="preserve"> PAGE </w:instrText>
    <w:fldChar w:fldCharType="separate"/>
    <w:fldChar w:fldCharType="end"/>
    <w:r>
      <w:rPr>
        <w:rFonts w:ascii="Calibri" w:hAnsi="Calibri"/>
        <w:color w:val="5F6B7A"/>
        <w:sz w:val="17"/>
      </w:rPr>
      <w:t xml:space="preserve"> of </w:t>
    </w:r>
    <w:fldChar w:fldCharType="begin"/>
    <w:instrText xml:space="preserve"> NUMPAGES </w:instrText>
    <w:fldChar w:fldCharType="separate"/>
    <w:fldChar w:fldCharType="end"/>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jc w:val="left"/>
    </w:pPr>
    <w:r/>
    <w:r>
      <w:rPr>
        <w:rFonts w:ascii="Calibri" w:hAnsi="Calibri"/>
        <w:b/>
        <w:color w:val="5F6B7A"/>
        <w:sz w:val="17"/>
      </w:rPr>
      <w:t>erFam Implementation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41">
    <w:multiLevelType w:val="singleLevel"/>
    <w:lvl w:ilvl="0">
      <w:start w:val="1"/>
      <w:numFmt w:val="bullet"/>
      <w:lvlText w:val="•"/>
      <w:suff w:val="tab"/>
      <w:pPr>
        <w:tabs>
          <w:tab w:val="num" w:pos="540"/>
        </w:tabs>
        <w:ind w:left="540" w:hanging="270"/>
        <w:spacing w:after="80" w:line="300" w:lineRule="auto"/>
      </w:pPr>
      <w:rPr>
        <w:rFonts w:ascii="Calibri" w:hAnsi="Calibri"/>
      </w:rPr>
    </w:lvl>
  </w:abstractNum>
  <w:num w:numId="41">
    <w:abstractNumId w:val="41"/>
  </w:num>
  <w:abstractNum w:abstractNumId="42">
    <w:multiLevelType w:val="singleLevel"/>
    <w:lvl w:ilvl="0">
      <w:start w:val="1"/>
      <w:numFmt w:val="decimal"/>
      <w:lvlText w:val="%1."/>
      <w:suff w:val="tab"/>
      <w:pPr>
        <w:tabs>
          <w:tab w:val="num" w:pos="540"/>
        </w:tabs>
        <w:ind w:left="540" w:hanging="270"/>
        <w:spacing w:after="80" w:line="300" w:lineRule="auto"/>
      </w:pPr>
      <w:rPr>
        <w:rFonts w:ascii="Calibri" w:hAnsi="Calibri"/>
      </w:rPr>
    </w:lvl>
  </w:abstractNum>
  <w:num w:numId="42">
    <w:abstractNumId w:val="42"/>
  </w:num>
  <w:num w:numId="43">
    <w:abstractNumId w:val="42"/>
    <w:lvlOverride w:ilvl="0">
      <w:startOverride w:val="1"/>
    </w:lvlOverride>
  </w:num>
  <w:num w:numId="44">
    <w:abstractNumId w:val="42"/>
    <w:lvlOverride w:ilvl="0">
      <w:startOverride w:val="1"/>
    </w:lvlOverride>
  </w:num>
  <w:num w:numId="45">
    <w:abstractNumId w:val="42"/>
    <w:lvlOverride w:ilvl="0">
      <w:startOverride w:val="1"/>
    </w:lvlOverride>
  </w:num>
  <w:num w:numId="46">
    <w:abstractNumId w:val="42"/>
    <w:lvlOverride w:ilvl="0">
      <w:startOverride w:val="1"/>
    </w:lvlOverride>
  </w:num>
  <w:num w:numId="47">
    <w:abstractNumId w:val="4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docs.asterisk.org/Configuration/WebRTC/Configuring-Asterisk-for-WebRTC-Clients/" TargetMode="External"/><Relationship Id="rId14" Type="http://schemas.openxmlformats.org/officeDocument/2006/relationships/hyperlink" Target="https://ktor.io/docs/server-websockets.html" TargetMode="External"/><Relationship Id="rId15" Type="http://schemas.openxmlformats.org/officeDocument/2006/relationships/hyperlink" Target="https://webrtc.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erFam Implementation Plan v0.1</dc:title>
  <dc:subject>Contract-first agent work packages, sequencing, tests, and build gates</dc:subject>
  <dc:creator>Codex with specialist implementation planning and Sol 5.6 alpha oversight</dc:creator>
  <cp:keywords>erFam, implementation, Android, Ktor, Asterisk, adapter, testing, agents</cp:keywords>
  <dc:description>Build track B1–B6 only; real adapter implemented but live carrier activation remains locked.</dc:description>
  <cp:lastModifiedBy/>
  <cp:revision>1</cp:revision>
  <dcterms:created xsi:type="dcterms:W3CDTF">2013-12-23T23:15:00Z</dcterms:created>
  <dcterms:modified xsi:type="dcterms:W3CDTF">2013-12-23T23:15:00Z</dcterms:modified>
  <cp:category/>
</cp:coreProperties>
</file>