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ExoPhoenix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Spécification Finale v6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SSR Layout v6 · TCB Layout v6 · Validation architecturale complète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D35400"/>
          <w:sz w:val="22"/>
          <w:szCs w:val="22"/>
        </w:rPr>
        <w:t xml:space="preserve">Dernière ronde de corrections avant implémentation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Mars 2026 · ExoOS Project</w:t>
      </w:r>
    </w:p>
    <w:p>
      <w:pPr>
        <w:pBdr>
          <w:bottom w:val="single" w:color="BDC3C7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0. Analyse froide — Ce que les 4 IA ont dit</w:t>
      </w:r>
    </w:p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Verdicts AXE 1 (corrections v4→v5) : VALIDE unanime sur tous les 9 points pour les 4 IA. Zéro désaccord architectural. Les rondes précédentes ont convergé.</w:t>
      </w:r>
    </w:p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Deux divergences RÉELLES sur les structures de données (AXE 2 et 3) 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Consensus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SSR overflow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PMC slots à +0x0100 débordent dans canal commande dès N_cores &gt; 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KIMI (critique) + Z-AI (critique) + Grok4 (mineur) = 3/4 identifient le problème. SSR doit être recalculé avec MAX_CORES fixe.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TCB FS/GS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FS.base + GS.base (MSRs TLS) absents du TCB → context switch incomplet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KIMI identifie : +16 bytes pour FS/GS base dépasse 192. Solution : TCB 256 bytes (4 cache lines). Grok4/Gemini/Z-AI valident 192 sans FS/GS — divergence réelle à trancher.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Align(64)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Chaque slot per-core SSR doit être aligné sur 64 bytes pour éviter false sharing SMP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Gemini + Z-AI. Correction d'optimisation, non bloquante pour unicore mais obligatoire SMP.</w:t>
            </w:r>
          </w:p>
        </w:tc>
      </w:tr>
    </w:tbl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Ce document produit les layouts définitifs SSR v6 et TCB v6 qui résolvent ces trois points. Ce sont les seules corrections nécessaires avant implémentation.</w:t>
      </w:r>
    </w:p>
    <w:p>
      <w:pPr>
        <w:pBdr>
          <w:bottom w:val="single" w:color="BDC3C7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1. Arbitrage des divergences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SSR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SSR layout : débordement PMC slots sur systèmes &gt; 12 cores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BLOCAGE RÉEL</w:t>
            </w:r>
          </w:p>
        </w:tc>
      </w:tr>
    </w:tbl>
    <w:p>
      <w:pPr>
        <w:spacing w:before="50" w:after="5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Calcul du débordement (KIMI, Z-AI)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Le layout v5 place les PMC snapshot slots à +0x0100. Chaque core nécessite 8 registres × 8 bytes = 64 bytes. Le canal commande est à +0x0400. Espace disponible : 0x0400 - 0x0100 = 0x0300 = 768 bytes. Maximum cores avant débordement : 768 / 64 = 12 cores. Sur tout système SMP standard (≥ 16 cores), le layout v5 est invalide.</w:t>
      </w:r>
    </w:p>
    <w:p>
      <w:pPr>
        <w:spacing w:before="50" w:after="5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Arbitrage — Raison de la divergence Grok4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Grok4 dit 'mineur, corrigible'. Grok4 pense en termes unicore. Sur unicore N_cores=1 le débordement n'existe pas. Mais ExoPhoenix doit être conçu pour SMP dès le layout initial — changer les offsets post-code est destructeur.</w:t>
      </w:r>
    </w:p>
    <w:p>
      <w:pPr>
        <w:spacing w:before="50" w:after="5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Décision : MAX_CORES = 64 + offsets recalculés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MAX_CORES = 64 est une constante compiletime. Couvre toutes les plateformes serveur cibles sans gaspiller de mémoire.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Chaque slot per-core (Freeze ACK, PMC) est aligné sur 64 bytes (1 cache line) pour éviter false sharing entre cores en SMP. Recommandation unanime Gemini + Z-AI.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Le SSR total reste ≤ 64 Ko (1 page de 16 × 4 Ko), accessible à A et B, déclarée dans e820.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TCB : FS.base + GS.base manquants — arbitrage 192 vs 256 bytes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TRANCHER</w:t>
            </w:r>
          </w:p>
        </w:tc>
      </w:tr>
    </w:tbl>
    <w:p>
      <w:pPr>
        <w:spacing w:before="50" w:after="5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Pourquoi FS.base et GS.base sont obligatoires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FS.base (MSR 0xC0000100) : utilisé pour le TLS (Thread Local Storage) en userspace x86_64. Chaque thread utilisateur a sa propre valeur FS.base. Elle doit être sauvegardée et restaurée à chaque context switch.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GS.base (MSR 0xC0000101) : utilisé pour les données per-CPU en Ring 0 (SWAPGS). La valeur kernel vs userspace doit être trackée par thread.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Sans FS/GS base dans le TCB, le context switch écrit des valeurs incorrectes dans les MSRs → corruption TLS pour tout programme userspace multi-threadé.</w:t>
      </w:r>
    </w:p>
    <w:p>
      <w:pPr>
        <w:spacing w:before="50" w:after="5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Arbitrage — KIMI a raison, 256 bytes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Avec FS.base (8) + GS.base (8) ajoutés : metadata = 8+8+8+8+8+8+4+4 = 64 bytes. cpu_ctx inline = 18 GPR × 8 = 144 + rflags/rip/cs/ss/cr2 = 40 bytes = total 184, padding 8 = 192 bytes. Grand total = 64 + 192 = 256 bytes.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Grok4 / Gemini / Z-AI ont validé 192 bytes SANS FS/GS base. Ce n'est pas un désaccord architectural — ils n'ont pas inclus ces champs dans leur calcul. La présence de FS/GS est obligatoire pour un microkernel supportant du userspace réel.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192 bytes avec FS/GS = impossible sans réduire cpu_ctx (ce qui complique le context switch et brise l'invariant d'exhaustivité). 256 bytes (4 cache lines) est la seule solution propre.</w:t>
      </w:r>
    </w:p>
    <w:p>
      <w:pPr>
        <w:spacing w:before="50" w:after="5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Note sur la décision locked '128 bytes'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D6D7E"/>
          <w:sz w:val="21"/>
          <w:szCs w:val="21"/>
        </w:rPr>
        <w:t xml:space="preserve">La décision locked TCB=128 bytes d'ExoOS était une aspiration d'optimisation. Elle était irréaliste pour un kernel x86_64 complet avec cpu_ctx inline. La révision à 256 bytes est documentée dans le journal des décisions avec justification : 'FS/GS base obligatoires pour TLS userspace + cpu_ctx inline pour performance context switch'.</w:t>
      </w:r>
    </w:p>
    <w:p>
      <w:pPr>
        <w:pBdr>
          <w:bottom w:val="single" w:color="BDC3C7" w:sz="4" w:space="1"/>
        </w:pBdr>
        <w:spacing w:before="160" w:after="160"/>
      </w:pPr>
    </w:p>
    <w:p>
      <w:pPr>
        <w:spacing w:before="50" w:after="5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2. SSR Layout v6 — Spécification finale à figer</w:t>
      </w:r>
    </w:p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Adresse physique : 0x1000000. Taille totale : 64 Ko (0x10000). MAX_CORES = 64. Alignement : chaque section sur 64 bytes (1 cache line). Déclarée dans e820 comme région réservée ExoPhoenix.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360"/>
        <w:gridCol w:w="5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 — Section et rôle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AtomicU64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HANDOFF CAS FLAG — états : 0=NORMAL, 1=FREEZE_REQ, 2=FREEZE_ACK_ALL, 3=B_ACTIVE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+0x0008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AtomicU64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LIVENESS NONCE — écrit par B (RDRAND), copié par A dans zone connue, vérifié B via PULL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+0x0010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AtomicU64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SEQLOCK COUNTER — protection lecture cohérente des champs critiques (pattern ktime_get)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+0x0018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40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[u8; 40]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Padding cache line 0 → section 0 occupe exactement 64 bytes (1 cache line)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+0x0040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64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struct align(64)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CANAL COMMANDE B→A — nonce liveness retour + flags commande + padding. Aligné 64 bytes, séparé des métriques 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+0x0080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64 × 64 = 4096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AtomicU64[64] align(64)/slot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FREEZE ACK PER-CORE — 1 AtomicU64 par core (8 bytes) paddé à 64 bytes pour isolation cache line SMP. Index = position dans table APIC IDs immuable R4. MAX_CORES=64.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+0x1080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64 × 64 = 4096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u64[8][64] align(64)/slot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PMC SNAPSHOT PER-CORE — 8 valeurs × 8 bytes = 64 bytes/core, paddé pour isolation. Contenu : EVTSEL0..3 + CTR0..3. Écrit lock-free par handler 0xF2. MAX_CORES=64.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+0x2080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~8K (arrondi 0x6000)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u8[] align(64)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Réservé — padding + extensions futures. Zéro initialisé.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+0x8000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16384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u8[] RO pour 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LOG AUDIT B — append-only, E3 depth-limited (≤1000 entrées). Read-only pour A via PML4 de A (B possède l'écriture).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+0xC000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16384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u8[]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MÉTRIQUES PUSH A→B — non-critique, rate-limited E5. Overflow silencieux accepté. Séparé physiquement du log 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65536 bytes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64 Ko exact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Aligné page 4 Ko. 1 région e820 réservée. Adresse physique fixe 0x1000000..0x1FFFF.</w:t>
            </w:r>
          </w:p>
        </w:tc>
      </w:tr>
    </w:tbl>
    <w:p>
      <w:pPr>
        <w:spacing w:before="50" w:after="5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Constantes SSR à définir dans ssr.rs (partagé A et B)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SSR_BASE:          PhysAddr = PhysAddr(0x1000000);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SSR_SIZE:          usize    = 0x10000;  // 64 Ko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MAX_CORES:         usize    = 64;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SSR_HANDOFF_FLAG:  usize    = 0x0000;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SSR_LIVENESS_NONCE:usize    = 0x0008;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SSR_SEQLOCK:       usize    = 0x0010;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SSR_CMD_B2A:       usize    = 0x0040;  // 64 bytes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SSR_FREEZE_ACK:    usize    = 0x0080;  // 64 bytes × MAX_CORES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SSR_PMC_SNAPSHOT:  usize    = 0x1080;  // 64 bytes × MAX_CORES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SSR_LOG_AUDIT:     usize    = 0x8000;  // 16 Ko, RO pour A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const SSR_METRICS_PUSH:  usize    = 0xC000;  // 16 Ko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Accès per-core (les deux kernels utilisent ces macros)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fn freeze_ack_offset(apic_id: usize) -&gt; usize {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SSR_FREEZE_ACK + apic_id * 64  // 1 AtomicU64 + 56 padding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fn pmc_snapshot_offset(apic_id: usize) -&gt; usize {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SSR_PMC_SNAPSHOT + apic_id * 64  // 8 × u64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IMPORTANT : ces constantes doivent être dans un crate partagé compilé identiquement par les deux kernels A et B. Toute divergence = désynchronisation silencieuse.</w:t>
      </w:r>
    </w:p>
    <w:p>
      <w:pPr>
        <w:pBdr>
          <w:bottom w:val="single" w:color="BDC3C7" w:sz="4" w:space="1"/>
        </w:pBdr>
        <w:spacing w:before="160" w:after="160"/>
      </w:pPr>
    </w:p>
    <w:p>
      <w:pPr>
        <w:spacing w:before="50" w:after="5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3. TCB Layout v6 — Spécification finale à figer</w:t>
      </w:r>
    </w:p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TCB révisé de 192 à 256 bytes (4 cache lines). Raison : FS.base + GS.base (MSRs TLS) obligatoires pour context switch correct en userspace x86_64. Journal des décisions mis à jour : révision justifiée.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0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 et 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── Cache Line 1 (bytes 0-63) : données chaudes scheduler ──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64 total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>Accès fréquent par B (runqueue walk) et par le scheduler de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capability_token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Token de capacité ExoOS du thread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kstack_ptr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[8]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Pointeur RSP Ring 0 (top of kernel stack)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[16]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Thread ID global 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sched_state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[24]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État scheduler : RUNNING / BLOCKED / ZOMBIE /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fs_base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[32]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MSR 0xC0000100 — FS.base du thread. Obligatoire pour TLS userspace (pthread, Rust std). Sauvegardé via rdmsr/wrmsr au context switch.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gs_base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[40]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MSR 0xC0000101 — GS.base du thread. Valeur userspace (kernel utilise SWAPGS). Sauvegardé au context switch.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pkrs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[48]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Protection Key Rights Supervisor (Intel PKS uniquement, conditionnel CPUID). Zéro sur AMD.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_padding_cl1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[52]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Padding pour aligner la cache line 1 à 64 bytes exactement.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── Cache Lines 2-4 (bytes 64-255) : cpu_ctx inline ──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192 total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>Sauvegardé/restauré uniquement lors d'un context switch effectif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rax..r15 (16 GPR)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[64]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128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16 registres généraux × 8 bytes. Sauvegardés par pusha équivalent dans switch_context.S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[192]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Instruction pointer — point de reprise du thread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[200]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Stack pointer userspace (distinct de kstack_ptr)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rflags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[208]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Flags CPU (EFLAGS étendu)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cs / 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[216]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Segment selectors (cs &lt;&lt; 32 | ss, compact)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[224]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Page fault linear address — utile pour gestion #PF dans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_padding_cpu_ctx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[232]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Padding pour aligner cpu_ctx à 192 bytes. Réservé pour extensions futures (x87 fpu tag, rbp snapshot…)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TCB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[0..255]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256 bytes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cache lines de 64 bytes. #[repr(C, align(64))]. Décision locked révisée : 256 bytes vs 128 initial.</w:t>
            </w:r>
          </w:p>
        </w:tc>
      </w:tr>
    </w:tbl>
    <w:p>
      <w:pPr>
        <w:spacing w:before="50" w:after="5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Structure Rust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#[repr(C, align(64))]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struct ThreadControlBlock {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Cache Line 1 — données chaudes scheduler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capability_token: u64,    // [0]  Token ExoOS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kstack_ptr:       u64,    // [8]  RSP Ring 0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tid:              u64,    // [16] Thread ID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sched_state:      u64,    // [24] Scheduler state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fs_base:          u64,    // [32] MSR FSBASE (TLS userspace)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gs_base:          u64,    // [40] MSR GSBASE (userspace value)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pkrs:             u32,    // [48] Intel PKS (0 sur AMD)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_pad1:                [u8;12],// [52] padding → 64 bytes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Cache Lines 2-4 — contexte CPU complet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cpu_ctx:          CpuContext, // [64] 192 bytes inline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#[repr(C)]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 struct CpuContext {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gpr: [u64; 16],   // [0]   rax,rbx,rcx,rdx,rsi,rdi,rbp,rsp,r8..r15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rip: u64,         // [128] return address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rsp_user: u64,    // [136] stack userspace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rflags: u64,      // [144] EFLAGS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cs_ss: u64,       // [152] cs&lt;&lt;32|ss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pub cr2: u64,         // [160] page fault addr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_pad: [u8; 24],       // [168] → total 192</w:t>
      </w:r>
    </w:p>
    <w:p>
      <w:pPr>
        <w:spacing w:before="28" w:after="28"/>
        <w:ind w:left="72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D6D7E"/>
          <w:sz w:val="21"/>
          <w:szCs w:val="21"/>
        </w:rPr>
        <w:t xml:space="preserve">static_assert: size_of::&lt;ThreadControlBlock&gt;() == 256. Ajouter dans tests/layout.rs.</w:t>
      </w:r>
    </w:p>
    <w:p>
      <w:pPr>
        <w:pBdr>
          <w:bottom w:val="single" w:color="BDC3C7" w:sz="4" w:space="1"/>
        </w:pBdr>
        <w:spacing w:before="160" w:after="160"/>
      </w:pPr>
    </w:p>
    <w:p>
      <w:pPr>
        <w:spacing w:before="50" w:after="5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4. Validation AXE 1 — Toutes corrections v4→v5 confirmées</w:t>
      </w:r>
    </w:p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Les 4 IA valident unanimement les 9 corrections v4→v5. Aucun désaccord architectural. Tableau de confirmation 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600"/>
        <w:gridCol w:w="600"/>
        <w:gridCol w:w="600"/>
        <w:gridCol w:w="6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Z-AI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KIMI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 v6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PMC reclassé heuristique faible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Bounds check 3 comparaisons 64-bit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Handlers 0xF1/0xF2 lock-free absolus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PT walker itératif + profondeur max 4 + max_steps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SSR layout — révisé en v6 (overflow corrigé)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LAYOUT v6 FIGÉ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TCB révisé — 256 bytes avec FS/GS base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LAYOUT v6 FIGÉ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V5-N1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Timeout drain IOMMU par device class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V5-N2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Verrouillage hot-plug CPU + hash MADT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V5-N3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FACS Wake Vector RO au Stage 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LOCKED</w:t>
            </w:r>
          </w:p>
        </w:tc>
      </w:tr>
    </w:tbl>
    <w:p>
      <w:pPr>
        <w:pBdr>
          <w:bottom w:val="single" w:color="BDC3C7" w:sz="4" w:space="1"/>
        </w:pBdr>
        <w:spacing w:before="160" w:after="160"/>
      </w:pPr>
    </w:p>
    <w:p>
      <w:pPr>
        <w:spacing w:before="50" w:after="5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5. Verdict global — ExoPhoenix v6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Verdict AXE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Grok4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PRÊT UNICORE SANS RÉSERVE — code unsafe immédiatement. PRÊT SMP après TLA+.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Gemini-3Pro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PRÊT UNICORE OUI IMMÉDIATEMENT. PRÊT SMP APRÈS TLA+. SSR align(64) requis avant SMP.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Z-AI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ARCHITECTURALEMENT COMPLET. PRÊT (GO) UNICORE. PRÊT SMP APRÈS TLA+.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KIMI-AI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PRÊT UNICORE OUI — avec SSR et TCB figés (résolus en v6). PRÊT SMP après TLA+.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CONSENSUS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PRÊT UNICORE — implémentation immédiate. PRÊT SMP — après preuve TLA+/Spin.</w:t>
            </w:r>
          </w:p>
        </w:tc>
      </w:tr>
    </w:tbl>
    <w:p>
      <w:pPr>
        <w:spacing w:before="100" w:after="10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Check-list finale avant première ligne de code unsafe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✓ FIGÉ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SSR layout v6 avec offsets exacts et MAX_CORES=64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Implémenter ssr.rs avec constantes définies en section 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✓ FIGÉ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TCB layout v6 : 256 bytes, 4 cache lines, FS/GS base inclus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Implémenter tcb.rs avec static_assert size==256.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ExoBoot v1.5 : B démarre Stage 0 avant 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Modifier ExoBoot pour SIPI vers B en premier, puis SIPI vers A après Stage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IDT : vecteurs 0xF1 et 0xF2 réservés ExoPhoenix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Documenter dans idt.rs. Aucun driver Ring 1 ne peut les revendiquer.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TLA+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Preuve formelle automate v5 (bloque SMP uniquement)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Peut tourner en parallèle de l'implémentation unicore.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Platform matrix : Intel VT-d vs AMD IOMMU, FLR support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Documenter avant tests hardware réels.</w:t>
            </w:r>
          </w:p>
        </w:tc>
      </w:tr>
    </w:tbl>
    <w:p>
      <w:pPr>
        <w:spacing w:before="100" w:after="10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Ordre d'implémentation recommandé (Grok4 + consensus)</w:t>
      </w:r>
    </w:p>
    <w:p>
      <w:pPr>
        <w:spacing w:before="50" w:after="5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Implémenter ssr.rs (constantes v6) + tcb.rs (layout 256 bytes + static_assert). 1 heure max.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Stage 0 ExoBoot : B démarre, configure IOMMU + PML4 RO + FACS RO + hash MADT + APIC table + handlers IDT 0xF1/0xF2 + pool R3. Boot solo de B validé sur QEMU unicore.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PULL walker F2 : itératif + bounds check N2 + quota #PF N3 + handler #PF isolé R2. Cycle d'introspection fonctionnel.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Handoff Phase 1 : IPI 0xF1 + drain IOMMU simultané (F3+R5) + ACK + swap CR3. Test QEMU unicore complet.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ExoForge : reconstruction A depuis image propre + Merkle + Ring 1 reset. Cycle complet NORMAL→THREAT→ISOLATION→CERTIF→RESTORE.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TLA+/Spin sur automate v5 en parallèle → validation formelle → passage SMP.</w:t>
      </w:r>
    </w:p>
    <w:p>
      <w:pPr>
        <w:spacing w:before="100" w:after="1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ExoPhoenix est architecturalement complet.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Les structures de données sont figées. L'implémentation peut commencer.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ExoOS Project · ExoPhoenix v6 · Mars 2026 · Spécification finale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2026-03-13T22:37:03.453Z</dcterms:created>
  <dcterms:modified xsi:type="dcterms:W3CDTF">2026-03-13T22:37:03.455Z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