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PCRN: A Pocket-derived Co-occurrence Residue Network for Analyzing Protein Pocket Dynamics</w:t>
      </w:r>
    </w:p>
    <w:p>
      <w:pPr>
        <w:jc w:val="center"/>
      </w:pPr>
      <w:r>
        <w:rPr>
          <w:sz w:val="22"/>
        </w:rPr>
        <w:t>Anonymous Author(s)</w:t>
        <w:br/>
      </w:r>
      <w:r>
        <w:rPr>
          <w:i/>
          <w:sz w:val="20"/>
        </w:rPr>
        <w:t>Affiliation</w:t>
        <w:br/>
      </w:r>
      <w:r>
        <w:rPr>
          <w:color w:val="404080"/>
          <w:sz w:val="20"/>
        </w:rPr>
        <w:t>email@institution.edu</w:t>
      </w:r>
    </w:p>
    <w:p/>
    <w:p>
      <w:pPr>
        <w:pStyle w:val="Heading1"/>
      </w:pPr>
      <w:r>
        <w:rPr>
          <w:b/>
          <w:sz w:val="28"/>
        </w:rPr>
        <w:t>Abstract</w:t>
      </w:r>
    </w:p>
    <w:p>
      <w:pPr>
        <w:jc w:val="both"/>
      </w:pPr>
      <w:r>
        <w:rPr>
          <w:b w:val="0"/>
          <w:i w:val="0"/>
          <w:sz w:val="22"/>
        </w:rPr>
        <w:t>Protein pockets are inherently dynamic structures whose stability, merging, splitting, and allosteric coupling underpin protein function and drug binding. Existing residue-level networks predominantly encode physical proximity or non-covalent interactions, capturing structural contacts but overlooking the functional co-membership of residues within transient pockets. We introduce PCRN (Pocket-derived Co-occurrence Residue Network), in which an edge between two residues is weighted by how frequently they co-occur as members of the same pocket across a conformational ensemble, with node weights reflecting per-residue pocket participation frequency. The construction is alignment-free, builds directly on per-frame pocket detections from fpocket, and shifts the network's semantic level from physical contact to functional co-membership. We show that PCRN exposes pocket-relevant features that contact-based networks miss: tightly co-occurring residue cliques mark stable pocket cores, low-weight bridges identify hinges where pockets merge or split, and community structure tracks the temporal organization of pocket regions. PCRN is computationally lightweight, complementary to existing residue interaction networks, and offers a generalizable lens for studying dynamic pocket behavior.</w:t>
      </w:r>
    </w:p>
    <w:p>
      <w:r>
        <w:rPr>
          <w:b/>
          <w:sz w:val="22"/>
        </w:rPr>
        <w:t xml:space="preserve">Keywords: </w:t>
      </w:r>
      <w:r>
        <w:rPr>
          <w:sz w:val="22"/>
        </w:rPr>
        <w:t>protein pocket dynamics; residue co-occurrence network; alignment-free analysis; molecular dynamics; visual analytics; allosteric communication.</w:t>
      </w:r>
    </w:p>
    <w:p>
      <w:pPr>
        <w:pStyle w:val="Heading1"/>
      </w:pPr>
      <w:r>
        <w:rPr>
          <w:b/>
          <w:sz w:val="28"/>
        </w:rPr>
        <w:t>1  Introduction</w:t>
      </w:r>
    </w:p>
    <w:p>
      <w:pPr>
        <w:pStyle w:val="Heading2"/>
      </w:pPr>
      <w:r>
        <w:rPr>
          <w:b/>
          <w:sz w:val="24"/>
        </w:rPr>
        <w:t>1.1  The Importance of Protein Pockets</w:t>
      </w:r>
    </w:p>
    <w:p>
      <w:pPr>
        <w:jc w:val="both"/>
      </w:pPr>
      <w:r>
        <w:rPr>
          <w:b w:val="0"/>
          <w:i w:val="0"/>
          <w:sz w:val="22"/>
        </w:rPr>
        <w:t>Protein pockets — also referred to as cavities or binding sites — are geometrically concave regions formed by specific residues on the protein surface or in its interior, and they play central roles in ligand recognition, catalysis, and allosteric regulation [1, 2]. In structural biology and drug design, the accurate localization and characterization of pockets serve as a critical starting point for hit discovery, virtual screening, and mechanistic interpretation [3, 4]. Increasing evidence, however, indicates that many functionally relevant pockets — including cryptic pockets, allosteric sites, and transient pockets — are not visible in static crystal structures and can only be revealed by examining the dynamic conformational behavior of the protein [1, 3]. Consequently, systematic analysis of pockets and their dynamics has become a central topic in modern structure-based drug discovery.</w:t>
      </w:r>
    </w:p>
    <w:p>
      <w:pPr>
        <w:pStyle w:val="Heading2"/>
      </w:pPr>
      <w:r>
        <w:rPr>
          <w:b/>
          <w:sz w:val="24"/>
        </w:rPr>
        <w:t>1.2  The Development of Static Pocket Detection Algorithms</w:t>
      </w:r>
    </w:p>
    <w:p>
      <w:pPr>
        <w:jc w:val="both"/>
      </w:pPr>
      <w:r>
        <w:rPr>
          <w:b w:val="0"/>
          <w:i w:val="0"/>
          <w:sz w:val="22"/>
        </w:rPr>
        <w:t>Pocket detection methods built on static structures have been developed for decades. Krone et al. [2] classified the mainstream approaches into four categories: grid-based, Voronoi-based (e.g., fpocket), surface-based, and probe-based methods. Tools such as EPOS_BP [6] further enable high-throughput detection of pocket ensembles on protein surfaces. Building on these algorithms, a variety of pocket characterization and similarity metrics have been proposed [5, 17] to support cross-protein comparison. The systematic evaluation of pocket prediction methods by Krivák et al. [4] shows that geometry-based and machine-learning-based methods each have their strengths, but both rely on a static structure as input.</w:t>
      </w:r>
    </w:p>
    <w:p>
      <w:pPr>
        <w:pStyle w:val="Heading2"/>
      </w:pPr>
      <w:r>
        <w:rPr>
          <w:b/>
          <w:sz w:val="24"/>
        </w:rPr>
        <w:t>1.3  The Limitations of Static Pocket Detection</w:t>
      </w:r>
    </w:p>
    <w:p>
      <w:pPr>
        <w:jc w:val="both"/>
      </w:pPr>
      <w:r>
        <w:rPr>
          <w:b w:val="0"/>
          <w:i w:val="0"/>
          <w:sz w:val="22"/>
        </w:rPr>
        <w:t>Despite the substantial progress made in static pocket detection, its fundamental limitation lies in neglecting the intrinsic dynamics of protein conformations. Real proteins undergo continuous thermal motion, during which pocket shape, volume, accessibility, and residue composition all vary over time. Detection based on a single crystal structure (i) misses cryptic pockets that appear only in specific dynamic conformations [3]; (ii) cannot characterize the transient expansion, contraction, merging, and splitting of pockets [1, 7]; and (iii) struggles to distinguish functionally persistent pockets from transient noise-like cavities [8]. These limitations directly hinder the application of static pocket analysis to allosteric regulation studies, drug repurposing, and the targeting of “undruggable” proteins.</w:t>
      </w:r>
    </w:p>
    <w:p>
      <w:pPr>
        <w:pStyle w:val="Heading2"/>
      </w:pPr>
      <w:r>
        <w:rPr>
          <w:b/>
          <w:sz w:val="24"/>
        </w:rPr>
        <w:t>1.4  The Importance of Dynamic Pocket Analysis</w:t>
      </w:r>
    </w:p>
    <w:p>
      <w:pPr>
        <w:jc w:val="both"/>
      </w:pPr>
      <w:r>
        <w:rPr>
          <w:b w:val="0"/>
          <w:i w:val="0"/>
          <w:sz w:val="22"/>
        </w:rPr>
        <w:t>With advances in hardware acceleration and enhanced sampling techniques for molecular dynamics (MD) simulations, researchers can now observe pocket evolution in conformational space at atomic resolution [1, 16]. Dynamic pocket analysis can reveal: the opening and closing mechanisms of cryptic pockets [3], transient accessibility along ligand entry/exit channels [7], and inter-site allosteric communication networks [19, 22, 23]. Stank et al. [1] systematically reviewed multiple dimensions of pocket dynamics characterization — shape, volume, stability, and inter-pocket transitions — and emphasized their irreplaceable value in drug design. Recent reviews on cryptic pockets further indicate that pocket discovery from a dynamic perspective has become a key avenue for expanding the druggable proteome [3].</w:t>
      </w:r>
    </w:p>
    <w:p>
      <w:pPr>
        <w:pStyle w:val="Heading2"/>
      </w:pPr>
      <w:r>
        <w:rPr>
          <w:b/>
          <w:sz w:val="24"/>
        </w:rPr>
        <w:t>1.5  Limitations of Alignment-Based Approaches for Dynamic Pocket Analysis</w:t>
      </w:r>
    </w:p>
    <w:p>
      <w:pPr>
        <w:jc w:val="both"/>
      </w:pPr>
      <w:r>
        <w:rPr>
          <w:b w:val="0"/>
          <w:i w:val="0"/>
          <w:sz w:val="22"/>
        </w:rPr>
        <w:t>In existing dynamic pocket analysis frameworks, structural alignment is an implicit prerequisite for most methods: all frames of an MD trajectory must first be superimposed onto a reference structure, and then pocket density, volume, or shape can be aggregated and compared in a unified coordinate system [7, 8, 9]. This paradigm suffers from several issues:</w:t>
      </w:r>
    </w:p>
    <w:p>
      <w:pPr>
        <w:pStyle w:val="ListNumber"/>
      </w:pPr>
      <w:r>
        <w:rPr>
          <w:sz w:val="22"/>
        </w:rPr>
        <w:t>Reference selection is subjective — using different reference frames or different reference residue sets can substantially alter the resulting pocket density map [2].</w:t>
      </w:r>
    </w:p>
    <w:p>
      <w:pPr>
        <w:pStyle w:val="ListNumber"/>
      </w:pPr>
      <w:r>
        <w:rPr>
          <w:sz w:val="22"/>
        </w:rPr>
        <w:t>Alignment is unreliable in flexible regions — the motion of flexible loops and surface residues is often “averaged out” by global alignment, masking the true local pocket dynamics [5].</w:t>
      </w:r>
    </w:p>
    <w:p>
      <w:pPr>
        <w:pStyle w:val="ListNumber"/>
      </w:pPr>
      <w:r>
        <w:rPr>
          <w:sz w:val="22"/>
        </w:rPr>
        <w:t>Coupling between global and local motions — global translation and rotation of the protein cannot be cleanly separated from local pocket variation through alignment, and the pocket dynamics signal becomes contaminated by global pseudo-signals [16].</w:t>
      </w:r>
    </w:p>
    <w:p>
      <w:pPr>
        <w:pStyle w:val="ListNumber"/>
      </w:pPr>
      <w:r>
        <w:rPr>
          <w:sz w:val="22"/>
        </w:rPr>
        <w:t>Cross-protein comparison is difficult — when comparing pockets from different proteins or different mutants of the same protein, global alignment often fails because of differences in fold [5, 17].</w:t>
      </w:r>
    </w:p>
    <w:p>
      <w:pPr>
        <w:pStyle w:val="Heading2"/>
      </w:pPr>
      <w:r>
        <w:rPr>
          <w:b/>
          <w:sz w:val="24"/>
        </w:rPr>
        <w:t>1.6  The Advantages of Alignment-Free Approaches</w:t>
      </w:r>
    </w:p>
    <w:p>
      <w:pPr>
        <w:jc w:val="both"/>
      </w:pPr>
      <w:r>
        <w:rPr>
          <w:b w:val="0"/>
          <w:i w:val="0"/>
          <w:sz w:val="22"/>
        </w:rPr>
        <w:t>To circumvent the issues above, alignment-free approaches to pocket analysis have attracted growing attention. Weill and Rognan [17] proposed an early ultra-high-throughput pocket comparison method based on pharmacophoric fingerprints, demonstrating that pocket-to-pocket similarity can be computed in milliseconds without any structural alignment. In a 2022 review, Eguida and Rognan [5] further pointed out that alignment-free methods offer significant advantages in large-scale pocket comparison, cross-family comparison, and machine-learning-oriented feature construction. The core advantages of alignment-free methods are: (i) inherent rotational and translational invariance, free from reference-frame bias; (ii) massive parallelizability, suitable for trajectories of tens of thousands of frames; and (iii) clear biological semantics — descriptions based on residue identity or topological invariants naturally preserve cross-frame correspondence. These advantages are particularly relevant to the cross-frame pocket analysis on a single protein studied in this paper, because residue numbering remains constant throughout the trajectory, making alignment-free analysis essentially “free of charge”.</w:t>
      </w:r>
    </w:p>
    <w:p>
      <w:pPr>
        <w:pStyle w:val="Heading2"/>
      </w:pPr>
      <w:r>
        <w:rPr>
          <w:b/>
          <w:sz w:val="24"/>
        </w:rPr>
        <w:t>1.7  The Need for Visual Analytics on Long-Timescale MD Data</w:t>
      </w:r>
    </w:p>
    <w:p>
      <w:pPr>
        <w:jc w:val="both"/>
      </w:pPr>
      <w:r>
        <w:rPr>
          <w:b w:val="0"/>
          <w:i w:val="0"/>
          <w:sz w:val="22"/>
        </w:rPr>
        <w:t>As MD simulation timescales extend from nanoseconds into the microsecond and even millisecond regime, a single trajectory may contain tens of thousands to millions of frames covering hundreds of thousands of atoms — a high-dimensional spatiotemporal dataset [16]. Numerical statistics alone (e.g., RMSD, RMSF, pocket-volume time series) cannot reveal the complex events embedded in pocket dynamics — opening, closing, merging, splitting, and allosteric coupling. Visual analytics, by combining automated algorithms with human perception and cognition, provides a multi-layered, interactive, and exploratory path to insight [2, 8, 16]. Both the state-of-the-art report by Krone et al. [2] and the 2024 review of MD trajectory visualization by Vant et al. [16] emphasize that dedicated visual analytics systems for dynamic pockets are a key bridge between raw MD data and biological interpretation. The work presented in this paper is motivated by this need: we propose a residue co-occurrence network–based approach to dynamic pocket analysis and visualization.</w:t>
      </w:r>
    </w:p>
    <w:p>
      <w:pPr>
        <w:pStyle w:val="Heading1"/>
      </w:pPr>
      <w:r>
        <w:rPr>
          <w:b/>
          <w:sz w:val="28"/>
        </w:rPr>
        <w:t>2  Related Work</w:t>
      </w:r>
    </w:p>
    <w:p>
      <w:pPr>
        <w:pStyle w:val="Heading2"/>
      </w:pPr>
      <w:r>
        <w:rPr>
          <w:b/>
          <w:sz w:val="24"/>
        </w:rPr>
        <w:t>2.1  Geometric and Topological Visual Analytics for Dynamic Pockets</w:t>
      </w:r>
    </w:p>
    <w:p>
      <w:pPr>
        <w:jc w:val="both"/>
      </w:pPr>
      <w:r>
        <w:rPr>
          <w:b w:val="0"/>
          <w:i w:val="0"/>
          <w:sz w:val="22"/>
        </w:rPr>
        <w:t>Early work on dynamic pocket visualization was primarily based on geometric and topological representations. Lindow et al. [7] proposed a preprocessing pipeline based on Voronoi diagrams and van der Waals spheres, coupled with an interactive visualization interface that allows users to dynamically select and observe cavity evolution along an MD trajectory. Parulek et al. [10] proposed a pocket extraction method based on implicit-function sampling and graph algorithms, used 3D graphs and residue-based attributes to characterize pockets, and applied the method to MD simulations of Proteinase 3. Krone et al.'s IEEE PacificVis 2014 work [13] further proposed a multiple-coordinated-view visual analytics system targeting dynamic protein cavities and binding sites. The 2016 STAR by Krone et al. [2] provided a comprehensive survey of the field and proposed the four-class taxonomy of pocket detection methods, and remains one of the most influential reviews in this area.</w:t>
      </w:r>
    </w:p>
    <w:p>
      <w:pPr>
        <w:jc w:val="both"/>
      </w:pPr>
      <w:r>
        <w:rPr>
          <w:b w:val="0"/>
          <w:i w:val="0"/>
          <w:sz w:val="22"/>
        </w:rPr>
        <w:t>More refined visual analytics systems for dynamic pockets have appeared in recent years: the spatiotemporal multiscale framework of Zhan et al. [9] presents pocket evolution at multiple semantic levels; PNMAVis [10] couples normal mode analysis (NMA) with pocket dynamics to provide mode-based interpretations of pocket variation; VAPPD [11] proposes a pocket shape representation that integrates topological features, together with a high-dimensional similarity metric and a multi-view analytical system; and the more recent PocketSCP [12] exploits the spatiotemporal topological properties of lining residue atoms for visualizing and analyzing dynamic pockets. At the tool level, D3Pockets [14] provides a systematic web service for pocket dynamics, while works such as Visual Analysis of Large-Scale Protein–Ligand Interaction Data [15] contribute complementary perspectives from the angle of large-scale protein–ligand interaction visualization.</w:t>
      </w:r>
    </w:p>
    <w:p>
      <w:pPr>
        <w:pStyle w:val="Heading2"/>
      </w:pPr>
      <w:r>
        <w:rPr>
          <w:b/>
          <w:sz w:val="24"/>
        </w:rPr>
        <w:t>2.2  Residue Interaction Networks (RINs) and Their Use in MD</w:t>
      </w:r>
    </w:p>
    <w:p>
      <w:pPr>
        <w:jc w:val="both"/>
      </w:pPr>
      <w:r>
        <w:rPr>
          <w:b w:val="0"/>
          <w:i w:val="0"/>
          <w:sz w:val="22"/>
        </w:rPr>
        <w:t>Representing a protein structure as a residue interaction network (RIN) has become an important paradigm for analyzing protein function and dynamics [18]. In this framework, nodes represent residues and edges represent residue–residue interactions in some defined sense, compressing high-dimensional structural information into a graph that is amenable to network analysis. Centrality measures computed on RINs (e.g., degree, betweenness, closeness) have been widely used to identify functionally important residues and allosteric hubs [19].</w:t>
      </w:r>
    </w:p>
    <w:p>
      <w:pPr>
        <w:jc w:val="both"/>
      </w:pPr>
      <w:r>
        <w:rPr>
          <w:b w:val="0"/>
          <w:i w:val="0"/>
          <w:sz w:val="22"/>
        </w:rPr>
        <w:t>As MD-derived data have become more abundant, researchers have extended RINs to time-resolved settings. Salamanca-Suárez et al. [20] extracted ensembles of RINs along MD trajectories and clustered them, revealing distinct network patterns that correspond to different conformational families. A recent review by Bernetti et al. [21] systematically summarizes methodological advances that combine MD with network analysis for probing allosteric communication. Sheik Amamuddy et al. [22], working on Falcipain 2, employed dynamic RIN centrality analysis to identify allosteric pockets and network hubs associated with drug-resistance mutations, providing a representative example of how RINs can serve dynamic pocket analysis.</w:t>
      </w:r>
    </w:p>
    <w:p>
      <w:pPr>
        <w:pStyle w:val="Heading2"/>
      </w:pPr>
      <w:r>
        <w:rPr>
          <w:b/>
          <w:sz w:val="24"/>
        </w:rPr>
        <w:t>2.3  Pocket-to-Pocket Communication and “Pocket Crosstalk” Networks</w:t>
      </w:r>
    </w:p>
    <w:p>
      <w:pPr>
        <w:jc w:val="both"/>
      </w:pPr>
      <w:r>
        <w:rPr>
          <w:b w:val="0"/>
          <w:i w:val="0"/>
          <w:sz w:val="22"/>
        </w:rPr>
        <w:t>A few recent studies have started to construct networks at a higher abstraction level than residues. La Sala et al. [23] proposed pocket crosstalk analysis, in which the temporal exchange of atoms between pockets along an MD trajectory is treated as the edge of an allosteric communication network. By taking pockets as nodes and inter-pocket atom flow as edges, this work complements traditional residue-level networks at a higher hierarchical level and reveals inter-pocket allosteric coupling patterns that had been difficult to capture.</w:t>
      </w:r>
    </w:p>
    <w:p>
      <w:pPr>
        <w:pStyle w:val="Heading2"/>
      </w:pPr>
      <w:r>
        <w:rPr>
          <w:b/>
          <w:sz w:val="24"/>
        </w:rPr>
        <w:t>2.4  Limitations of Existing Work and the Niche for This Paper</w:t>
      </w:r>
    </w:p>
    <w:p>
      <w:pPr>
        <w:jc w:val="both"/>
      </w:pPr>
      <w:r>
        <w:rPr>
          <w:b w:val="0"/>
          <w:i w:val="0"/>
          <w:sz w:val="22"/>
        </w:rPr>
        <w:t>The literature above can be seen as two relatively independent threads: one focusing on geometry- and topology-driven dynamic pocket visualization (e.g., VAPPD, PocketSCP, the spatiotemporal multiscale framework) [9, 11, 12]; and the other focusing on network-driven residue analysis [18, 19, 20, 21]. However:</w:t>
      </w:r>
    </w:p>
    <w:p>
      <w:pPr>
        <w:pStyle w:val="ListBullet"/>
      </w:pPr>
      <w:r>
        <w:rPr>
          <w:sz w:val="22"/>
        </w:rPr>
        <w:t>Existing residue interaction networks are largely built on physical distance or non-covalent interactions and lack a network representation at the level of functional co-membership;</w:t>
      </w:r>
    </w:p>
    <w:p>
      <w:pPr>
        <w:pStyle w:val="ListBullet"/>
      </w:pPr>
      <w:r>
        <w:rPr>
          <w:sz w:val="22"/>
        </w:rPr>
        <w:t>Existing dynamic pocket visualization approaches are mainly geometric or topological, and do not fully exploit the strengths of network analysis for revealing pocket stability, merging/splitting events, and allosteric communication;</w:t>
      </w:r>
    </w:p>
    <w:p>
      <w:pPr>
        <w:pStyle w:val="ListBullet"/>
      </w:pPr>
      <w:r>
        <w:rPr>
          <w:sz w:val="22"/>
        </w:rPr>
        <w:t>Cross-frame pocket tracking has long depended on structural alignment, and the alignment-free paradigm has not yet been systematically adopted in dynamic pocket analysis [5, 17].</w:t>
      </w:r>
    </w:p>
    <w:p>
      <w:pPr>
        <w:jc w:val="both"/>
      </w:pPr>
      <w:r>
        <w:rPr>
          <w:b w:val="0"/>
          <w:i w:val="0"/>
          <w:sz w:val="22"/>
        </w:rPr>
        <w:t>To address these gaps, we propose the Pocket-derived Co-occurrence Residue Network (PCRN): treating the pockets detected per-frame by fpocket as “functional events”, we use the co-occurrence frequency of residue pairs within the same pocket as edge weights and the per-residue pocket participation frequency as node weights, thereby constructing a fully alignment-free, pocket-oriented residue-level network. Combined with sliding time windows and community detection, PCRN can characterize the stable cores and dynamic edges of pockets, the merging and splitting events along the trajectory, and the allosteric communication paths between pockets, and presents these dynamic behaviors to domain experts through a multi-view visual analytics system in an interpretable manner.</w:t>
      </w:r>
    </w:p>
    <w:p>
      <w:pPr>
        <w:pStyle w:val="Heading1"/>
      </w:pPr>
      <w:r>
        <w:rPr>
          <w:b/>
          <w:sz w:val="28"/>
        </w:rPr>
        <w:t>References</w:t>
      </w:r>
    </w:p>
    <w:p>
      <w:pPr>
        <w:ind w:left="454" w:hanging="454"/>
      </w:pPr>
      <w:r>
        <w:rPr>
          <w:b/>
          <w:sz w:val="20"/>
        </w:rPr>
        <w:t xml:space="preserve">[1] </w:t>
      </w:r>
      <w:r>
        <w:rPr>
          <w:sz w:val="20"/>
        </w:rPr>
        <w:t>Stank, A., Kokh, D. B., Fuller, J. C., &amp; Wade, R. C. (2016). Protein binding pocket dynamics. Accounts of Chemical Research, 49(5), 809–815. doi: 10.1021/acs.accounts.5b00516.</w:t>
      </w:r>
    </w:p>
    <w:p>
      <w:pPr>
        <w:ind w:left="454" w:hanging="454"/>
      </w:pPr>
      <w:r>
        <w:rPr>
          <w:b/>
          <w:sz w:val="20"/>
        </w:rPr>
        <w:t xml:space="preserve">[2] </w:t>
      </w:r>
      <w:r>
        <w:rPr>
          <w:sz w:val="20"/>
        </w:rPr>
        <w:t>Krone, M., Kozlíková, B., Lindow, N., Baaden, M., Baum, D., Parulek, J., Hege, H.-C., &amp; Viola, I. (2016). Visual analysis of biomolecular cavities: state of the art. Computer Graphics Forum, 35(3), 527–551. doi: 10.1111/cgf.12928.</w:t>
      </w:r>
    </w:p>
    <w:p>
      <w:pPr>
        <w:ind w:left="454" w:hanging="454"/>
      </w:pPr>
      <w:r>
        <w:rPr>
          <w:b/>
          <w:sz w:val="20"/>
        </w:rPr>
        <w:t xml:space="preserve">[3] </w:t>
      </w:r>
      <w:r>
        <w:rPr>
          <w:sz w:val="20"/>
        </w:rPr>
        <w:t>Meller, A., &amp; Bowman, G. R. (2025). Computational advances in discovering cryptic pockets for drug discovery. Current Opinion in Structural Biology. PMID: 39778412.</w:t>
      </w:r>
    </w:p>
    <w:p>
      <w:pPr>
        <w:ind w:left="454" w:hanging="454"/>
      </w:pPr>
      <w:r>
        <w:rPr>
          <w:b/>
          <w:sz w:val="20"/>
        </w:rPr>
        <w:t xml:space="preserve">[4] </w:t>
      </w:r>
      <w:r>
        <w:rPr>
          <w:sz w:val="20"/>
        </w:rPr>
        <w:t>Krivák, R., Hoksza, D., et al. (2024). Comparative evaluation of methods for the prediction of protein–ligand binding sites. Journal of Cheminformatics, 16, 126. doi: 10.1186/s13321-024-00923-z.</w:t>
      </w:r>
    </w:p>
    <w:p>
      <w:pPr>
        <w:ind w:left="454" w:hanging="454"/>
      </w:pPr>
      <w:r>
        <w:rPr>
          <w:b/>
          <w:sz w:val="20"/>
        </w:rPr>
        <w:t xml:space="preserve">[5] </w:t>
      </w:r>
      <w:r>
        <w:rPr>
          <w:sz w:val="20"/>
        </w:rPr>
        <w:t>Eguida, M., &amp; Rognan, D. (2022). Estimating the similarity between protein pockets. International Journal of Molecular Sciences, 23(20), 12462. doi: 10.3390/ijms232012462.</w:t>
      </w:r>
    </w:p>
    <w:p>
      <w:pPr>
        <w:ind w:left="454" w:hanging="454"/>
      </w:pPr>
      <w:r>
        <w:rPr>
          <w:b/>
          <w:sz w:val="20"/>
        </w:rPr>
        <w:t xml:space="preserve">[6] </w:t>
      </w:r>
      <w:r>
        <w:rPr>
          <w:sz w:val="20"/>
        </w:rPr>
        <w:t>Saarland University CBI. EPOS_BP: Ensemble of Pockets on Protein Surfaces with Ballpass. https://www-cbi.cs.uni-saarland.de/software/epos_bp-ensemble-of-pockets-on-protein-surfaces-with-ballpass/  (accessed 2026-05).</w:t>
      </w:r>
    </w:p>
    <w:p>
      <w:pPr>
        <w:ind w:left="454" w:hanging="454"/>
      </w:pPr>
      <w:r>
        <w:rPr>
          <w:b/>
          <w:sz w:val="20"/>
        </w:rPr>
        <w:t xml:space="preserve">[7] </w:t>
      </w:r>
      <w:r>
        <w:rPr>
          <w:sz w:val="20"/>
        </w:rPr>
        <w:t>Lindow, N., Baum, D., &amp; Hege, H.-C. (2013). Exploring cavity dynamics in biomolecular systems. BMC Bioinformatics, 14(Suppl 19), S5. doi: 10.1186/1471-2105-14-S19-S5.</w:t>
      </w:r>
    </w:p>
    <w:p>
      <w:pPr>
        <w:ind w:left="454" w:hanging="454"/>
      </w:pPr>
      <w:r>
        <w:rPr>
          <w:b/>
          <w:sz w:val="20"/>
        </w:rPr>
        <w:t xml:space="preserve">[8] </w:t>
      </w:r>
      <w:r>
        <w:rPr>
          <w:sz w:val="20"/>
        </w:rPr>
        <w:t>Parulek, J., Turkay, C., Reuter, N., &amp; Viola, I. (2013). Visual cavity analysis in molecular simulations. BMC Bioinformatics, 14(Suppl 19), S4. doi: 10.1186/1471-2105-14-S19-S4.</w:t>
      </w:r>
    </w:p>
    <w:p>
      <w:pPr>
        <w:ind w:left="454" w:hanging="454"/>
      </w:pPr>
      <w:r>
        <w:rPr>
          <w:b/>
          <w:sz w:val="20"/>
        </w:rPr>
        <w:t xml:space="preserve">[9] </w:t>
      </w:r>
      <w:r>
        <w:rPr>
          <w:sz w:val="20"/>
        </w:rPr>
        <w:t>Zhan, Z., et al. (2020). Spatiotemporal multiscale molecular cavity visualization and visual analysis. Journal of Visualization. doi: 10.1007/s12650-020-00646-x.</w:t>
      </w:r>
    </w:p>
    <w:p>
      <w:pPr>
        <w:ind w:left="454" w:hanging="454"/>
      </w:pPr>
      <w:r>
        <w:rPr>
          <w:b/>
          <w:sz w:val="20"/>
        </w:rPr>
        <w:t xml:space="preserve">[10] </w:t>
      </w:r>
      <w:r>
        <w:rPr>
          <w:sz w:val="20"/>
        </w:rPr>
        <w:t>Guo, D., Feng, L., Zhang, T., Guo, Y., Wang, Y., &amp; Xu, X. (2022). PNMAVis: visual analysis tool of protein normal mode for understanding cavity dynamics. Applied Sciences, 12(15), 7919. doi: 10.3390/app12157919.</w:t>
      </w:r>
    </w:p>
    <w:p>
      <w:pPr>
        <w:ind w:left="454" w:hanging="454"/>
      </w:pPr>
      <w:r>
        <w:rPr>
          <w:b/>
          <w:sz w:val="20"/>
        </w:rPr>
        <w:t xml:space="preserve">[11] </w:t>
      </w:r>
      <w:r>
        <w:rPr>
          <w:sz w:val="20"/>
        </w:rPr>
        <w:t>Guo, D., Feng, L., Shi, C., Cao, L., Li, Y., Wang, Y., &amp; Xu, X. (2022). VAPPD: visual analysis of protein pocket dynamics. Applied Sciences, 12(20), 10465. doi: 10.3390/app122010465.</w:t>
      </w:r>
    </w:p>
    <w:p>
      <w:pPr>
        <w:ind w:left="454" w:hanging="454"/>
      </w:pPr>
      <w:r>
        <w:rPr>
          <w:b/>
          <w:sz w:val="20"/>
        </w:rPr>
        <w:t xml:space="preserve">[12] </w:t>
      </w:r>
      <w:r>
        <w:rPr>
          <w:sz w:val="20"/>
        </w:rPr>
        <w:t>Guo, D., Zhao, H., Huang, J., Zhao, J., Xu, X., Liu, Y., &amp; Yang, Y. (2025). PocketSCP: a method for spatiotemporal topological visualization and analysis of protein pocket dynamics. Journal of Chemical Information and Modeling. doi: 10.1021/acs.jcim.5c00728.</w:t>
      </w:r>
    </w:p>
    <w:p>
      <w:pPr>
        <w:ind w:left="454" w:hanging="454"/>
      </w:pPr>
      <w:r>
        <w:rPr>
          <w:b/>
          <w:sz w:val="20"/>
        </w:rPr>
        <w:t xml:space="preserve">[13] </w:t>
      </w:r>
      <w:r>
        <w:rPr>
          <w:sz w:val="20"/>
        </w:rPr>
        <w:t>Krone, M., Kozlíková, B., et al. (2014). Visual analysis of dynamic protein cavities and binding sites. In Proceedings of IEEE Pacific Visualization Symposium (PacificVis). IEEE.</w:t>
      </w:r>
    </w:p>
    <w:p>
      <w:pPr>
        <w:ind w:left="454" w:hanging="454"/>
      </w:pPr>
      <w:r>
        <w:rPr>
          <w:b/>
          <w:sz w:val="20"/>
        </w:rPr>
        <w:t xml:space="preserve">[14] </w:t>
      </w:r>
      <w:r>
        <w:rPr>
          <w:sz w:val="20"/>
        </w:rPr>
        <w:t>Xu, Z., et al. (2019). D3Pockets: a method and web server for systematic analysis of protein pocket dynamics. Journal of Chemical Information and Modeling, 59(8), 3353–3358.</w:t>
      </w:r>
    </w:p>
    <w:p>
      <w:pPr>
        <w:ind w:left="454" w:hanging="454"/>
      </w:pPr>
      <w:r>
        <w:rPr>
          <w:b/>
          <w:sz w:val="20"/>
        </w:rPr>
        <w:t xml:space="preserve">[15] </w:t>
      </w:r>
      <w:r>
        <w:rPr>
          <w:sz w:val="20"/>
        </w:rPr>
        <w:t>Schatz, K., Franco-Moreno, J. J., Schäfer, M., et al. (2021). Visual analysis of large-scale protein–ligand interaction data. Computer Graphics Forum, 40(3) (EuroVis 2021). doi: 10.1111/cgf.14386.</w:t>
      </w:r>
    </w:p>
    <w:p>
      <w:pPr>
        <w:ind w:left="454" w:hanging="454"/>
      </w:pPr>
      <w:r>
        <w:rPr>
          <w:b/>
          <w:sz w:val="20"/>
        </w:rPr>
        <w:t xml:space="preserve">[16] </w:t>
      </w:r>
      <w:r>
        <w:rPr>
          <w:sz w:val="20"/>
        </w:rPr>
        <w:t>Vant, J. W., et al. (2024). From complex data to clear insights: visualizing molecular dynamics trajectories. Frontiers in Bioinformatics, 4, 1356659. doi: 10.3389/fbinf.2024.1356659.</w:t>
      </w:r>
    </w:p>
    <w:p>
      <w:pPr>
        <w:ind w:left="454" w:hanging="454"/>
      </w:pPr>
      <w:r>
        <w:rPr>
          <w:b/>
          <w:sz w:val="20"/>
        </w:rPr>
        <w:t xml:space="preserve">[17] </w:t>
      </w:r>
      <w:r>
        <w:rPr>
          <w:sz w:val="20"/>
        </w:rPr>
        <w:t>Weill, N., &amp; Rognan, D. (2010). Alignment-free ultra-high-throughput comparison of druggable protein–ligand binding sites. Journal of Chemical Information and Modeling, 50(1), 123–135. doi: 10.1021/ci900349y.</w:t>
      </w:r>
    </w:p>
    <w:p>
      <w:pPr>
        <w:ind w:left="454" w:hanging="454"/>
      </w:pPr>
      <w:r>
        <w:rPr>
          <w:b/>
          <w:sz w:val="20"/>
        </w:rPr>
        <w:t xml:space="preserve">[18] </w:t>
      </w:r>
      <w:r>
        <w:rPr>
          <w:sz w:val="20"/>
        </w:rPr>
        <w:t>Vishveshwara, S., Ghosh, A., &amp; Hansia, P. (2009). Modeling proteins as residue interaction networks. Current Protein and Peptide Science.</w:t>
      </w:r>
    </w:p>
    <w:p>
      <w:pPr>
        <w:ind w:left="454" w:hanging="454"/>
      </w:pPr>
      <w:r>
        <w:rPr>
          <w:b/>
          <w:sz w:val="20"/>
        </w:rPr>
        <w:t xml:space="preserve">[19] </w:t>
      </w:r>
      <w:r>
        <w:rPr>
          <w:sz w:val="20"/>
        </w:rPr>
        <w:t>(2021). Centrality measures in residue interaction networks to highlight amino acids in protein–protein binding. Frontiers in Bioinformatics, 1, 684970. doi: 10.3389/fbinf.2021.684970.</w:t>
      </w:r>
    </w:p>
    <w:p>
      <w:pPr>
        <w:ind w:left="454" w:hanging="454"/>
      </w:pPr>
      <w:r>
        <w:rPr>
          <w:b/>
          <w:sz w:val="20"/>
        </w:rPr>
        <w:t xml:space="preserve">[20] </w:t>
      </w:r>
      <w:r>
        <w:rPr>
          <w:sz w:val="20"/>
        </w:rPr>
        <w:t>(2025). Clustering and analyzing ensembles of residue interaction networks from molecular dynamics simulations. ChemRxiv preprint. https://www.chemrxiv.org/engage/chemrxiv/article-details/68430481c1cb1ecda0e41722</w:t>
      </w:r>
    </w:p>
    <w:p>
      <w:pPr>
        <w:ind w:left="454" w:hanging="454"/>
      </w:pPr>
      <w:r>
        <w:rPr>
          <w:b/>
          <w:sz w:val="20"/>
        </w:rPr>
        <w:t xml:space="preserve">[21] </w:t>
      </w:r>
      <w:r>
        <w:rPr>
          <w:sz w:val="20"/>
        </w:rPr>
        <w:t>Bernetti, M., Bosio, S., Bresciani, V., &amp; Masetti, M. (2024). Probing allosteric communication with combined molecular dynamics simulations and network analysis. Current Opinion in Structural Biology, 86, 102820. doi: 10.1016/j.sbi.2024.102820.</w:t>
      </w:r>
    </w:p>
    <w:p>
      <w:pPr>
        <w:ind w:left="454" w:hanging="454"/>
      </w:pPr>
      <w:r>
        <w:rPr>
          <w:b/>
          <w:sz w:val="20"/>
        </w:rPr>
        <w:t xml:space="preserve">[22] </w:t>
      </w:r>
      <w:r>
        <w:rPr>
          <w:sz w:val="20"/>
        </w:rPr>
        <w:t>Sheik Amamuddy, O., Glenister, M., &amp; Tastan Bishop, Ö. (2021). Allosteric pockets and dynamic residue network hubs of Falcipain 2 in mutations including those linked to artemisinin resistance. Computational and Structural Biotechnology Journal, 19, 5868–5882. doi: 10.1016/j.csbj.2021.10.011.</w:t>
      </w:r>
    </w:p>
    <w:p>
      <w:pPr>
        <w:ind w:left="454" w:hanging="454"/>
      </w:pPr>
      <w:r>
        <w:rPr>
          <w:b/>
          <w:sz w:val="20"/>
        </w:rPr>
        <w:t xml:space="preserve">[23] </w:t>
      </w:r>
      <w:r>
        <w:rPr>
          <w:sz w:val="20"/>
        </w:rPr>
        <w:t>La Sala, G., Decherchi, S., De Vivo, M., &amp; Rocchia, W. (2017). Allosteric communication networks in proteins revealed through pocket crosstalk analysis. ACS Central Science, 3(9), 949–960. doi: 10.1021/acscentsci.7b00211.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