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黑体" w:cs="Times New Roman"/>
          <w:b/>
          <w:i w:val="0"/>
          <w:sz w:val="36"/>
        </w:rPr>
        <w:t>PCRN：一种用于分析蛋白质口袋动态的口袋衍生残基共现网络</w:t>
      </w:r>
    </w:p>
    <w:p>
      <w:pPr>
        <w:jc w:val="center"/>
      </w:pPr>
      <w:r>
        <w:rPr>
          <w:rFonts w:ascii="Times New Roman" w:hAnsi="Times New Roman" w:eastAsia="宋体" w:cs="Times New Roman"/>
          <w:b w:val="0"/>
          <w:i w:val="0"/>
          <w:sz w:val="22"/>
        </w:rPr>
        <w:t>匿名作者</w:t>
      </w:r>
      <w:r>
        <w:br/>
      </w:r>
      <w:r>
        <w:rPr>
          <w:rFonts w:ascii="Times New Roman" w:hAnsi="Times New Roman" w:eastAsia="宋体" w:cs="Times New Roman"/>
          <w:b w:val="0"/>
          <w:i/>
          <w:sz w:val="20"/>
        </w:rPr>
        <w:t>作者单位</w:t>
      </w:r>
      <w:r>
        <w:br/>
      </w:r>
      <w:r>
        <w:rPr>
          <w:rFonts w:ascii="Times New Roman" w:hAnsi="Times New Roman" w:eastAsia="宋体" w:cs="Times New Roman"/>
          <w:b w:val="0"/>
          <w:i w:val="0"/>
          <w:color w:val="404080"/>
          <w:sz w:val="20"/>
        </w:rPr>
        <w:t>email@institution.edu</w:t>
      </w:r>
    </w:p>
    <w:p/>
    <w:p>
      <w:pPr>
        <w:spacing w:before="240" w:after="120"/>
      </w:pPr>
      <w:r>
        <w:rPr>
          <w:rFonts w:ascii="Times New Roman" w:hAnsi="Times New Roman" w:eastAsia="黑体" w:cs="Times New Roman"/>
          <w:b/>
          <w:i w:val="0"/>
          <w:sz w:val="28"/>
        </w:rPr>
        <w:t>摘要</w:t>
      </w:r>
    </w:p>
    <w:p>
      <w:pPr>
        <w:spacing w:line="360" w:lineRule="auto" w:after="0"/>
        <w:ind w:firstLine="420"/>
        <w:jc w:val="both"/>
      </w:pPr>
      <w:r>
        <w:rPr>
          <w:rFonts w:ascii="Times New Roman" w:hAnsi="Times New Roman" w:eastAsia="宋体" w:cs="Times New Roman"/>
          <w:b w:val="0"/>
          <w:i w:val="0"/>
          <w:sz w:val="22"/>
        </w:rPr>
        <w:t>蛋白质口袋本质上是动态结构，其稳定性、合并、分裂以及变构耦合是蛋白质功能与药物结合的关键基础。然而，目前的残基级网络主要依据残基之间的物理邻近性或非共价相互作用进行连边，能够刻画结构性接触，却难以捕捉残基在瞬态口袋中的功能性共归属信息。本文提出 PCRN（Pocket-derived Co-occurrence Residue Network，口袋衍生残基共现网络）：以两个残基在同一个口袋中共同出现的频率作为边权，以单个残基的口袋出现频率作为节点权。该方法完全免对齐（alignment-free），直接基于 fpocket 在每一帧上检测得到的口袋构建网络，使得网络的语义层级从“物理接触”跃迁到“功能共归属”。实验表明，PCRN 能够揭示传统接触网络无法捕获的口袋特性：高密度共现的残基团对应于稳定的口袋核心；低权值的桥边对应于口袋发生合并或分裂的铰链区域；而社区结构（community structure）则反映了口袋区域随时间的组织演化。PCRN 计算开销低、可与已有残基相互作用网络互补，为研究蛋白质口袋的动态行为提供了一种通用的分析视角。</w:t>
      </w:r>
    </w:p>
    <w:p>
      <w:pPr>
        <w:spacing w:line="360" w:lineRule="auto"/>
        <w:ind w:firstLine="420"/>
      </w:pPr>
      <w:r>
        <w:rPr>
          <w:rFonts w:ascii="Times New Roman" w:hAnsi="Times New Roman" w:eastAsia="宋体" w:cs="Times New Roman"/>
          <w:b/>
          <w:i w:val="0"/>
          <w:sz w:val="22"/>
        </w:rPr>
        <w:t>关键词：</w:t>
      </w:r>
      <w:r>
        <w:rPr>
          <w:rFonts w:ascii="Times New Roman" w:hAnsi="Times New Roman" w:eastAsia="宋体" w:cs="Times New Roman"/>
          <w:b w:val="0"/>
          <w:i w:val="0"/>
          <w:sz w:val="22"/>
        </w:rPr>
        <w:t>蛋白质口袋动态；残基共现网络；免对齐分析；分子动力学模拟；可视分析；变构通信</w:t>
      </w:r>
    </w:p>
    <w:p>
      <w:pPr>
        <w:spacing w:before="240" w:after="120"/>
      </w:pPr>
      <w:r>
        <w:rPr>
          <w:rFonts w:ascii="Times New Roman" w:hAnsi="Times New Roman" w:eastAsia="黑体" w:cs="Times New Roman"/>
          <w:b/>
          <w:i w:val="0"/>
          <w:sz w:val="28"/>
        </w:rPr>
        <w:t>1  引言</w:t>
      </w:r>
    </w:p>
    <w:p>
      <w:pPr>
        <w:spacing w:before="240" w:after="120"/>
      </w:pPr>
      <w:r>
        <w:rPr>
          <w:rFonts w:ascii="Times New Roman" w:hAnsi="Times New Roman" w:eastAsia="黑体" w:cs="Times New Roman"/>
          <w:b/>
          <w:i w:val="0"/>
          <w:sz w:val="24"/>
        </w:rPr>
        <w:t>1.1  蛋白质口袋的重要性</w:t>
      </w:r>
    </w:p>
    <w:p>
      <w:pPr>
        <w:spacing w:line="360" w:lineRule="auto" w:after="0"/>
        <w:ind w:firstLine="420"/>
        <w:jc w:val="both"/>
      </w:pPr>
      <w:r>
        <w:rPr>
          <w:rFonts w:ascii="Times New Roman" w:hAnsi="Times New Roman" w:eastAsia="宋体" w:cs="Times New Roman"/>
          <w:b w:val="0"/>
          <w:i w:val="0"/>
          <w:sz w:val="22"/>
        </w:rPr>
        <w:t>蛋白质口袋（pocket / cavity / binding site）是蛋白表面或内部由特定残基围成的几何凹陷区域，承担着配体识别、催化反应、变构调控等核心功能 [1, 2]。在结构生物学和药物设计中，对口袋的精确定位与表征是先导化合物筛选、虚拟筛选与作用机制阐明的关键起点 [3, 4]。然而，越来越多的证据表明，许多重要的功能性口袋——包括隐蔽口袋（cryptic pockets）、变构位点（allosteric sites）和瞬态口袋（transient pockets）——在静态晶体结构中并不可见，必须通过对蛋白构象动态变化的研究才能揭示 [1, 3]。因此，对口袋及其动态行为的系统分析已成为现代基于结构的药物发现的核心议题之一。</w:t>
      </w:r>
    </w:p>
    <w:p>
      <w:pPr>
        <w:spacing w:before="240" w:after="120"/>
      </w:pPr>
      <w:r>
        <w:rPr>
          <w:rFonts w:ascii="Times New Roman" w:hAnsi="Times New Roman" w:eastAsia="黑体" w:cs="Times New Roman"/>
          <w:b/>
          <w:i w:val="0"/>
          <w:sz w:val="24"/>
        </w:rPr>
        <w:t>1.2  静态口袋检测算法的发展</w:t>
      </w:r>
    </w:p>
    <w:p>
      <w:pPr>
        <w:spacing w:line="360" w:lineRule="auto" w:after="0"/>
        <w:ind w:firstLine="420"/>
        <w:jc w:val="both"/>
      </w:pPr>
      <w:r>
        <w:rPr>
          <w:rFonts w:ascii="Times New Roman" w:hAnsi="Times New Roman" w:eastAsia="宋体" w:cs="Times New Roman"/>
          <w:b w:val="0"/>
          <w:i w:val="0"/>
          <w:sz w:val="22"/>
        </w:rPr>
        <w:t>围绕静态结构的口袋检测算法已有数十年的发展。Krone 等人 [2] 在其综述中将主流方法归纳为四大类：基于格点（grid-based）、基于 Voronoi 分解（Voronoi-based，如 fpocket）、基于表面的（surface-based）和基于探针的（probe-based）方法。EPOS_BP [6] 等工具进一步提供了对蛋白表面口袋集合的高通量探测。在此基础上，研究者也发展出多种口袋表征与相似性度量方法 [5, 17]，以支持跨蛋白的比较分析。Krivák 等人 [4] 对 50 余种主流口袋预测方法的系统对比表明，基于几何与基于机器学习的方法各有所长，但都依赖于静态结构作为输入。</w:t>
      </w:r>
    </w:p>
    <w:p>
      <w:pPr>
        <w:spacing w:before="240" w:after="120"/>
      </w:pPr>
      <w:r>
        <w:rPr>
          <w:rFonts w:ascii="Times New Roman" w:hAnsi="Times New Roman" w:eastAsia="黑体" w:cs="Times New Roman"/>
          <w:b/>
          <w:i w:val="0"/>
          <w:sz w:val="24"/>
        </w:rPr>
        <w:t>1.3  静态口袋检测的局限性</w:t>
      </w:r>
    </w:p>
    <w:p>
      <w:pPr>
        <w:spacing w:line="360" w:lineRule="auto" w:after="0"/>
        <w:ind w:firstLine="420"/>
        <w:jc w:val="both"/>
      </w:pPr>
      <w:r>
        <w:rPr>
          <w:rFonts w:ascii="Times New Roman" w:hAnsi="Times New Roman" w:eastAsia="宋体" w:cs="Times New Roman"/>
          <w:b w:val="0"/>
          <w:i w:val="0"/>
          <w:sz w:val="22"/>
        </w:rPr>
        <w:t>尽管静态口袋检测取得了显著进展，但其根本局限在于忽视了蛋白质构象的内在动力学。真实蛋白处于持续的热运动中，口袋的形状、体积、可及性以及残基组成都会随时间发生变化。仅基于单一晶体结构的检测：（1）会遗漏 cryptic pocket——只在特定动态构象下才出现的隐藏位点 [3]；（2）无法表征口袋的瞬态扩张、收缩、合并与分裂行为 [1, 7]；（3）难以区分功能性持续口袋与短暂出现的噪声腔体 [8]。这些局限直接限制了静态口袋分析在变构调控研究、药物再利用以及“难成药靶点”研究中的应用。</w:t>
      </w:r>
    </w:p>
    <w:p>
      <w:pPr>
        <w:spacing w:before="240" w:after="120"/>
      </w:pPr>
      <w:r>
        <w:rPr>
          <w:rFonts w:ascii="Times New Roman" w:hAnsi="Times New Roman" w:eastAsia="黑体" w:cs="Times New Roman"/>
          <w:b/>
          <w:i w:val="0"/>
          <w:sz w:val="24"/>
        </w:rPr>
        <w:t>1.4  蛋白质动态口袋分析的重要性</w:t>
      </w:r>
    </w:p>
    <w:p>
      <w:pPr>
        <w:spacing w:line="360" w:lineRule="auto" w:after="0"/>
        <w:ind w:firstLine="420"/>
        <w:jc w:val="both"/>
      </w:pPr>
      <w:r>
        <w:rPr>
          <w:rFonts w:ascii="Times New Roman" w:hAnsi="Times New Roman" w:eastAsia="宋体" w:cs="Times New Roman"/>
          <w:b w:val="0"/>
          <w:i w:val="0"/>
          <w:sz w:val="22"/>
        </w:rPr>
        <w:t>随着分子动力学（Molecular Dynamics, MD）模拟在硬件加速与采样技术上的进步，研究者得以在原子级别观察蛋白构象空间中的口袋演化 [1, 16]。动态口袋分析能够揭示：cryptic pocket 的开启与关闭机制 [3]，配体进出通道的瞬态可及性 [7]，以及位点间的变构通信网络 [19, 22, 23]。Stank 等人 [1] 系统综述了口袋动力学的多种刻画维度——形状、体积、稳定性、相互转换——并指出其对药物设计具有不可替代的价值。近年来的 cryptic pocket 综述进一步表明，动态视角下的口袋发现已成为拓展可成药蛋白质组（druggable proteome）的关键途径 [3]。</w:t>
      </w:r>
    </w:p>
    <w:p>
      <w:pPr>
        <w:spacing w:before="240" w:after="120"/>
      </w:pPr>
      <w:r>
        <w:rPr>
          <w:rFonts w:ascii="Times New Roman" w:hAnsi="Times New Roman" w:eastAsia="黑体" w:cs="Times New Roman"/>
          <w:b/>
          <w:i w:val="0"/>
          <w:sz w:val="24"/>
        </w:rPr>
        <w:t>1.5  传统基于结构对齐分析动态口袋方法的局限性</w:t>
      </w:r>
    </w:p>
    <w:p>
      <w:pPr>
        <w:spacing w:line="360" w:lineRule="auto" w:after="0"/>
        <w:ind w:firstLine="420"/>
        <w:jc w:val="both"/>
      </w:pPr>
      <w:r>
        <w:rPr>
          <w:rFonts w:ascii="Times New Roman" w:hAnsi="Times New Roman" w:eastAsia="宋体" w:cs="Times New Roman"/>
          <w:b w:val="0"/>
          <w:i w:val="0"/>
          <w:sz w:val="22"/>
        </w:rPr>
        <w:t>在已有的动态口袋分析框架中，结构对齐（structural alignment）是大多数方法的隐式前提：它需要把 MD 轨迹的所有帧叠合到一个参考结构上，然后在统一坐标系下累积口袋密度、计算口袋体积或比较口袋形状 [7, 8, 9]。该范式存在以下几方面问题：</w:t>
      </w:r>
    </w:p>
    <w:p>
      <w:pPr>
        <w:pStyle w:val="ListNumber"/>
        <w:spacing w:line="360" w:lineRule="auto"/>
      </w:pPr>
      <w:r>
        <w:rPr>
          <w:rFonts w:ascii="Times New Roman" w:hAnsi="Times New Roman" w:eastAsia="宋体" w:cs="Times New Roman"/>
          <w:b w:val="0"/>
          <w:i w:val="0"/>
          <w:sz w:val="22"/>
        </w:rPr>
        <w:t>对齐参考的选择具有主观性——选用不同的参考帧或参考残基集合，会显著改变累积出的“口袋密度图” [2]。</w:t>
      </w:r>
    </w:p>
    <w:p>
      <w:pPr>
        <w:pStyle w:val="ListNumber"/>
        <w:spacing w:line="360" w:lineRule="auto"/>
      </w:pPr>
      <w:r>
        <w:rPr>
          <w:rFonts w:ascii="Times New Roman" w:hAnsi="Times New Roman" w:eastAsia="宋体" w:cs="Times New Roman"/>
          <w:b w:val="0"/>
          <w:i w:val="0"/>
          <w:sz w:val="22"/>
        </w:rPr>
        <w:t>柔性区域的对齐不可靠——蛋白柔性 loop、表面残基的运动会被全局对齐“平均掉”，反而掩盖了真正的局部口袋动态 [5]。</w:t>
      </w:r>
    </w:p>
    <w:p>
      <w:pPr>
        <w:pStyle w:val="ListNumber"/>
        <w:spacing w:line="360" w:lineRule="auto"/>
      </w:pPr>
      <w:r>
        <w:rPr>
          <w:rFonts w:ascii="Times New Roman" w:hAnsi="Times New Roman" w:eastAsia="宋体" w:cs="Times New Roman"/>
          <w:b w:val="0"/>
          <w:i w:val="0"/>
          <w:sz w:val="22"/>
        </w:rPr>
        <w:t>整体运动与局部运动的耦合——蛋白整体的平动 / 转动与口袋局部变化在对齐中难以分离，导致口袋动态信号被全局伪信号污染 [16]。</w:t>
      </w:r>
    </w:p>
    <w:p>
      <w:pPr>
        <w:pStyle w:val="ListNumber"/>
        <w:spacing w:line="360" w:lineRule="auto"/>
      </w:pPr>
      <w:r>
        <w:rPr>
          <w:rFonts w:ascii="Times New Roman" w:hAnsi="Times New Roman" w:eastAsia="宋体" w:cs="Times New Roman"/>
          <w:b w:val="0"/>
          <w:i w:val="0"/>
          <w:sz w:val="22"/>
        </w:rPr>
        <w:t>跨蛋白比较困难——当比较来自不同蛋白或同一蛋白不同突变体的口袋时，全局对齐往往因折叠差异而失败 [5, 17]。</w:t>
      </w:r>
    </w:p>
    <w:p>
      <w:pPr>
        <w:spacing w:before="240" w:after="120"/>
      </w:pPr>
      <w:r>
        <w:rPr>
          <w:rFonts w:ascii="Times New Roman" w:hAnsi="Times New Roman" w:eastAsia="黑体" w:cs="Times New Roman"/>
          <w:b/>
          <w:i w:val="0"/>
          <w:sz w:val="24"/>
        </w:rPr>
        <w:t>1.6  免对齐（Alignment-free）方法的优势</w:t>
      </w:r>
    </w:p>
    <w:p>
      <w:pPr>
        <w:spacing w:line="360" w:lineRule="auto" w:after="0"/>
        <w:ind w:firstLine="420"/>
        <w:jc w:val="both"/>
      </w:pPr>
      <w:r>
        <w:rPr>
          <w:rFonts w:ascii="Times New Roman" w:hAnsi="Times New Roman" w:eastAsia="宋体" w:cs="Times New Roman"/>
          <w:b w:val="0"/>
          <w:i w:val="0"/>
          <w:sz w:val="22"/>
        </w:rPr>
        <w:t>为了规避上述问题，免对齐口袋分析方法逐渐受到关注。Weill 与 Rognan [17] 较早提出基于药效团指纹的超高通量比较方法，证明无需结构对齐即可在毫秒级完成口袋之间的相似度计算。Eguida 与 Rognan [5] 在 2022 年的综述中进一步指出，免对齐方法在大规模口袋比较、跨家族比较以及面向机器学习的特征构建上具有显著优势。免对齐方法的核心优势在于：（1）天然旋转 / 平移不变，不受参考帧选择影响；（2）可大规模并行，适用于上万帧 MD 轨迹；（3）生物语义清晰——基于残基编号或拓扑量的描述天然保持跨帧的对应关系。这些优势对于本文所研究的“同一蛋白 MD 帧间口袋分析”尤其重要，因为残基编号在轨迹中始终不变，免对齐分析几乎是“免费的午餐”。</w:t>
      </w:r>
    </w:p>
    <w:p>
      <w:pPr>
        <w:spacing w:before="240" w:after="120"/>
      </w:pPr>
      <w:r>
        <w:rPr>
          <w:rFonts w:ascii="Times New Roman" w:hAnsi="Times New Roman" w:eastAsia="黑体" w:cs="Times New Roman"/>
          <w:b/>
          <w:i w:val="0"/>
          <w:sz w:val="24"/>
        </w:rPr>
        <w:t>1.7  长时 MD 模拟数据的复杂性需要可视分析</w:t>
      </w:r>
    </w:p>
    <w:p>
      <w:pPr>
        <w:spacing w:line="360" w:lineRule="auto" w:after="0"/>
        <w:ind w:firstLine="420"/>
        <w:jc w:val="both"/>
      </w:pPr>
      <w:r>
        <w:rPr>
          <w:rFonts w:ascii="Times New Roman" w:hAnsi="Times New Roman" w:eastAsia="宋体" w:cs="Times New Roman"/>
          <w:b w:val="0"/>
          <w:i w:val="0"/>
          <w:sz w:val="22"/>
        </w:rPr>
        <w:t>随着 MD 模拟时长从纳秒延伸到微秒甚至毫秒尺度，单条轨迹可能包含数万至数百万帧、数十万原子的高维时空数据 [16]。仅靠数值统计指标（如 RMSD、RMSF、口袋体积时间曲线）无法揭示口袋动力学中的复杂事件——开闭、合并、分裂、变构耦合等。可视分析（visual analytics）通过将自动化算法与人类感知—认知过程结合，提供了多层次、可交互、可探索的洞察途径 [2, 8, 16]。Krone 等人 [2] 的综述与 2024 年的 MD 可视化综述 [16] 共同强调，针对动态口袋的专用可视分析系统是连接 MD 模拟原始数据与生物学解释的关键桥梁。本文工作正是在这一背景下，提出基于残基共现网络的口袋动态分析与可视化方法。</w:t>
      </w:r>
    </w:p>
    <w:p>
      <w:pPr>
        <w:spacing w:before="240" w:after="120"/>
      </w:pPr>
      <w:r>
        <w:rPr>
          <w:rFonts w:ascii="Times New Roman" w:hAnsi="Times New Roman" w:eastAsia="黑体" w:cs="Times New Roman"/>
          <w:b/>
          <w:i w:val="0"/>
          <w:sz w:val="28"/>
        </w:rPr>
        <w:t>2  相关工作</w:t>
      </w:r>
    </w:p>
    <w:p>
      <w:pPr>
        <w:spacing w:before="240" w:after="120"/>
      </w:pPr>
      <w:r>
        <w:rPr>
          <w:rFonts w:ascii="Times New Roman" w:hAnsi="Times New Roman" w:eastAsia="黑体" w:cs="Times New Roman"/>
          <w:b/>
          <w:i w:val="0"/>
          <w:sz w:val="24"/>
        </w:rPr>
        <w:t>2.1  动态口袋的几何与拓扑可视分析方法</w:t>
      </w:r>
    </w:p>
    <w:p>
      <w:pPr>
        <w:spacing w:line="360" w:lineRule="auto" w:after="0"/>
        <w:ind w:firstLine="420"/>
        <w:jc w:val="both"/>
      </w:pPr>
      <w:r>
        <w:rPr>
          <w:rFonts w:ascii="Times New Roman" w:hAnsi="Times New Roman" w:eastAsia="宋体" w:cs="Times New Roman"/>
          <w:b w:val="0"/>
          <w:i w:val="0"/>
          <w:sz w:val="22"/>
        </w:rPr>
        <w:t>早期的动态口袋可视化研究主要基于几何与拓扑表征。Lindow 等人 [7] 提出基于 Voronoi 图与范德华球的预处理流程，配合交互式可视化界面，让用户在 MD 轨迹上动态选择并观察空腔的演化。Parulek 等人 [8] 提出基于隐函数采样与图算法的口袋提取方法，用 3D 图与残基属性表征口袋，并应用于 Proteinase 3 的 MD 模拟分析。Krone 等人 [13] 在 IEEE PacificVis 2014 的工作中进一步提出了针对动态口袋与结合位点的多视图可视分析系统。Krone 等人 2016 年发表的 STAR 报告 [2] 则系统梳理了该方向的研究现状，并提出了口袋检测方法的四类分类法，至今仍是该领域最具影响力的综述之一。</w:t>
      </w:r>
    </w:p>
    <w:p>
      <w:pPr>
        <w:spacing w:line="360" w:lineRule="auto" w:after="0"/>
        <w:ind w:firstLine="420"/>
        <w:jc w:val="both"/>
      </w:pPr>
      <w:r>
        <w:rPr>
          <w:rFonts w:ascii="Times New Roman" w:hAnsi="Times New Roman" w:eastAsia="宋体" w:cs="Times New Roman"/>
          <w:b w:val="0"/>
          <w:i w:val="0"/>
          <w:sz w:val="22"/>
        </w:rPr>
        <w:t>近年来更精细的动态口袋可视分析系统不断涌现：Zhan 等人 [9] 提出的时空多尺度可视分析框架在不同的语义抽象层级上展示口袋演化；PNMAVis [10] 将正态模式分析（NMA）与口袋动力学耦合，提供基于模式的口袋变化解释；VAPPD [11] 提出结合拓扑特征的口袋形状表征方法，并设计高维相似度度量与多视图分析系统；最新的 PocketSCP [12] 利用衬里氨基酸的时空拓扑性质对动态口袋进行可视化与分析。在工具层面，D3Pockets [14] 提供了一套面向口袋动态的系统性 Web 服务，而 Visual Analysis of Large-Scale Protein-Ligand Interaction Data [15] 等工作则从大规模口袋—配体相互作用数据可视化的角度提供了补充思路。</w:t>
      </w:r>
    </w:p>
    <w:p>
      <w:pPr>
        <w:spacing w:before="240" w:after="120"/>
      </w:pPr>
      <w:r>
        <w:rPr>
          <w:rFonts w:ascii="Times New Roman" w:hAnsi="Times New Roman" w:eastAsia="黑体" w:cs="Times New Roman"/>
          <w:b/>
          <w:i w:val="0"/>
          <w:sz w:val="24"/>
        </w:rPr>
        <w:t>2.2  残基相互作用网络（RIN）及其在 MD 中的应用</w:t>
      </w:r>
    </w:p>
    <w:p>
      <w:pPr>
        <w:spacing w:line="360" w:lineRule="auto" w:after="0"/>
        <w:ind w:firstLine="420"/>
        <w:jc w:val="both"/>
      </w:pPr>
      <w:r>
        <w:rPr>
          <w:rFonts w:ascii="Times New Roman" w:hAnsi="Times New Roman" w:eastAsia="宋体" w:cs="Times New Roman"/>
          <w:b w:val="0"/>
          <w:i w:val="0"/>
          <w:sz w:val="22"/>
        </w:rPr>
        <w:t>将蛋白结构表示为残基相互作用网络（Residue Interaction Network, RIN）已成为分析蛋白功能与动力学的重要范式 [18]。在该框架中，节点为残基，边为某种意义下的相互作用关系，从而把高维结构信息压缩到便于网络分析的图结构中。在 RIN 上计算的中心性指标（degree、betweenness、closeness 等）已被广泛用于识别功能关键残基与变构枢纽 [19]。</w:t>
      </w:r>
    </w:p>
    <w:p>
      <w:pPr>
        <w:spacing w:line="360" w:lineRule="auto" w:after="0"/>
        <w:ind w:firstLine="420"/>
        <w:jc w:val="both"/>
      </w:pPr>
      <w:r>
        <w:rPr>
          <w:rFonts w:ascii="Times New Roman" w:hAnsi="Times New Roman" w:eastAsia="宋体" w:cs="Times New Roman"/>
          <w:b w:val="0"/>
          <w:i w:val="0"/>
          <w:sz w:val="22"/>
        </w:rPr>
        <w:t>随着 MD 模拟数据的丰富，研究者将 RIN 拓展到时变情境。Salamanca-Suárez 等人 [20] 从 MD 轨迹中提取一系列 RIN 并进行聚类，揭示了蛋白构象族对应的不同网络模式。Bernetti 等人 [21] 最新综述系统总结了将 MD 与网络分析结合用于变构通信探测的方法学进展。Sheik Amamuddy 等人 [22] 针对 Falcipain 2 系统，使用动态 RIN 中心性分析识别了变构口袋及与抗药性突变相关的网络枢纽，提供了 RIN 服务于口袋分析的一个典型范例。</w:t>
      </w:r>
    </w:p>
    <w:p>
      <w:pPr>
        <w:spacing w:before="240" w:after="120"/>
      </w:pPr>
      <w:r>
        <w:rPr>
          <w:rFonts w:ascii="Times New Roman" w:hAnsi="Times New Roman" w:eastAsia="黑体" w:cs="Times New Roman"/>
          <w:b/>
          <w:i w:val="0"/>
          <w:sz w:val="24"/>
        </w:rPr>
        <w:t>2.3  口袋间通信与“口袋串扰”网络</w:t>
      </w:r>
    </w:p>
    <w:p>
      <w:pPr>
        <w:spacing w:line="360" w:lineRule="auto" w:after="0"/>
        <w:ind w:firstLine="420"/>
        <w:jc w:val="both"/>
      </w:pPr>
      <w:r>
        <w:rPr>
          <w:rFonts w:ascii="Times New Roman" w:hAnsi="Times New Roman" w:eastAsia="宋体" w:cs="Times New Roman"/>
          <w:b w:val="0"/>
          <w:i w:val="0"/>
          <w:sz w:val="22"/>
        </w:rPr>
        <w:t>少数前沿工作开始尝试在比“残基”更高的抽象层级上构建网络。La Sala 等人 [23] 提出“pocket crosstalk 分析”——把 MD 轨迹中口袋之间在时间上交换原子的行为作为变构通信网络的边。该工作以口袋为节点、以口袋间原子流动为边，与传统的残基级网络形成层级互补，揭示了 MD 模拟中此前难以捕捉的口袋间变构耦合模式。</w:t>
      </w:r>
    </w:p>
    <w:p>
      <w:pPr>
        <w:spacing w:before="240" w:after="120"/>
      </w:pPr>
      <w:r>
        <w:rPr>
          <w:rFonts w:ascii="Times New Roman" w:hAnsi="Times New Roman" w:eastAsia="黑体" w:cs="Times New Roman"/>
          <w:b/>
          <w:i w:val="0"/>
          <w:sz w:val="24"/>
        </w:rPr>
        <w:t>2.4  现有研究的不足与本工作的切入点</w:t>
      </w:r>
    </w:p>
    <w:p>
      <w:pPr>
        <w:spacing w:line="360" w:lineRule="auto" w:after="0"/>
        <w:ind w:firstLine="420"/>
        <w:jc w:val="both"/>
      </w:pPr>
      <w:r>
        <w:rPr>
          <w:rFonts w:ascii="Times New Roman" w:hAnsi="Times New Roman" w:eastAsia="宋体" w:cs="Times New Roman"/>
          <w:b w:val="0"/>
          <w:i w:val="0"/>
          <w:sz w:val="22"/>
        </w:rPr>
        <w:t>综合以上文献可以看出，目前的研究存在两条相对独立的脉络：一条是几何 / 拓扑驱动的口袋动态可视分析（如 VAPPD、PocketSCP、Spatiotemporal Multiscale）[9, 11, 12]；另一条是网络驱动的残基分析 [18, 19, 20, 21]。然而：</w:t>
      </w:r>
    </w:p>
    <w:p>
      <w:pPr>
        <w:pStyle w:val="ListBullet"/>
        <w:spacing w:line="360" w:lineRule="auto"/>
      </w:pPr>
      <w:r>
        <w:rPr>
          <w:rFonts w:ascii="Times New Roman" w:hAnsi="Times New Roman" w:eastAsia="宋体" w:cs="Times New Roman"/>
          <w:b w:val="0"/>
          <w:i w:val="0"/>
          <w:sz w:val="22"/>
        </w:rPr>
        <w:t>既有的残基相互作用网络主要基于物理距离或非共价作用，缺少“功能性共归属”层级的网络表征；</w:t>
      </w:r>
    </w:p>
    <w:p>
      <w:pPr>
        <w:pStyle w:val="ListBullet"/>
        <w:spacing w:line="360" w:lineRule="auto"/>
      </w:pPr>
      <w:r>
        <w:rPr>
          <w:rFonts w:ascii="Times New Roman" w:hAnsi="Times New Roman" w:eastAsia="宋体" w:cs="Times New Roman"/>
          <w:b w:val="0"/>
          <w:i w:val="0"/>
          <w:sz w:val="22"/>
        </w:rPr>
        <w:t>既有的动态口袋可视分析方法主要基于几何 / 拓扑表征，未充分利用网络分析在揭示口袋稳定性、合并 / 分裂事件以及变构通信上的优势；</w:t>
      </w:r>
    </w:p>
    <w:p>
      <w:pPr>
        <w:pStyle w:val="ListBullet"/>
        <w:spacing w:line="360" w:lineRule="auto"/>
      </w:pPr>
      <w:r>
        <w:rPr>
          <w:rFonts w:ascii="Times New Roman" w:hAnsi="Times New Roman" w:eastAsia="宋体" w:cs="Times New Roman"/>
          <w:b w:val="0"/>
          <w:i w:val="0"/>
          <w:sz w:val="22"/>
        </w:rPr>
        <w:t>跨帧口袋追踪长期依赖结构对齐，免对齐范式在动态口袋分析中尚未被系统采纳 [5, 17]。</w:t>
      </w:r>
    </w:p>
    <w:p>
      <w:pPr>
        <w:spacing w:line="360" w:lineRule="auto" w:after="0"/>
        <w:ind w:firstLine="420"/>
        <w:jc w:val="both"/>
      </w:pPr>
      <w:r>
        <w:rPr>
          <w:rFonts w:ascii="Times New Roman" w:hAnsi="Times New Roman" w:eastAsia="宋体" w:cs="Times New Roman"/>
          <w:b w:val="0"/>
          <w:i w:val="0"/>
          <w:sz w:val="22"/>
        </w:rPr>
        <w:t>针对上述不足，本文提出口袋衍生残基共现网络（Pocket-derived Co-occurrence Residue Network, PCRN）：将 fpocket 逐帧检测出的口袋作为“功能事件”，把残基对在同一口袋中的共现频率作为边权、把残基的口袋出现频率作为节点权，构建一个完全免对齐、面向口袋动态的残基级网络。结合滑动时间窗口与社区检测，PCRN 能够刻画口袋的稳定核心、动态边缘、合并 / 分裂事件以及口袋间的变构通信路径，并通过多视图可视分析系统将这些动力学行为以可解释的方式呈现给生物学专家。</w:t>
      </w:r>
    </w:p>
    <w:p>
      <w:pPr>
        <w:spacing w:before="240" w:after="120"/>
      </w:pPr>
      <w:r>
        <w:rPr>
          <w:rFonts w:ascii="Times New Roman" w:hAnsi="Times New Roman" w:eastAsia="黑体" w:cs="Times New Roman"/>
          <w:b/>
          <w:i w:val="0"/>
          <w:sz w:val="28"/>
        </w:rPr>
        <w:t>参考文献</w:t>
      </w:r>
    </w:p>
    <w:p>
      <w:pPr>
        <w:spacing w:line="336" w:lineRule="auto"/>
        <w:ind w:left="454" w:hanging="454"/>
      </w:pPr>
      <w:r>
        <w:rPr>
          <w:rFonts w:ascii="Times New Roman" w:hAnsi="Times New Roman" w:eastAsia="宋体" w:cs="Times New Roman"/>
          <w:b/>
          <w:i w:val="0"/>
          <w:sz w:val="20"/>
        </w:rPr>
        <w:t xml:space="preserve">[1] </w:t>
      </w:r>
      <w:r>
        <w:rPr>
          <w:rFonts w:ascii="Times New Roman" w:hAnsi="Times New Roman" w:eastAsia="宋体" w:cs="Times New Roman"/>
          <w:b w:val="0"/>
          <w:i w:val="0"/>
          <w:sz w:val="20"/>
        </w:rPr>
        <w:t>Stank, A., Kokh, D. B., Fuller, J. C., &amp; Wade, R. C. (2016). Protein binding pocket dynamics. Accounts of Chemical Research, 49(5), 809–815. doi: 10.1021/acs.accounts.5b00516.</w:t>
      </w:r>
    </w:p>
    <w:p>
      <w:pPr>
        <w:spacing w:line="336" w:lineRule="auto"/>
        <w:ind w:left="454" w:hanging="454"/>
      </w:pPr>
      <w:r>
        <w:rPr>
          <w:rFonts w:ascii="Times New Roman" w:hAnsi="Times New Roman" w:eastAsia="宋体" w:cs="Times New Roman"/>
          <w:b/>
          <w:i w:val="0"/>
          <w:sz w:val="20"/>
        </w:rPr>
        <w:t xml:space="preserve">[2] </w:t>
      </w:r>
      <w:r>
        <w:rPr>
          <w:rFonts w:ascii="Times New Roman" w:hAnsi="Times New Roman" w:eastAsia="宋体" w:cs="Times New Roman"/>
          <w:b w:val="0"/>
          <w:i w:val="0"/>
          <w:sz w:val="20"/>
        </w:rPr>
        <w:t>Krone, M., Kozlíková, B., Lindow, N., Baaden, M., Baum, D., Parulek, J., Hege, H.-C., &amp; Viola, I. (2016). Visual analysis of biomolecular cavities: state of the art. Computer Graphics Forum, 35(3), 527–551. doi: 10.1111/cgf.12928.</w:t>
      </w:r>
    </w:p>
    <w:p>
      <w:pPr>
        <w:spacing w:line="336" w:lineRule="auto"/>
        <w:ind w:left="454" w:hanging="454"/>
      </w:pPr>
      <w:r>
        <w:rPr>
          <w:rFonts w:ascii="Times New Roman" w:hAnsi="Times New Roman" w:eastAsia="宋体" w:cs="Times New Roman"/>
          <w:b/>
          <w:i w:val="0"/>
          <w:sz w:val="20"/>
        </w:rPr>
        <w:t xml:space="preserve">[3] </w:t>
      </w:r>
      <w:r>
        <w:rPr>
          <w:rFonts w:ascii="Times New Roman" w:hAnsi="Times New Roman" w:eastAsia="宋体" w:cs="Times New Roman"/>
          <w:b w:val="0"/>
          <w:i w:val="0"/>
          <w:sz w:val="20"/>
        </w:rPr>
        <w:t>Meller, A., &amp; Bowman, G. R. (2025). Computational advances in discovering cryptic pockets for drug discovery. Current Opinion in Structural Biology. PMID: 39778412.</w:t>
      </w:r>
    </w:p>
    <w:p>
      <w:pPr>
        <w:spacing w:line="336" w:lineRule="auto"/>
        <w:ind w:left="454" w:hanging="454"/>
      </w:pPr>
      <w:r>
        <w:rPr>
          <w:rFonts w:ascii="Times New Roman" w:hAnsi="Times New Roman" w:eastAsia="宋体" w:cs="Times New Roman"/>
          <w:b/>
          <w:i w:val="0"/>
          <w:sz w:val="20"/>
        </w:rPr>
        <w:t xml:space="preserve">[4] </w:t>
      </w:r>
      <w:r>
        <w:rPr>
          <w:rFonts w:ascii="Times New Roman" w:hAnsi="Times New Roman" w:eastAsia="宋体" w:cs="Times New Roman"/>
          <w:b w:val="0"/>
          <w:i w:val="0"/>
          <w:sz w:val="20"/>
        </w:rPr>
        <w:t>Krivák, R., Hoksza, D., et al. (2024). Comparative evaluation of methods for the prediction of protein–ligand binding sites. Journal of Cheminformatics, 16, 126. doi: 10.1186/s13321-024-00923-z.</w:t>
      </w:r>
    </w:p>
    <w:p>
      <w:pPr>
        <w:spacing w:line="336" w:lineRule="auto"/>
        <w:ind w:left="454" w:hanging="454"/>
      </w:pPr>
      <w:r>
        <w:rPr>
          <w:rFonts w:ascii="Times New Roman" w:hAnsi="Times New Roman" w:eastAsia="宋体" w:cs="Times New Roman"/>
          <w:b/>
          <w:i w:val="0"/>
          <w:sz w:val="20"/>
        </w:rPr>
        <w:t xml:space="preserve">[5] </w:t>
      </w:r>
      <w:r>
        <w:rPr>
          <w:rFonts w:ascii="Times New Roman" w:hAnsi="Times New Roman" w:eastAsia="宋体" w:cs="Times New Roman"/>
          <w:b w:val="0"/>
          <w:i w:val="0"/>
          <w:sz w:val="20"/>
        </w:rPr>
        <w:t>Eguida, M., &amp; Rognan, D. (2022). Estimating the similarity between protein pockets. International Journal of Molecular Sciences, 23(20), 12462. doi: 10.3390/ijms232012462.</w:t>
      </w:r>
    </w:p>
    <w:p>
      <w:pPr>
        <w:spacing w:line="336" w:lineRule="auto"/>
        <w:ind w:left="454" w:hanging="454"/>
      </w:pPr>
      <w:r>
        <w:rPr>
          <w:rFonts w:ascii="Times New Roman" w:hAnsi="Times New Roman" w:eastAsia="宋体" w:cs="Times New Roman"/>
          <w:b/>
          <w:i w:val="0"/>
          <w:sz w:val="20"/>
        </w:rPr>
        <w:t xml:space="preserve">[6] </w:t>
      </w:r>
      <w:r>
        <w:rPr>
          <w:rFonts w:ascii="Times New Roman" w:hAnsi="Times New Roman" w:eastAsia="宋体" w:cs="Times New Roman"/>
          <w:b w:val="0"/>
          <w:i w:val="0"/>
          <w:sz w:val="20"/>
        </w:rPr>
        <w:t>Saarland University CBI. EPOS_BP: Ensemble of Pockets on Protein Surfaces with Ballpass. https://www-cbi.cs.uni-saarland.de/software/epos_bp-ensemble-of-pockets-on-protein-surfaces-with-ballpass/  （访问日期 2026-05）</w:t>
      </w:r>
    </w:p>
    <w:p>
      <w:pPr>
        <w:spacing w:line="336" w:lineRule="auto"/>
        <w:ind w:left="454" w:hanging="454"/>
      </w:pPr>
      <w:r>
        <w:rPr>
          <w:rFonts w:ascii="Times New Roman" w:hAnsi="Times New Roman" w:eastAsia="宋体" w:cs="Times New Roman"/>
          <w:b/>
          <w:i w:val="0"/>
          <w:sz w:val="20"/>
        </w:rPr>
        <w:t xml:space="preserve">[7] </w:t>
      </w:r>
      <w:r>
        <w:rPr>
          <w:rFonts w:ascii="Times New Roman" w:hAnsi="Times New Roman" w:eastAsia="宋体" w:cs="Times New Roman"/>
          <w:b w:val="0"/>
          <w:i w:val="0"/>
          <w:sz w:val="20"/>
        </w:rPr>
        <w:t>Lindow, N., Baum, D., &amp; Hege, H.-C. (2013). Exploring cavity dynamics in biomolecular systems. BMC Bioinformatics, 14(Suppl 19), S5. doi: 10.1186/1471-2105-14-S19-S5.</w:t>
      </w:r>
    </w:p>
    <w:p>
      <w:pPr>
        <w:spacing w:line="336" w:lineRule="auto"/>
        <w:ind w:left="454" w:hanging="454"/>
      </w:pPr>
      <w:r>
        <w:rPr>
          <w:rFonts w:ascii="Times New Roman" w:hAnsi="Times New Roman" w:eastAsia="宋体" w:cs="Times New Roman"/>
          <w:b/>
          <w:i w:val="0"/>
          <w:sz w:val="20"/>
        </w:rPr>
        <w:t xml:space="preserve">[8] </w:t>
      </w:r>
      <w:r>
        <w:rPr>
          <w:rFonts w:ascii="Times New Roman" w:hAnsi="Times New Roman" w:eastAsia="宋体" w:cs="Times New Roman"/>
          <w:b w:val="0"/>
          <w:i w:val="0"/>
          <w:sz w:val="20"/>
        </w:rPr>
        <w:t>Parulek, J., Turkay, C., Reuter, N., &amp; Viola, I. (2013). Visual cavity analysis in molecular simulations. BMC Bioinformatics, 14(Suppl 19), S4. doi: 10.1186/1471-2105-14-S19-S4.</w:t>
      </w:r>
    </w:p>
    <w:p>
      <w:pPr>
        <w:spacing w:line="336" w:lineRule="auto"/>
        <w:ind w:left="454" w:hanging="454"/>
      </w:pPr>
      <w:r>
        <w:rPr>
          <w:rFonts w:ascii="Times New Roman" w:hAnsi="Times New Roman" w:eastAsia="宋体" w:cs="Times New Roman"/>
          <w:b/>
          <w:i w:val="0"/>
          <w:sz w:val="20"/>
        </w:rPr>
        <w:t xml:space="preserve">[9] </w:t>
      </w:r>
      <w:r>
        <w:rPr>
          <w:rFonts w:ascii="Times New Roman" w:hAnsi="Times New Roman" w:eastAsia="宋体" w:cs="Times New Roman"/>
          <w:b w:val="0"/>
          <w:i w:val="0"/>
          <w:sz w:val="20"/>
        </w:rPr>
        <w:t>Zhan, Z., et al. (2020). Spatiotemporal multiscale molecular cavity visualization and visual analysis. Journal of Visualization. doi: 10.1007/s12650-020-00646-x.</w:t>
      </w:r>
    </w:p>
    <w:p>
      <w:pPr>
        <w:spacing w:line="336" w:lineRule="auto"/>
        <w:ind w:left="454" w:hanging="454"/>
      </w:pPr>
      <w:r>
        <w:rPr>
          <w:rFonts w:ascii="Times New Roman" w:hAnsi="Times New Roman" w:eastAsia="宋体" w:cs="Times New Roman"/>
          <w:b/>
          <w:i w:val="0"/>
          <w:sz w:val="20"/>
        </w:rPr>
        <w:t xml:space="preserve">[10] </w:t>
      </w:r>
      <w:r>
        <w:rPr>
          <w:rFonts w:ascii="Times New Roman" w:hAnsi="Times New Roman" w:eastAsia="宋体" w:cs="Times New Roman"/>
          <w:b w:val="0"/>
          <w:i w:val="0"/>
          <w:sz w:val="20"/>
        </w:rPr>
        <w:t>Guo, D., Feng, L., Zhang, T., Guo, Y., Wang, Y., &amp; Xu, X. (2022). PNMAVis: visual analysis tool of protein normal mode for understanding cavity dynamics. Applied Sciences, 12(15), 7919. doi: 10.3390/app12157919.</w:t>
      </w:r>
    </w:p>
    <w:p>
      <w:pPr>
        <w:spacing w:line="336" w:lineRule="auto"/>
        <w:ind w:left="454" w:hanging="454"/>
      </w:pPr>
      <w:r>
        <w:rPr>
          <w:rFonts w:ascii="Times New Roman" w:hAnsi="Times New Roman" w:eastAsia="宋体" w:cs="Times New Roman"/>
          <w:b/>
          <w:i w:val="0"/>
          <w:sz w:val="20"/>
        </w:rPr>
        <w:t xml:space="preserve">[11] </w:t>
      </w:r>
      <w:r>
        <w:rPr>
          <w:rFonts w:ascii="Times New Roman" w:hAnsi="Times New Roman" w:eastAsia="宋体" w:cs="Times New Roman"/>
          <w:b w:val="0"/>
          <w:i w:val="0"/>
          <w:sz w:val="20"/>
        </w:rPr>
        <w:t>Guo, D., Feng, L., Shi, C., Cao, L., Li, Y., Wang, Y., &amp; Xu, X. (2022). VAPPD: visual analysis of protein pocket dynamics. Applied Sciences, 12(20), 10465. doi: 10.3390/app122010465.</w:t>
      </w:r>
    </w:p>
    <w:p>
      <w:pPr>
        <w:spacing w:line="336" w:lineRule="auto"/>
        <w:ind w:left="454" w:hanging="454"/>
      </w:pPr>
      <w:r>
        <w:rPr>
          <w:rFonts w:ascii="Times New Roman" w:hAnsi="Times New Roman" w:eastAsia="宋体" w:cs="Times New Roman"/>
          <w:b/>
          <w:i w:val="0"/>
          <w:sz w:val="20"/>
        </w:rPr>
        <w:t xml:space="preserve">[12] </w:t>
      </w:r>
      <w:r>
        <w:rPr>
          <w:rFonts w:ascii="Times New Roman" w:hAnsi="Times New Roman" w:eastAsia="宋体" w:cs="Times New Roman"/>
          <w:b w:val="0"/>
          <w:i w:val="0"/>
          <w:sz w:val="20"/>
        </w:rPr>
        <w:t>Guo, D., Zhao, H., Huang, J., Zhao, J., Xu, X., Liu, Y., &amp; Yang, Y. (2025). PocketSCP: a method for spatiotemporal topological visualization and analysis of protein pocket dynamics. Journal of Chemical Information and Modeling. doi: 10.1021/acs.jcim.5c00728.</w:t>
      </w:r>
    </w:p>
    <w:p>
      <w:pPr>
        <w:spacing w:line="336" w:lineRule="auto"/>
        <w:ind w:left="454" w:hanging="454"/>
      </w:pPr>
      <w:r>
        <w:rPr>
          <w:rFonts w:ascii="Times New Roman" w:hAnsi="Times New Roman" w:eastAsia="宋体" w:cs="Times New Roman"/>
          <w:b/>
          <w:i w:val="0"/>
          <w:sz w:val="20"/>
        </w:rPr>
        <w:t xml:space="preserve">[13] </w:t>
      </w:r>
      <w:r>
        <w:rPr>
          <w:rFonts w:ascii="Times New Roman" w:hAnsi="Times New Roman" w:eastAsia="宋体" w:cs="Times New Roman"/>
          <w:b w:val="0"/>
          <w:i w:val="0"/>
          <w:sz w:val="20"/>
        </w:rPr>
        <w:t>Krone, M., Kozlíková, B., et al. (2014). Visual analysis of dynamic protein cavities and binding sites. In Proceedings of IEEE Pacific Visualization Symposium (PacificVis). IEEE.</w:t>
      </w:r>
    </w:p>
    <w:p>
      <w:pPr>
        <w:spacing w:line="336" w:lineRule="auto"/>
        <w:ind w:left="454" w:hanging="454"/>
      </w:pPr>
      <w:r>
        <w:rPr>
          <w:rFonts w:ascii="Times New Roman" w:hAnsi="Times New Roman" w:eastAsia="宋体" w:cs="Times New Roman"/>
          <w:b/>
          <w:i w:val="0"/>
          <w:sz w:val="20"/>
        </w:rPr>
        <w:t xml:space="preserve">[14] </w:t>
      </w:r>
      <w:r>
        <w:rPr>
          <w:rFonts w:ascii="Times New Roman" w:hAnsi="Times New Roman" w:eastAsia="宋体" w:cs="Times New Roman"/>
          <w:b w:val="0"/>
          <w:i w:val="0"/>
          <w:sz w:val="20"/>
        </w:rPr>
        <w:t>Xu, Z., et al. (2019). D3Pockets: a method and web server for systematic analysis of protein pocket dynamics. Journal of Chemical Information and Modeling, 59(8), 3353–3358.</w:t>
      </w:r>
    </w:p>
    <w:p>
      <w:pPr>
        <w:spacing w:line="336" w:lineRule="auto"/>
        <w:ind w:left="454" w:hanging="454"/>
      </w:pPr>
      <w:r>
        <w:rPr>
          <w:rFonts w:ascii="Times New Roman" w:hAnsi="Times New Roman" w:eastAsia="宋体" w:cs="Times New Roman"/>
          <w:b/>
          <w:i w:val="0"/>
          <w:sz w:val="20"/>
        </w:rPr>
        <w:t xml:space="preserve">[15] </w:t>
      </w:r>
      <w:r>
        <w:rPr>
          <w:rFonts w:ascii="Times New Roman" w:hAnsi="Times New Roman" w:eastAsia="宋体" w:cs="Times New Roman"/>
          <w:b w:val="0"/>
          <w:i w:val="0"/>
          <w:sz w:val="20"/>
        </w:rPr>
        <w:t>Schatz, K., Franco-Moreno, J. J., Schäfer, M., et al. (2021). Visual analysis of large-scale protein–ligand interaction data. Computer Graphics Forum, 40(3) (EuroVis 2021). doi: 10.1111/cgf.14386.</w:t>
      </w:r>
    </w:p>
    <w:p>
      <w:pPr>
        <w:spacing w:line="336" w:lineRule="auto"/>
        <w:ind w:left="454" w:hanging="454"/>
      </w:pPr>
      <w:r>
        <w:rPr>
          <w:rFonts w:ascii="Times New Roman" w:hAnsi="Times New Roman" w:eastAsia="宋体" w:cs="Times New Roman"/>
          <w:b/>
          <w:i w:val="0"/>
          <w:sz w:val="20"/>
        </w:rPr>
        <w:t xml:space="preserve">[16] </w:t>
      </w:r>
      <w:r>
        <w:rPr>
          <w:rFonts w:ascii="Times New Roman" w:hAnsi="Times New Roman" w:eastAsia="宋体" w:cs="Times New Roman"/>
          <w:b w:val="0"/>
          <w:i w:val="0"/>
          <w:sz w:val="20"/>
        </w:rPr>
        <w:t>Vant, J. W., et al. (2024). From complex data to clear insights: visualizing molecular dynamics trajectories. Frontiers in Bioinformatics, 4, 1356659. doi: 10.3389/fbinf.2024.1356659.</w:t>
      </w:r>
    </w:p>
    <w:p>
      <w:pPr>
        <w:spacing w:line="336" w:lineRule="auto"/>
        <w:ind w:left="454" w:hanging="454"/>
      </w:pPr>
      <w:r>
        <w:rPr>
          <w:rFonts w:ascii="Times New Roman" w:hAnsi="Times New Roman" w:eastAsia="宋体" w:cs="Times New Roman"/>
          <w:b/>
          <w:i w:val="0"/>
          <w:sz w:val="20"/>
        </w:rPr>
        <w:t xml:space="preserve">[17] </w:t>
      </w:r>
      <w:r>
        <w:rPr>
          <w:rFonts w:ascii="Times New Roman" w:hAnsi="Times New Roman" w:eastAsia="宋体" w:cs="Times New Roman"/>
          <w:b w:val="0"/>
          <w:i w:val="0"/>
          <w:sz w:val="20"/>
        </w:rPr>
        <w:t>Weill, N., &amp; Rognan, D. (2010). Alignment-free ultra-high-throughput comparison of druggable protein–ligand binding sites. Journal of Chemical Information and Modeling, 50(1), 123–135. doi: 10.1021/ci900349y.</w:t>
      </w:r>
    </w:p>
    <w:p>
      <w:pPr>
        <w:spacing w:line="336" w:lineRule="auto"/>
        <w:ind w:left="454" w:hanging="454"/>
      </w:pPr>
      <w:r>
        <w:rPr>
          <w:rFonts w:ascii="Times New Roman" w:hAnsi="Times New Roman" w:eastAsia="宋体" w:cs="Times New Roman"/>
          <w:b/>
          <w:i w:val="0"/>
          <w:sz w:val="20"/>
        </w:rPr>
        <w:t xml:space="preserve">[18] </w:t>
      </w:r>
      <w:r>
        <w:rPr>
          <w:rFonts w:ascii="Times New Roman" w:hAnsi="Times New Roman" w:eastAsia="宋体" w:cs="Times New Roman"/>
          <w:b w:val="0"/>
          <w:i w:val="0"/>
          <w:sz w:val="20"/>
        </w:rPr>
        <w:t>Vishveshwara, S., Ghosh, A., &amp; Hansia, P. (2009). Modeling proteins as residue interaction networks. Current Protein and Peptide Science.</w:t>
      </w:r>
    </w:p>
    <w:p>
      <w:pPr>
        <w:spacing w:line="336" w:lineRule="auto"/>
        <w:ind w:left="454" w:hanging="454"/>
      </w:pPr>
      <w:r>
        <w:rPr>
          <w:rFonts w:ascii="Times New Roman" w:hAnsi="Times New Roman" w:eastAsia="宋体" w:cs="Times New Roman"/>
          <w:b/>
          <w:i w:val="0"/>
          <w:sz w:val="20"/>
        </w:rPr>
        <w:t xml:space="preserve">[19] </w:t>
      </w:r>
      <w:r>
        <w:rPr>
          <w:rFonts w:ascii="Times New Roman" w:hAnsi="Times New Roman" w:eastAsia="宋体" w:cs="Times New Roman"/>
          <w:b w:val="0"/>
          <w:i w:val="0"/>
          <w:sz w:val="20"/>
        </w:rPr>
        <w:t>(2021). Centrality measures in residue interaction networks to highlight amino acids in protein–protein binding. Frontiers in Bioinformatics, 1, 684970. doi: 10.3389/fbinf.2021.684970.</w:t>
      </w:r>
    </w:p>
    <w:p>
      <w:pPr>
        <w:spacing w:line="336" w:lineRule="auto"/>
        <w:ind w:left="454" w:hanging="454"/>
      </w:pPr>
      <w:r>
        <w:rPr>
          <w:rFonts w:ascii="Times New Roman" w:hAnsi="Times New Roman" w:eastAsia="宋体" w:cs="Times New Roman"/>
          <w:b/>
          <w:i w:val="0"/>
          <w:sz w:val="20"/>
        </w:rPr>
        <w:t xml:space="preserve">[20] </w:t>
      </w:r>
      <w:r>
        <w:rPr>
          <w:rFonts w:ascii="Times New Roman" w:hAnsi="Times New Roman" w:eastAsia="宋体" w:cs="Times New Roman"/>
          <w:b w:val="0"/>
          <w:i w:val="0"/>
          <w:sz w:val="20"/>
        </w:rPr>
        <w:t>(2025). Clustering and analyzing ensembles of residue interaction networks from molecular dynamics simulations. ChemRxiv preprint. https://www.chemrxiv.org/engage/chemrxiv/article-details/68430481c1cb1ecda0e41722</w:t>
      </w:r>
    </w:p>
    <w:p>
      <w:pPr>
        <w:spacing w:line="336" w:lineRule="auto"/>
        <w:ind w:left="454" w:hanging="454"/>
      </w:pPr>
      <w:r>
        <w:rPr>
          <w:rFonts w:ascii="Times New Roman" w:hAnsi="Times New Roman" w:eastAsia="宋体" w:cs="Times New Roman"/>
          <w:b/>
          <w:i w:val="0"/>
          <w:sz w:val="20"/>
        </w:rPr>
        <w:t xml:space="preserve">[21] </w:t>
      </w:r>
      <w:r>
        <w:rPr>
          <w:rFonts w:ascii="Times New Roman" w:hAnsi="Times New Roman" w:eastAsia="宋体" w:cs="Times New Roman"/>
          <w:b w:val="0"/>
          <w:i w:val="0"/>
          <w:sz w:val="20"/>
        </w:rPr>
        <w:t>Bernetti, M., Bosio, S., Bresciani, V., &amp; Masetti, M. (2024). Probing allosteric communication with combined molecular dynamics simulations and network analysis. Current Opinion in Structural Biology, 86, 102820. doi: 10.1016/j.sbi.2024.102820.</w:t>
      </w:r>
    </w:p>
    <w:p>
      <w:pPr>
        <w:spacing w:line="336" w:lineRule="auto"/>
        <w:ind w:left="454" w:hanging="454"/>
      </w:pPr>
      <w:r>
        <w:rPr>
          <w:rFonts w:ascii="Times New Roman" w:hAnsi="Times New Roman" w:eastAsia="宋体" w:cs="Times New Roman"/>
          <w:b/>
          <w:i w:val="0"/>
          <w:sz w:val="20"/>
        </w:rPr>
        <w:t xml:space="preserve">[22] </w:t>
      </w:r>
      <w:r>
        <w:rPr>
          <w:rFonts w:ascii="Times New Roman" w:hAnsi="Times New Roman" w:eastAsia="宋体" w:cs="Times New Roman"/>
          <w:b w:val="0"/>
          <w:i w:val="0"/>
          <w:sz w:val="20"/>
        </w:rPr>
        <w:t>Sheik Amamuddy, O., Glenister, M., &amp; Tastan Bishop, Ö. (2021). Allosteric pockets and dynamic residue network hubs of Falcipain 2 in mutations including those linked to artemisinin resistance. Computational and Structural Biotechnology Journal, 19, 5868–5882. doi: 10.1016/j.csbj.2021.10.011.</w:t>
      </w:r>
    </w:p>
    <w:p>
      <w:pPr>
        <w:spacing w:line="336" w:lineRule="auto"/>
        <w:ind w:left="454" w:hanging="454"/>
      </w:pPr>
      <w:r>
        <w:rPr>
          <w:rFonts w:ascii="Times New Roman" w:hAnsi="Times New Roman" w:eastAsia="宋体" w:cs="Times New Roman"/>
          <w:b/>
          <w:i w:val="0"/>
          <w:sz w:val="20"/>
        </w:rPr>
        <w:t xml:space="preserve">[23] </w:t>
      </w:r>
      <w:r>
        <w:rPr>
          <w:rFonts w:ascii="Times New Roman" w:hAnsi="Times New Roman" w:eastAsia="宋体" w:cs="Times New Roman"/>
          <w:b w:val="0"/>
          <w:i w:val="0"/>
          <w:sz w:val="20"/>
        </w:rPr>
        <w:t>La Sala, G., Decherchi, S., De Vivo, M., &amp; Rocchia, W. (2017). Allosteric communication networks in proteins revealed through pocket crosstalk analysis. ACS Central Science, 3(9), 949–960. doi: 10.1021/acscentsci.7b00211.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