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C56" w:rsidRPr="00B75869" w:rsidRDefault="00E85A4B">
      <w:pPr>
        <w:rPr>
          <w:rFonts w:ascii="Arial" w:hAnsi="Arial" w:cs="Arial"/>
        </w:rPr>
      </w:pPr>
      <w:r w:rsidRPr="00B75869">
        <w:rPr>
          <w:rFonts w:ascii="Arial" w:hAnsi="Arial" w:cs="Arial"/>
        </w:rPr>
        <w:t>AP7 – Macroeconomic</w:t>
      </w:r>
    </w:p>
    <w:p w:rsidR="00E85A4B" w:rsidRPr="00B75869" w:rsidRDefault="00E85A4B">
      <w:pPr>
        <w:rPr>
          <w:rFonts w:ascii="Arial" w:hAnsi="Arial" w:cs="Arial"/>
        </w:rPr>
      </w:pPr>
      <w:r w:rsidRPr="00B75869">
        <w:rPr>
          <w:rFonts w:ascii="Arial" w:hAnsi="Arial" w:cs="Arial"/>
        </w:rPr>
        <w:t>Proposal for first deliverable – July 2020</w:t>
      </w:r>
    </w:p>
    <w:p w:rsidR="00E85A4B" w:rsidRPr="00B75869" w:rsidRDefault="00E85A4B" w:rsidP="000E5134">
      <w:pPr>
        <w:jc w:val="both"/>
        <w:rPr>
          <w:rFonts w:ascii="Arial" w:hAnsi="Arial" w:cs="Arial"/>
        </w:rPr>
      </w:pPr>
    </w:p>
    <w:p w:rsidR="00CA2179" w:rsidRPr="00B75869" w:rsidRDefault="000E5134" w:rsidP="000E5134">
      <w:p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There are several challenges regarding the introduction of a carbon tax for transportation and</w:t>
      </w:r>
      <w:r w:rsidR="00CA2179" w:rsidRPr="00B75869">
        <w:rPr>
          <w:rFonts w:ascii="Arial" w:hAnsi="Arial" w:cs="Arial"/>
        </w:rPr>
        <w:t xml:space="preserve"> </w:t>
      </w:r>
      <w:r w:rsidRPr="00B75869">
        <w:rPr>
          <w:rFonts w:ascii="Arial" w:hAnsi="Arial" w:cs="Arial"/>
        </w:rPr>
        <w:t xml:space="preserve">heating fuels, including acceptance risks from low-income households who rely on private transportation on a daily basis, which can undermine the public perception of climate mitigation policies in the long-run. </w:t>
      </w:r>
      <w:r w:rsidR="00CA2179" w:rsidRPr="00B75869">
        <w:rPr>
          <w:rFonts w:ascii="Arial" w:hAnsi="Arial" w:cs="Arial"/>
        </w:rPr>
        <w:t xml:space="preserve">Therefore, the utilization of revenues from the carbon tax plays a critical role on the long-term acceptance of environmental policies as they </w:t>
      </w:r>
      <w:r w:rsidR="009913AB" w:rsidRPr="00B75869">
        <w:rPr>
          <w:rFonts w:ascii="Arial" w:hAnsi="Arial" w:cs="Arial"/>
        </w:rPr>
        <w:t>can make the perceived benefits outweighs the costs.</w:t>
      </w:r>
    </w:p>
    <w:p w:rsidR="00270C14" w:rsidRPr="00B75869" w:rsidRDefault="009913AB" w:rsidP="000E5134">
      <w:p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 xml:space="preserve">With the aforementioned challenges in mind, this work focus on the case of Germany </w:t>
      </w:r>
      <w:r w:rsidR="00FF24F2" w:rsidRPr="00B75869">
        <w:rPr>
          <w:rFonts w:ascii="Arial" w:hAnsi="Arial" w:cs="Arial"/>
        </w:rPr>
        <w:t>and its carbon</w:t>
      </w:r>
      <w:r w:rsidRPr="00B75869">
        <w:rPr>
          <w:rFonts w:ascii="Arial" w:hAnsi="Arial" w:cs="Arial"/>
        </w:rPr>
        <w:t xml:space="preserve"> tax</w:t>
      </w:r>
      <w:r w:rsidR="00FF24F2" w:rsidRPr="00B75869">
        <w:rPr>
          <w:rFonts w:ascii="Arial" w:hAnsi="Arial" w:cs="Arial"/>
        </w:rPr>
        <w:t>, which starts being applied</w:t>
      </w:r>
      <w:r w:rsidRPr="00B75869">
        <w:rPr>
          <w:rFonts w:ascii="Arial" w:hAnsi="Arial" w:cs="Arial"/>
        </w:rPr>
        <w:t xml:space="preserve"> in 2021 on heating and transportation fuels. </w:t>
      </w:r>
      <w:r w:rsidR="00F17BDC" w:rsidRPr="00B75869">
        <w:rPr>
          <w:rFonts w:ascii="Arial" w:hAnsi="Arial" w:cs="Arial"/>
        </w:rPr>
        <w:t xml:space="preserve">In order to </w:t>
      </w:r>
      <w:r w:rsidR="00C568C6" w:rsidRPr="00B75869">
        <w:rPr>
          <w:rFonts w:ascii="Arial" w:hAnsi="Arial" w:cs="Arial"/>
        </w:rPr>
        <w:t xml:space="preserve">assess the </w:t>
      </w:r>
      <w:r w:rsidR="00071E52" w:rsidRPr="00B75869">
        <w:rPr>
          <w:rFonts w:ascii="Arial" w:hAnsi="Arial" w:cs="Arial"/>
        </w:rPr>
        <w:t xml:space="preserve">potential </w:t>
      </w:r>
      <w:r w:rsidR="00C568C6" w:rsidRPr="00B75869">
        <w:rPr>
          <w:rFonts w:ascii="Arial" w:hAnsi="Arial" w:cs="Arial"/>
        </w:rPr>
        <w:t>costs and gains from such policy on German Households</w:t>
      </w:r>
      <w:r w:rsidR="00F17BDC" w:rsidRPr="00B75869">
        <w:rPr>
          <w:rFonts w:ascii="Arial" w:hAnsi="Arial" w:cs="Arial"/>
        </w:rPr>
        <w:t xml:space="preserve">, </w:t>
      </w:r>
      <w:r w:rsidR="00CA2179" w:rsidRPr="00B75869">
        <w:rPr>
          <w:rFonts w:ascii="Arial" w:hAnsi="Arial" w:cs="Arial"/>
        </w:rPr>
        <w:t>a number of carbon-pricing packages</w:t>
      </w:r>
      <w:r w:rsidR="00F17BDC" w:rsidRPr="00B75869">
        <w:rPr>
          <w:rFonts w:ascii="Arial" w:hAnsi="Arial" w:cs="Arial"/>
        </w:rPr>
        <w:t xml:space="preserve"> will be explored</w:t>
      </w:r>
      <w:r w:rsidR="00C568C6" w:rsidRPr="00B75869">
        <w:rPr>
          <w:rFonts w:ascii="Arial" w:hAnsi="Arial" w:cs="Arial"/>
        </w:rPr>
        <w:t xml:space="preserve"> based on</w:t>
      </w:r>
      <w:r w:rsidR="00F17BDC" w:rsidRPr="00B75869">
        <w:rPr>
          <w:rFonts w:ascii="Arial" w:hAnsi="Arial" w:cs="Arial"/>
        </w:rPr>
        <w:t xml:space="preserve"> </w:t>
      </w:r>
      <w:r w:rsidR="00877C8D" w:rsidRPr="00B75869">
        <w:rPr>
          <w:rFonts w:ascii="Arial" w:hAnsi="Arial" w:cs="Arial"/>
        </w:rPr>
        <w:t>two</w:t>
      </w:r>
      <w:r w:rsidR="00CA2179" w:rsidRPr="00B75869">
        <w:rPr>
          <w:rFonts w:ascii="Arial" w:hAnsi="Arial" w:cs="Arial"/>
        </w:rPr>
        <w:t xml:space="preserve"> key pillars: </w:t>
      </w:r>
      <w:proofErr w:type="spellStart"/>
      <w:r w:rsidR="00CA2179" w:rsidRPr="00B75869">
        <w:rPr>
          <w:rFonts w:ascii="Arial" w:hAnsi="Arial" w:cs="Arial"/>
        </w:rPr>
        <w:t>i</w:t>
      </w:r>
      <w:proofErr w:type="spellEnd"/>
      <w:r w:rsidR="00CA2179" w:rsidRPr="00B75869">
        <w:rPr>
          <w:rFonts w:ascii="Arial" w:hAnsi="Arial" w:cs="Arial"/>
        </w:rPr>
        <w:t>) level of tax, ii) distribution of</w:t>
      </w:r>
      <w:r w:rsidR="00877C8D" w:rsidRPr="00B75869">
        <w:rPr>
          <w:rFonts w:ascii="Arial" w:hAnsi="Arial" w:cs="Arial"/>
        </w:rPr>
        <w:t xml:space="preserve"> tax revenues. </w:t>
      </w:r>
      <w:r w:rsidR="00270C14" w:rsidRPr="00B75869">
        <w:rPr>
          <w:rFonts w:ascii="Arial" w:hAnsi="Arial" w:cs="Arial"/>
        </w:rPr>
        <w:t xml:space="preserve">Finally, the impacts will be depicted in terms of income distribution, </w:t>
      </w:r>
      <w:r w:rsidR="00FF24F2" w:rsidRPr="00B75869">
        <w:rPr>
          <w:rFonts w:ascii="Arial" w:hAnsi="Arial" w:cs="Arial"/>
        </w:rPr>
        <w:t>tax burden, economic growth, collected revenue, reduction of emissions and GDP development. Additionally, this first deliverable will focus on the short terms effects, until 2030.</w:t>
      </w:r>
    </w:p>
    <w:p w:rsidR="00FF24F2" w:rsidRPr="00B75869" w:rsidRDefault="00FF24F2" w:rsidP="000E5134">
      <w:p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There are three level of taxes:</w:t>
      </w:r>
    </w:p>
    <w:p w:rsidR="00FF24F2" w:rsidRPr="00B75869" w:rsidRDefault="00FF24F2" w:rsidP="00FF24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Constant at 25€</w:t>
      </w:r>
    </w:p>
    <w:p w:rsidR="00FF24F2" w:rsidRPr="00B75869" w:rsidRDefault="00FF24F2" w:rsidP="00FF24F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Constant at 240€</w:t>
      </w:r>
    </w:p>
    <w:p w:rsidR="00FF24F2" w:rsidRPr="00B75869" w:rsidRDefault="00FF24F2" w:rsidP="000E513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 xml:space="preserve">Variating according to the </w:t>
      </w:r>
      <w:hyperlink r:id="rId5" w:history="1">
        <w:r w:rsidRPr="00B75869">
          <w:rPr>
            <w:rStyle w:val="Hyperlink"/>
            <w:rFonts w:ascii="Arial" w:hAnsi="Arial" w:cs="Arial"/>
          </w:rPr>
          <w:t>proposal for German CO2-Price</w:t>
        </w:r>
      </w:hyperlink>
      <w:r w:rsidRPr="00B75869">
        <w:rPr>
          <w:rFonts w:ascii="Arial" w:hAnsi="Arial" w:cs="Arial"/>
        </w:rPr>
        <w:t xml:space="preserve"> (55€ in 2025 and 97,3€ in 2030)</w:t>
      </w:r>
    </w:p>
    <w:p w:rsidR="00270C14" w:rsidRPr="00B75869" w:rsidRDefault="000C4A93" w:rsidP="000E5134">
      <w:p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And four revenue recycling schemes</w:t>
      </w:r>
    </w:p>
    <w:p w:rsidR="00FF24F2" w:rsidRPr="00B75869" w:rsidRDefault="00FF24F2" w:rsidP="00FF2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Green spending (no redistribution)</w:t>
      </w:r>
    </w:p>
    <w:p w:rsidR="00FF24F2" w:rsidRPr="00B75869" w:rsidRDefault="00FF24F2" w:rsidP="00FF2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Lower electricity price</w:t>
      </w:r>
    </w:p>
    <w:p w:rsidR="00FF24F2" w:rsidRPr="00B75869" w:rsidRDefault="00FF24F2" w:rsidP="00FF2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Equal dividends</w:t>
      </w:r>
    </w:p>
    <w:p w:rsidR="00FF24F2" w:rsidRPr="00B75869" w:rsidRDefault="00FF24F2" w:rsidP="00FF24F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Dividends according to income</w:t>
      </w:r>
    </w:p>
    <w:p w:rsidR="000C4A93" w:rsidRPr="00B75869" w:rsidRDefault="006C6D33" w:rsidP="000C4A93">
      <w:pPr>
        <w:jc w:val="both"/>
        <w:rPr>
          <w:rFonts w:ascii="Arial" w:hAnsi="Arial" w:cs="Arial"/>
        </w:rPr>
      </w:pPr>
      <w:r w:rsidRPr="00B75869">
        <w:rPr>
          <w:rFonts w:ascii="Arial" w:hAnsi="Arial" w:cs="Arial"/>
        </w:rPr>
        <w:t>With this mix</w:t>
      </w:r>
      <w:r w:rsidR="00F704D6" w:rsidRPr="00B75869">
        <w:rPr>
          <w:rFonts w:ascii="Arial" w:hAnsi="Arial" w:cs="Arial"/>
        </w:rPr>
        <w:t>,</w:t>
      </w:r>
      <w:r w:rsidRPr="00B75869">
        <w:rPr>
          <w:rFonts w:ascii="Arial" w:hAnsi="Arial" w:cs="Arial"/>
        </w:rPr>
        <w:t xml:space="preserve"> it is possible to investigate the impacts of di</w:t>
      </w:r>
      <w:r w:rsidR="00F704D6" w:rsidRPr="00B75869">
        <w:rPr>
          <w:rFonts w:ascii="Arial" w:hAnsi="Arial" w:cs="Arial"/>
        </w:rPr>
        <w:t>stinct</w:t>
      </w:r>
      <w:r w:rsidRPr="00B75869">
        <w:rPr>
          <w:rFonts w:ascii="Arial" w:hAnsi="Arial" w:cs="Arial"/>
        </w:rPr>
        <w:t xml:space="preserve"> levels of </w:t>
      </w:r>
      <w:r w:rsidR="00F704D6" w:rsidRPr="00B75869">
        <w:rPr>
          <w:rFonts w:ascii="Arial" w:hAnsi="Arial" w:cs="Arial"/>
        </w:rPr>
        <w:t>CO2-</w:t>
      </w:r>
      <w:r w:rsidRPr="00B75869">
        <w:rPr>
          <w:rFonts w:ascii="Arial" w:hAnsi="Arial" w:cs="Arial"/>
        </w:rPr>
        <w:t>taxation and different revenu</w:t>
      </w:r>
      <w:r w:rsidR="00F704D6" w:rsidRPr="00B75869">
        <w:rPr>
          <w:rFonts w:ascii="Arial" w:hAnsi="Arial" w:cs="Arial"/>
        </w:rPr>
        <w:t>e recycling options. Besides, they are</w:t>
      </w:r>
      <w:r w:rsidRPr="00B75869">
        <w:rPr>
          <w:rFonts w:ascii="Arial" w:hAnsi="Arial" w:cs="Arial"/>
        </w:rPr>
        <w:t xml:space="preserve"> in line with the German CO2-price and the CO2-Bepreisungsvariante presented last year. This first study would serve as a basis for the next </w:t>
      </w:r>
      <w:r w:rsidR="00F704D6" w:rsidRPr="00B75869">
        <w:rPr>
          <w:rFonts w:ascii="Arial" w:hAnsi="Arial" w:cs="Arial"/>
        </w:rPr>
        <w:t>two phases of AP7, in which the economic analysis can be refined as the project consortium deems fit, and would already deliver results to initiate the discussion about CO2-pricing with stakeholders.</w:t>
      </w:r>
    </w:p>
    <w:p w:rsidR="00FF24F2" w:rsidRPr="00B75869" w:rsidRDefault="00FF24F2" w:rsidP="00FF24F2">
      <w:pPr>
        <w:jc w:val="both"/>
        <w:rPr>
          <w:rFonts w:ascii="Arial" w:hAnsi="Arial" w:cs="Arial"/>
        </w:rPr>
      </w:pPr>
    </w:p>
    <w:p w:rsidR="00FF24F2" w:rsidRPr="00B75869" w:rsidRDefault="00FF24F2" w:rsidP="00FF24F2">
      <w:pPr>
        <w:jc w:val="both"/>
        <w:rPr>
          <w:rFonts w:ascii="Arial" w:hAnsi="Arial" w:cs="Arial"/>
        </w:rPr>
      </w:pPr>
    </w:p>
    <w:p w:rsidR="00270C14" w:rsidRPr="00B75869" w:rsidRDefault="00270C14" w:rsidP="000E5134">
      <w:pPr>
        <w:jc w:val="both"/>
        <w:rPr>
          <w:rFonts w:ascii="Arial" w:hAnsi="Arial" w:cs="Arial"/>
        </w:rPr>
      </w:pPr>
    </w:p>
    <w:p w:rsidR="00270C14" w:rsidRPr="00B75869" w:rsidRDefault="00270C14" w:rsidP="000E5134">
      <w:pPr>
        <w:jc w:val="both"/>
        <w:rPr>
          <w:rFonts w:ascii="Arial" w:hAnsi="Arial" w:cs="Arial"/>
        </w:rPr>
      </w:pPr>
    </w:p>
    <w:p w:rsidR="00EE7E8E" w:rsidRPr="00B75869" w:rsidRDefault="00EE7E8E" w:rsidP="000E5134">
      <w:pPr>
        <w:jc w:val="both"/>
        <w:rPr>
          <w:rFonts w:ascii="Arial" w:hAnsi="Arial" w:cs="Arial"/>
        </w:rPr>
      </w:pPr>
    </w:p>
    <w:p w:rsidR="00EE7E8E" w:rsidRPr="00B75869" w:rsidRDefault="00EE7E8E" w:rsidP="000E5134">
      <w:pPr>
        <w:jc w:val="both"/>
        <w:rPr>
          <w:rFonts w:ascii="Arial" w:hAnsi="Arial" w:cs="Arial"/>
        </w:rPr>
      </w:pPr>
    </w:p>
    <w:p w:rsidR="00EE7E8E" w:rsidRPr="00B75869" w:rsidRDefault="00EE7E8E" w:rsidP="000E5134">
      <w:pPr>
        <w:jc w:val="both"/>
        <w:rPr>
          <w:rFonts w:ascii="Arial" w:hAnsi="Arial" w:cs="Arial"/>
        </w:rPr>
      </w:pPr>
    </w:p>
    <w:p w:rsidR="00EE7E8E" w:rsidRPr="00B75869" w:rsidRDefault="00EE7E8E" w:rsidP="000E5134">
      <w:pPr>
        <w:jc w:val="both"/>
        <w:rPr>
          <w:rFonts w:ascii="Arial" w:hAnsi="Arial" w:cs="Arial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86"/>
        <w:gridCol w:w="543"/>
        <w:gridCol w:w="1190"/>
        <w:gridCol w:w="689"/>
        <w:gridCol w:w="1949"/>
        <w:gridCol w:w="1615"/>
        <w:gridCol w:w="1490"/>
        <w:gridCol w:w="1334"/>
      </w:tblGrid>
      <w:tr w:rsidR="00EE7E8E" w:rsidRPr="00B75869" w:rsidTr="00EE7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  <w:right w:val="single" w:sz="4" w:space="0" w:color="auto"/>
            </w:tcBorders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2" w:type="dxa"/>
            <w:gridSpan w:val="3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B75869">
              <w:rPr>
                <w:rFonts w:ascii="Arial" w:hAnsi="Arial" w:cs="Arial"/>
                <w:b w:val="0"/>
                <w:lang w:val="de-DE"/>
              </w:rPr>
              <w:t>Kosten (</w:t>
            </w:r>
            <w:r w:rsidRPr="00B75869">
              <w:rPr>
                <w:rFonts w:ascii="Arial" w:hAnsi="Arial" w:cs="Arial"/>
                <w:b w:val="0"/>
                <w:bCs w:val="0"/>
                <w:lang w:val="de-DE"/>
              </w:rPr>
              <w:t xml:space="preserve"> € </w:t>
            </w:r>
            <w:r w:rsidRPr="00B75869">
              <w:rPr>
                <w:rFonts w:ascii="Arial" w:hAnsi="Arial" w:cs="Arial"/>
                <w:b w:val="0"/>
                <w:lang w:val="de-DE"/>
              </w:rPr>
              <w:t>pro Tonne CO</w:t>
            </w:r>
            <w:r w:rsidRPr="00B75869">
              <w:rPr>
                <w:rFonts w:ascii="Arial" w:hAnsi="Arial" w:cs="Arial"/>
                <w:b w:val="0"/>
                <w:vertAlign w:val="subscript"/>
                <w:lang w:val="de-DE"/>
              </w:rPr>
              <w:t>2</w:t>
            </w:r>
            <w:r w:rsidRPr="00B75869">
              <w:rPr>
                <w:rFonts w:ascii="Arial" w:hAnsi="Arial" w:cs="Arial"/>
                <w:b w:val="0"/>
                <w:lang w:val="de-DE"/>
              </w:rPr>
              <w:t>)</w:t>
            </w:r>
          </w:p>
        </w:tc>
        <w:tc>
          <w:tcPr>
            <w:tcW w:w="6388" w:type="dxa"/>
            <w:gridSpan w:val="4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B75869">
              <w:rPr>
                <w:rFonts w:ascii="Arial" w:hAnsi="Arial" w:cs="Arial"/>
                <w:b w:val="0"/>
              </w:rPr>
              <w:t>Rückverteilung</w:t>
            </w: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</w:rPr>
              <w:t> 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 xml:space="preserve">25 </w:t>
            </w:r>
          </w:p>
        </w:tc>
        <w:tc>
          <w:tcPr>
            <w:tcW w:w="1190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>55 - 97,3</w:t>
            </w:r>
          </w:p>
        </w:tc>
        <w:tc>
          <w:tcPr>
            <w:tcW w:w="6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>240</w:t>
            </w:r>
          </w:p>
        </w:tc>
        <w:tc>
          <w:tcPr>
            <w:tcW w:w="194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 xml:space="preserve">Green </w:t>
            </w:r>
            <w:proofErr w:type="spellStart"/>
            <w:r w:rsidRPr="00B75869">
              <w:rPr>
                <w:rFonts w:ascii="Arial" w:hAnsi="Arial" w:cs="Arial"/>
                <w:b/>
                <w:bCs/>
                <w:lang w:val="de-DE"/>
              </w:rPr>
              <w:t>spending</w:t>
            </w:r>
            <w:proofErr w:type="spellEnd"/>
            <w:r w:rsidRPr="00B75869">
              <w:rPr>
                <w:rFonts w:ascii="Arial" w:hAnsi="Arial" w:cs="Arial"/>
                <w:b/>
                <w:bCs/>
                <w:lang w:val="de-DE"/>
              </w:rPr>
              <w:t xml:space="preserve"> (keine Rückverteilung)</w:t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>Strom-</w:t>
            </w:r>
            <w:proofErr w:type="spellStart"/>
            <w:r w:rsidRPr="00B75869">
              <w:rPr>
                <w:rFonts w:ascii="Arial" w:hAnsi="Arial" w:cs="Arial"/>
                <w:b/>
                <w:bCs/>
                <w:lang w:val="de-DE"/>
              </w:rPr>
              <w:t>preise</w:t>
            </w:r>
            <w:proofErr w:type="spellEnd"/>
            <w:r w:rsidRPr="00B75869">
              <w:rPr>
                <w:rFonts w:ascii="Arial" w:hAnsi="Arial" w:cs="Arial"/>
                <w:b/>
                <w:bCs/>
                <w:lang w:val="de-DE"/>
              </w:rPr>
              <w:t xml:space="preserve"> senken</w:t>
            </w:r>
          </w:p>
        </w:tc>
        <w:tc>
          <w:tcPr>
            <w:tcW w:w="1490" w:type="dxa"/>
            <w:tcBorders>
              <w:bottom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>Dividende, nach Einkommen</w:t>
            </w:r>
          </w:p>
        </w:tc>
        <w:tc>
          <w:tcPr>
            <w:tcW w:w="13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7E8E" w:rsidRPr="00B75869" w:rsidRDefault="00EE7E8E" w:rsidP="00EE7E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B75869">
              <w:rPr>
                <w:rFonts w:ascii="Arial" w:hAnsi="Arial" w:cs="Arial"/>
                <w:b/>
                <w:bCs/>
                <w:lang w:val="de-DE"/>
              </w:rPr>
              <w:t>Dividende, gleich</w:t>
            </w: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tcBorders>
              <w:top w:val="single" w:sz="4" w:space="0" w:color="auto"/>
            </w:tcBorders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2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3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4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5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6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7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8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9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10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</w:tr>
      <w:tr w:rsidR="00EE7E8E" w:rsidRPr="00B75869" w:rsidTr="00EE7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11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</w:tr>
      <w:tr w:rsidR="00EE7E8E" w:rsidRPr="00B75869" w:rsidTr="00EE7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hideMark/>
          </w:tcPr>
          <w:p w:rsidR="00EE7E8E" w:rsidRPr="00B75869" w:rsidRDefault="00EE7E8E" w:rsidP="00EE7E8E">
            <w:pPr>
              <w:jc w:val="both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12</w:t>
            </w:r>
          </w:p>
        </w:tc>
        <w:tc>
          <w:tcPr>
            <w:tcW w:w="543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  <w:tc>
          <w:tcPr>
            <w:tcW w:w="1949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15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90" w:type="dxa"/>
            <w:hideMark/>
          </w:tcPr>
          <w:p w:rsidR="00EE7E8E" w:rsidRPr="00B75869" w:rsidRDefault="00EE7E8E" w:rsidP="00EE7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334" w:type="dxa"/>
            <w:hideMark/>
          </w:tcPr>
          <w:p w:rsidR="00EE7E8E" w:rsidRPr="00B75869" w:rsidRDefault="00EE7E8E" w:rsidP="00EE7E8E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75869">
              <w:rPr>
                <w:rFonts w:ascii="Arial" w:hAnsi="Arial" w:cs="Arial"/>
                <w:lang w:val="de-DE"/>
              </w:rPr>
              <w:t>X</w:t>
            </w:r>
          </w:p>
        </w:tc>
      </w:tr>
    </w:tbl>
    <w:p w:rsidR="00EE7E8E" w:rsidRPr="00B75869" w:rsidRDefault="00EE7E8E" w:rsidP="00EE7E8E">
      <w:pPr>
        <w:pStyle w:val="Caption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t xml:space="preserve">Table </w:t>
      </w: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Table \* ARABIC </w:instrText>
      </w: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Pr="00B75869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B75869">
        <w:rPr>
          <w:rFonts w:ascii="Arial" w:hAnsi="Arial" w:cs="Arial"/>
          <w:b/>
          <w:i w:val="0"/>
          <w:color w:val="auto"/>
          <w:sz w:val="20"/>
          <w:szCs w:val="20"/>
        </w:rPr>
        <w:t>: Scenario matrix for AP7</w:t>
      </w:r>
    </w:p>
    <w:p w:rsidR="00B75869" w:rsidRPr="00B75869" w:rsidRDefault="00B75869" w:rsidP="00B75869">
      <w:pPr>
        <w:rPr>
          <w:rFonts w:ascii="Arial" w:hAnsi="Arial" w:cs="Arial"/>
        </w:rPr>
      </w:pPr>
    </w:p>
    <w:p w:rsidR="00B75869" w:rsidRDefault="00B75869" w:rsidP="00B75869">
      <w:pPr>
        <w:rPr>
          <w:rFonts w:ascii="Arial" w:hAnsi="Arial" w:cs="Arial"/>
        </w:rPr>
      </w:pPr>
      <w:r w:rsidRPr="00B75869">
        <w:rPr>
          <w:rFonts w:ascii="Arial" w:hAnsi="Arial" w:cs="Arial"/>
        </w:rPr>
        <w:t>Targets</w:t>
      </w:r>
      <w:r>
        <w:rPr>
          <w:rFonts w:ascii="Arial" w:hAnsi="Arial" w:cs="Arial"/>
        </w:rPr>
        <w:t xml:space="preserve"> for other regions:</w:t>
      </w:r>
    </w:p>
    <w:p w:rsidR="00B75869" w:rsidRDefault="00B75869" w:rsidP="00B7586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Other EU-</w:t>
      </w:r>
      <w:r w:rsidR="007916D6">
        <w:rPr>
          <w:rFonts w:ascii="Arial" w:hAnsi="Arial" w:cs="Arial"/>
        </w:rPr>
        <w:t>28</w:t>
      </w:r>
    </w:p>
    <w:p w:rsidR="007916D6" w:rsidRDefault="007916D6" w:rsidP="007916D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line with ESR for 2030.</w:t>
      </w:r>
    </w:p>
    <w:p w:rsidR="007916D6" w:rsidRDefault="007916D6" w:rsidP="007916D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Modeled as national cap-and-trade for non-ETS sectors.</w:t>
      </w:r>
    </w:p>
    <w:p w:rsidR="007916D6" w:rsidRDefault="007916D6" w:rsidP="007916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Non-EU-28 regions</w:t>
      </w:r>
    </w:p>
    <w:p w:rsidR="007916D6" w:rsidRDefault="007916D6" w:rsidP="007916D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Middle-of-the-road targets</w:t>
      </w:r>
    </w:p>
    <w:p w:rsidR="007916D6" w:rsidRDefault="007916D6" w:rsidP="007916D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Modeled and national cap-and-trade for all sectors</w:t>
      </w:r>
    </w:p>
    <w:p w:rsidR="007916D6" w:rsidRDefault="007916D6" w:rsidP="007916D6">
      <w:pPr>
        <w:rPr>
          <w:rFonts w:ascii="Arial" w:hAnsi="Arial" w:cs="Arial"/>
        </w:rPr>
      </w:pPr>
    </w:p>
    <w:p w:rsidR="007916D6" w:rsidRDefault="007916D6" w:rsidP="007916D6">
      <w:pPr>
        <w:rPr>
          <w:rFonts w:ascii="Arial" w:hAnsi="Arial" w:cs="Arial"/>
        </w:rPr>
      </w:pPr>
      <w:r>
        <w:rPr>
          <w:rFonts w:ascii="Arial" w:hAnsi="Arial" w:cs="Arial"/>
        </w:rPr>
        <w:t>Open Questions:</w:t>
      </w:r>
    </w:p>
    <w:p w:rsidR="007916D6" w:rsidRDefault="007916D6" w:rsidP="007916D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UK in the EU or not?</w:t>
      </w:r>
    </w:p>
    <w:p w:rsidR="007916D6" w:rsidRDefault="007916D6" w:rsidP="007916D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not, which targets should they follow?</w:t>
      </w:r>
    </w:p>
    <w:p w:rsidR="007916D6" w:rsidRDefault="007916D6" w:rsidP="007916D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will be the reference scenario?</w:t>
      </w:r>
    </w:p>
    <w:p w:rsidR="007916D6" w:rsidRDefault="007916D6" w:rsidP="007916D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Potencia</w:t>
      </w:r>
      <w:proofErr w:type="spellEnd"/>
      <w:r>
        <w:rPr>
          <w:rFonts w:ascii="Arial" w:hAnsi="Arial" w:cs="Arial"/>
        </w:rPr>
        <w:t>?</w:t>
      </w:r>
    </w:p>
    <w:p w:rsidR="007916D6" w:rsidRDefault="007916D6" w:rsidP="007916D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Current policies?</w:t>
      </w:r>
    </w:p>
    <w:p w:rsidR="007916D6" w:rsidRPr="007916D6" w:rsidRDefault="007916D6" w:rsidP="007916D6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New targets without German carbon price?</w:t>
      </w:r>
      <w:bookmarkStart w:id="0" w:name="_GoBack"/>
      <w:bookmarkEnd w:id="0"/>
    </w:p>
    <w:sectPr w:rsidR="007916D6" w:rsidRPr="007916D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4963"/>
    <w:multiLevelType w:val="hybridMultilevel"/>
    <w:tmpl w:val="30D4A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7F9"/>
    <w:multiLevelType w:val="hybridMultilevel"/>
    <w:tmpl w:val="A0DA6E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345A4"/>
    <w:multiLevelType w:val="hybridMultilevel"/>
    <w:tmpl w:val="DA4C1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D19"/>
    <w:multiLevelType w:val="hybridMultilevel"/>
    <w:tmpl w:val="C28E4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F58"/>
    <w:rsid w:val="00071E52"/>
    <w:rsid w:val="000C4A93"/>
    <w:rsid w:val="000E5134"/>
    <w:rsid w:val="0013327F"/>
    <w:rsid w:val="00270C14"/>
    <w:rsid w:val="006C6D33"/>
    <w:rsid w:val="007916D6"/>
    <w:rsid w:val="00877C8D"/>
    <w:rsid w:val="009913AB"/>
    <w:rsid w:val="00B75869"/>
    <w:rsid w:val="00C568C6"/>
    <w:rsid w:val="00CA2179"/>
    <w:rsid w:val="00CE0C1A"/>
    <w:rsid w:val="00E85A4B"/>
    <w:rsid w:val="00EE7E8E"/>
    <w:rsid w:val="00F17BDC"/>
    <w:rsid w:val="00F704D6"/>
    <w:rsid w:val="00F90F58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1E6A2"/>
  <w15:chartTrackingRefBased/>
  <w15:docId w15:val="{EE13DAB2-A3BA-4FDD-BADE-45395C8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4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7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E7E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E7E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p21.bundestag.de/dip21/btd/19/199/19199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Montenegro</dc:creator>
  <cp:keywords/>
  <dc:description/>
  <cp:lastModifiedBy>Roland Montenegro</cp:lastModifiedBy>
  <cp:revision>7</cp:revision>
  <dcterms:created xsi:type="dcterms:W3CDTF">2020-12-21T10:01:00Z</dcterms:created>
  <dcterms:modified xsi:type="dcterms:W3CDTF">2021-04-14T09:39:00Z</dcterms:modified>
</cp:coreProperties>
</file>