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C56" w:rsidRPr="000E5134" w:rsidRDefault="00E85A4B">
      <w:pPr>
        <w:rPr>
          <w:rFonts w:ascii="Arial" w:hAnsi="Arial" w:cs="Arial"/>
        </w:rPr>
      </w:pPr>
      <w:r w:rsidRPr="000E5134">
        <w:rPr>
          <w:rFonts w:ascii="Arial" w:hAnsi="Arial" w:cs="Arial"/>
        </w:rPr>
        <w:t>AP7 – Macroeconomic</w:t>
      </w:r>
    </w:p>
    <w:p w:rsidR="00E85A4B" w:rsidRPr="000E5134" w:rsidRDefault="00E85A4B">
      <w:pPr>
        <w:rPr>
          <w:rFonts w:ascii="Arial" w:hAnsi="Arial" w:cs="Arial"/>
        </w:rPr>
      </w:pPr>
      <w:r w:rsidRPr="000E5134">
        <w:rPr>
          <w:rFonts w:ascii="Arial" w:hAnsi="Arial" w:cs="Arial"/>
        </w:rPr>
        <w:t>Proposal for first deliverable – July 2020</w:t>
      </w:r>
    </w:p>
    <w:p w:rsidR="00E85A4B" w:rsidRPr="000E5134" w:rsidRDefault="00E85A4B" w:rsidP="000E5134">
      <w:pPr>
        <w:jc w:val="both"/>
        <w:rPr>
          <w:rFonts w:ascii="Arial" w:hAnsi="Arial" w:cs="Arial"/>
        </w:rPr>
      </w:pPr>
    </w:p>
    <w:p w:rsidR="00CA2179" w:rsidRDefault="000E5134" w:rsidP="000E5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There are several </w:t>
      </w:r>
      <w:r w:rsidRPr="000E5134">
        <w:rPr>
          <w:rFonts w:ascii="Arial" w:hAnsi="Arial" w:cs="Arial"/>
        </w:rPr>
        <w:t>ch</w:t>
      </w:r>
      <w:r>
        <w:rPr>
          <w:rFonts w:ascii="Arial" w:hAnsi="Arial" w:cs="Arial"/>
        </w:rPr>
        <w:t>allenges regarding the introduction of a carbon tax for transportation and</w:t>
      </w:r>
      <w:r w:rsidR="00CA21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heating fuels, including acceptance risks from low-income households who rely on private transportation on a daily basis, which can undermine the public perception of climate mitigation policies in the long-run. </w:t>
      </w:r>
      <w:r w:rsidR="00CA2179">
        <w:rPr>
          <w:rFonts w:ascii="Arial" w:hAnsi="Arial" w:cs="Arial"/>
        </w:rPr>
        <w:t xml:space="preserve">Therefore, the utilization of revenues from the carbon tax plays a critical role on the long-term acceptance of environmental policies as they </w:t>
      </w:r>
      <w:r w:rsidR="009913AB">
        <w:rPr>
          <w:rFonts w:ascii="Arial" w:hAnsi="Arial" w:cs="Arial"/>
        </w:rPr>
        <w:t>can make the perceived benefits outweighs the costs.</w:t>
      </w:r>
    </w:p>
    <w:p w:rsidR="00CA2179" w:rsidRDefault="00CA2179" w:rsidP="000E5134">
      <w:pPr>
        <w:jc w:val="both"/>
        <w:rPr>
          <w:rFonts w:ascii="Arial" w:hAnsi="Arial" w:cs="Arial"/>
        </w:rPr>
      </w:pPr>
    </w:p>
    <w:p w:rsidR="00E85A4B" w:rsidRDefault="009913AB" w:rsidP="000E5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the aforementioned challenges in mind, this work focus on the case of Germany and its plan to introduce a carbon tax in 2021 on heating and transportation fuels. </w:t>
      </w:r>
      <w:r w:rsidR="00F17BDC">
        <w:rPr>
          <w:rFonts w:ascii="Arial" w:hAnsi="Arial" w:cs="Arial"/>
        </w:rPr>
        <w:t xml:space="preserve">In order to </w:t>
      </w:r>
      <w:r w:rsidR="00C568C6">
        <w:rPr>
          <w:rFonts w:ascii="Arial" w:hAnsi="Arial" w:cs="Arial"/>
        </w:rPr>
        <w:t xml:space="preserve">assess the </w:t>
      </w:r>
      <w:r w:rsidR="00071E52">
        <w:rPr>
          <w:rFonts w:ascii="Arial" w:hAnsi="Arial" w:cs="Arial"/>
        </w:rPr>
        <w:t xml:space="preserve">potential </w:t>
      </w:r>
      <w:r w:rsidR="00C568C6">
        <w:rPr>
          <w:rFonts w:ascii="Arial" w:hAnsi="Arial" w:cs="Arial"/>
        </w:rPr>
        <w:t>costs and gains from such policy on German Households</w:t>
      </w:r>
      <w:r w:rsidR="00F17BDC">
        <w:rPr>
          <w:rFonts w:ascii="Arial" w:hAnsi="Arial" w:cs="Arial"/>
        </w:rPr>
        <w:t xml:space="preserve">, </w:t>
      </w:r>
      <w:r w:rsidR="00CA2179">
        <w:rPr>
          <w:rFonts w:ascii="Arial" w:hAnsi="Arial" w:cs="Arial"/>
        </w:rPr>
        <w:t>a number of carbon-pricing packages</w:t>
      </w:r>
      <w:r w:rsidR="00F17BDC">
        <w:rPr>
          <w:rFonts w:ascii="Arial" w:hAnsi="Arial" w:cs="Arial"/>
        </w:rPr>
        <w:t xml:space="preserve"> will be explored</w:t>
      </w:r>
      <w:r w:rsidR="00C568C6">
        <w:rPr>
          <w:rFonts w:ascii="Arial" w:hAnsi="Arial" w:cs="Arial"/>
        </w:rPr>
        <w:t xml:space="preserve"> based on</w:t>
      </w:r>
      <w:r w:rsidR="00F17BDC">
        <w:rPr>
          <w:rFonts w:ascii="Arial" w:hAnsi="Arial" w:cs="Arial"/>
        </w:rPr>
        <w:t xml:space="preserve"> </w:t>
      </w:r>
      <w:r w:rsidR="00CA2179">
        <w:rPr>
          <w:rFonts w:ascii="Arial" w:hAnsi="Arial" w:cs="Arial"/>
        </w:rPr>
        <w:t xml:space="preserve">three key pillars: </w:t>
      </w:r>
      <w:proofErr w:type="spellStart"/>
      <w:r w:rsidR="00CA2179">
        <w:rPr>
          <w:rFonts w:ascii="Arial" w:hAnsi="Arial" w:cs="Arial"/>
        </w:rPr>
        <w:t>i</w:t>
      </w:r>
      <w:proofErr w:type="spellEnd"/>
      <w:r w:rsidR="00CA2179">
        <w:rPr>
          <w:rFonts w:ascii="Arial" w:hAnsi="Arial" w:cs="Arial"/>
        </w:rPr>
        <w:t>) level of tax, ii) distribution of</w:t>
      </w:r>
      <w:r w:rsidR="00071E52">
        <w:rPr>
          <w:rFonts w:ascii="Arial" w:hAnsi="Arial" w:cs="Arial"/>
        </w:rPr>
        <w:t xml:space="preserve"> tax revenues and iii) utilization of revenues from other sectors. </w:t>
      </w:r>
      <w:r w:rsidR="00270C14">
        <w:rPr>
          <w:rFonts w:ascii="Arial" w:hAnsi="Arial" w:cs="Arial"/>
        </w:rPr>
        <w:t>Finally, the impacts will be depicted in terms of income distribution, tax burden, economic growth and collected revenue.</w:t>
      </w:r>
    </w:p>
    <w:p w:rsidR="00270C14" w:rsidRDefault="00270C14" w:rsidP="000E5134">
      <w:pPr>
        <w:jc w:val="both"/>
        <w:rPr>
          <w:rFonts w:ascii="Arial" w:hAnsi="Arial" w:cs="Arial"/>
        </w:rPr>
      </w:pPr>
    </w:p>
    <w:p w:rsidR="00270C14" w:rsidRDefault="00270C14" w:rsidP="000E5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Level of tax</w:t>
      </w:r>
    </w:p>
    <w:p w:rsidR="00270C14" w:rsidRDefault="00270C14" w:rsidP="000E5134">
      <w:pPr>
        <w:jc w:val="both"/>
        <w:rPr>
          <w:rFonts w:ascii="Arial" w:hAnsi="Arial" w:cs="Arial"/>
        </w:rPr>
      </w:pPr>
    </w:p>
    <w:p w:rsidR="00270C14" w:rsidRDefault="00270C14" w:rsidP="000E5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Distribution of tax revenues</w:t>
      </w:r>
    </w:p>
    <w:p w:rsidR="00270C14" w:rsidRDefault="00270C14" w:rsidP="000E5134">
      <w:pPr>
        <w:jc w:val="both"/>
        <w:rPr>
          <w:rFonts w:ascii="Arial" w:hAnsi="Arial" w:cs="Arial"/>
        </w:rPr>
      </w:pPr>
    </w:p>
    <w:p w:rsidR="00270C14" w:rsidRPr="000E5134" w:rsidRDefault="00270C14" w:rsidP="000E5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Utilization from other sectors</w:t>
      </w:r>
      <w:bookmarkStart w:id="0" w:name="_GoBack"/>
      <w:bookmarkEnd w:id="0"/>
    </w:p>
    <w:sectPr w:rsidR="00270C14" w:rsidRPr="000E513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58"/>
    <w:rsid w:val="00071E52"/>
    <w:rsid w:val="000E5134"/>
    <w:rsid w:val="0013327F"/>
    <w:rsid w:val="00270C14"/>
    <w:rsid w:val="009913AB"/>
    <w:rsid w:val="00C568C6"/>
    <w:rsid w:val="00CA2179"/>
    <w:rsid w:val="00CE0C1A"/>
    <w:rsid w:val="00E85A4B"/>
    <w:rsid w:val="00F17BDC"/>
    <w:rsid w:val="00F9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3DAB2-A3BA-4FDD-BADE-45395C85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Montenegro</dc:creator>
  <cp:keywords/>
  <dc:description/>
  <cp:lastModifiedBy>Roland Montenegro</cp:lastModifiedBy>
  <cp:revision>4</cp:revision>
  <dcterms:created xsi:type="dcterms:W3CDTF">2020-12-21T10:01:00Z</dcterms:created>
  <dcterms:modified xsi:type="dcterms:W3CDTF">2020-12-21T11:11:00Z</dcterms:modified>
</cp:coreProperties>
</file>