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Draft - Requires Review</w:t>
      </w:r>
    </w:p>
    <w:p>
      <w:pPr>
        <w:pStyle w:val="Title"/>
      </w:pPr>
      <w:r>
        <w:rPr>
          <w:sz w:val="40"/>
        </w:rPr>
        <w:t>Inspection Report - Torque retention verification</w:t>
      </w:r>
    </w:p>
    <w:p>
      <w:pPr>
        <w:pStyle w:val="Subtitle"/>
      </w:pPr>
      <w:r>
        <w:rPr>
          <w:sz w:val="24"/>
        </w:rPr>
        <w:t>Protocol PROT-2026-014 - Revision B - 2026-10-01</w:t>
      </w:r>
    </w:p>
    <w:p>
      <w:pPr/>
      <w:r>
        <w:rPr>
          <w:sz w:val="24"/>
        </w:rPr>
        <w:t>This report was generated automatically from the approved protocol, the raw measurement data and the supplied reference documents. It is issued as a draft for review; the reviewer must verify all entries before approval.</w:t>
      </w:r>
    </w:p>
    <w:p>
      <w:pPr>
        <w:pStyle w:val="Heading1"/>
      </w:pPr>
      <w:r>
        <w:rPr>
          <w:sz w:val="24"/>
        </w:rPr>
        <w:t>Project information and fixed statements</w:t>
      </w:r>
    </w:p>
    <w:p>
      <w:r>
        <w:rPr>
          <w:i/>
          <w:color w:val="666666"/>
          <w:sz w:val="18"/>
        </w:rPr>
        <w:t>Process control: deterministic / template-based</w:t>
      </w:r>
    </w:p>
    <w:p>
      <w:pPr>
        <w:pStyle w:val="Heading1"/>
      </w:pPr>
      <w:r>
        <w:rPr>
          <w:sz w:val="24"/>
        </w:rPr>
        <w:t>Test method and reference guidance</w:t>
      </w:r>
    </w:p>
    <w:p>
      <w:r>
        <w:rPr>
          <w:i/>
          <w:color w:val="666666"/>
          <w:sz w:val="18"/>
        </w:rPr>
        <w:t>Process control: RAG (retrieval over reference documents, sources cited)</w:t>
      </w:r>
    </w:p>
    <w:p>
      <w:pPr>
        <w:pStyle w:val="Heading1"/>
      </w:pPr>
      <w:r>
        <w:rPr>
          <w:sz w:val="24"/>
        </w:rPr>
        <w:t>Results and evidence</w:t>
      </w:r>
    </w:p>
    <w:p>
      <w:r>
        <w:rPr>
          <w:i/>
          <w:color w:val="666666"/>
          <w:sz w:val="18"/>
        </w:rPr>
        <w:t>Process control: evidence-based, deterministic processing</w:t>
      </w:r>
    </w:p>
    <w:p>
      <w:pPr>
        <w:pStyle w:val="Heading1"/>
      </w:pPr>
      <w:r>
        <w:rPr>
          <w:sz w:val="24"/>
        </w:rPr>
        <w:t>Summary and observations</w:t>
      </w:r>
    </w:p>
    <w:p>
      <w:r>
        <w:rPr>
          <w:i/>
          <w:color w:val="666666"/>
          <w:sz w:val="18"/>
        </w:rPr>
        <w:t>Process control: deterministic / template-based</w:t>
      </w:r>
    </w:p>
    <w:p>
      <w:r>
        <w:t>A total of 5 samples were evaluated against the protocol acceptance range [45, 55] Nm: 4 passed and 1 failed. Out-of-range results were observed for S-02. These values are reported as measured; no retest or adjustment was applied and no explanation is assumed. This summary is a draft generated from verified results and retrieved guidance; review and edit before approval.</w:t>
      </w:r>
    </w:p>
    <w:p>
      <w:r>
        <w:rPr>
          <w:i/>
          <w:color w:val="996600"/>
        </w:rPr>
        <w:t>Note: Generated without AI; fully deterministic.</w:t>
      </w:r>
    </w:p>
    <w:p>
      <w:pPr>
        <w:pStyle w:val="Heading1"/>
      </w:pPr>
      <w:r>
        <w:t>Attachment index</w:t>
      </w:r>
    </w:p>
    <w:p>
      <w:r>
        <w:t>The following attachments are included and referenced by label in this report:</w:t>
      </w:r>
    </w:p>
    <w:p>
      <w:pPr>
        <w:pStyle w:val="ListBullet"/>
      </w:pPr>
      <w:r>
        <w:t>Attachment A: equipment_calibration_record.pdf</w:t>
      </w:r>
    </w:p>
    <w:p>
      <w:pPr>
        <w:pStyle w:val="Heading1"/>
      </w:pPr>
      <w:r>
        <w:t>Validation summary (auto-generated)</w:t>
      </w:r>
    </w:p>
    <w:p>
      <w:r>
        <w:t>The full validation checklist is rendered in the application UI and in the combined PDF. Out-of-range and missing-evidence findings are never removed by automated processing.</w:t>
      </w:r>
    </w:p>
    <w:p>
      <w:r>
        <w:rPr>
          <w:b/>
        </w:rPr>
        <w:t>1 result(s) out of range are preserved verbatim in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