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7777777" w:rsidR="004361A4" w:rsidRPr="00A1109B" w:rsidRDefault="004361A4"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7621DE11" w14:textId="77777777" w:rsidR="004361A4" w:rsidRPr="00382BD4" w:rsidRDefault="004361A4" w:rsidP="004361A4">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p>
    <w:p w14:paraId="0C512C76"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search for products using product code or product item code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warehouse staff can add, remove or edit products as a unit, in an integrated environment and in the </w:t>
            </w:r>
            <w:r>
              <w:rPr>
                <w:rFonts w:ascii="Calibri" w:eastAsia="Cambria" w:hAnsi="Calibri" w:cs="Calibri"/>
                <w:sz w:val="22"/>
                <w:szCs w:val="22"/>
              </w:rPr>
              <w:lastRenderedPageBreak/>
              <w:t>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 xml:space="preserve">Warehouse Staff, Arik Maharjan </w:t>
            </w:r>
          </w:p>
        </w:tc>
      </w:tr>
      <w:tr w:rsidR="00CA59ED" w:rsidRPr="00382BD4" w14:paraId="6C65259F"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73A55B" w14:textId="6BD9D578"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4</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7F9B8473" w14:textId="77777777" w:rsidR="00CA59ED" w:rsidRPr="00F92B14" w:rsidRDefault="00CA59ED" w:rsidP="00B82F88">
            <w:pPr>
              <w:rPr>
                <w:rFonts w:ascii="Calibri" w:eastAsia="Cambria" w:hAnsi="Calibri" w:cs="Calibri"/>
              </w:rPr>
            </w:pPr>
            <w:r>
              <w:rPr>
                <w:rFonts w:ascii="Calibri" w:eastAsia="Cambria" w:hAnsi="Calibri" w:cs="Calibri"/>
                <w:sz w:val="22"/>
                <w:szCs w:val="22"/>
              </w:rPr>
              <w:t>Request Items</w:t>
            </w:r>
          </w:p>
        </w:tc>
        <w:tc>
          <w:tcPr>
            <w:tcW w:w="3428" w:type="dxa"/>
            <w:tcBorders>
              <w:top w:val="nil"/>
              <w:left w:val="nil"/>
              <w:bottom w:val="single" w:sz="4" w:space="0" w:color="auto"/>
              <w:right w:val="single" w:sz="4" w:space="0" w:color="auto"/>
            </w:tcBorders>
          </w:tcPr>
          <w:p w14:paraId="338B1839" w14:textId="1E3434CB"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request for a stock from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C351B4E" w14:textId="5B3C4E0C"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Hieu Hanh Tran</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1754832B" w:rsidR="00CA59ED" w:rsidRPr="00F92B14" w:rsidRDefault="00CA59ED" w:rsidP="00B82F88">
            <w:pPr>
              <w:jc w:val="center"/>
              <w:rPr>
                <w:rFonts w:ascii="Calibri" w:eastAsia="Cambria" w:hAnsi="Calibri" w:cs="Calibri"/>
                <w:sz w:val="22"/>
                <w:szCs w:val="22"/>
              </w:rPr>
            </w:pPr>
            <w:r>
              <w:rPr>
                <w:rFonts w:ascii="Calibri" w:eastAsia="Cambria" w:hAnsi="Calibri" w:cs="Calibri"/>
                <w:sz w:val="22"/>
                <w:szCs w:val="22"/>
              </w:rPr>
              <w:t xml:space="preserve">5.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714FBDF3" w:rsidR="00CA59ED" w:rsidRPr="00F92B14" w:rsidRDefault="00CA59ED" w:rsidP="00B82F88">
            <w:pPr>
              <w:jc w:val="center"/>
              <w:rPr>
                <w:rFonts w:ascii="Calibri" w:eastAsia="Cambria" w:hAnsi="Calibri" w:cs="Calibri"/>
              </w:rPr>
            </w:pPr>
            <w:r>
              <w:rPr>
                <w:rFonts w:ascii="Calibri" w:eastAsia="Cambria" w:hAnsi="Calibri" w:cs="Calibri"/>
              </w:rPr>
              <w:t xml:space="preserve">6.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559100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2E51D1DF" w:rsidR="00CA59ED" w:rsidRPr="00F92B14" w:rsidRDefault="00CA59ED" w:rsidP="00B82F88">
            <w:pPr>
              <w:jc w:val="center"/>
              <w:rPr>
                <w:rFonts w:ascii="Calibri" w:eastAsia="Cambria" w:hAnsi="Calibri" w:cs="Calibri"/>
              </w:rPr>
            </w:pPr>
            <w:r>
              <w:rPr>
                <w:rFonts w:ascii="Calibri" w:eastAsia="Cambria" w:hAnsi="Calibri" w:cs="Calibri"/>
              </w:rPr>
              <w:t>7.</w:t>
            </w:r>
          </w:p>
        </w:tc>
        <w:tc>
          <w:tcPr>
            <w:tcW w:w="1957" w:type="dxa"/>
            <w:tcBorders>
              <w:top w:val="single" w:sz="4" w:space="0" w:color="auto"/>
              <w:left w:val="nil"/>
              <w:bottom w:val="single" w:sz="4" w:space="0" w:color="auto"/>
              <w:right w:val="single" w:sz="4" w:space="0" w:color="auto"/>
            </w:tcBorders>
            <w:vAlign w:val="bottom"/>
          </w:tcPr>
          <w:p w14:paraId="1357E251" w14:textId="4AA90898" w:rsidR="00CA59ED" w:rsidRDefault="00CA59ED" w:rsidP="00B82F88">
            <w:pPr>
              <w:rPr>
                <w:rFonts w:ascii="Calibri" w:eastAsia="Cambria" w:hAnsi="Calibri" w:cs="Calibri"/>
              </w:rPr>
            </w:pPr>
            <w:r>
              <w:rPr>
                <w:rFonts w:ascii="Calibri" w:eastAsia="Cambria" w:hAnsi="Calibri" w:cs="Calibri"/>
                <w:sz w:val="22"/>
                <w:szCs w:val="22"/>
              </w:rPr>
              <w:t>Manage Cart</w:t>
            </w:r>
          </w:p>
        </w:tc>
        <w:tc>
          <w:tcPr>
            <w:tcW w:w="3428" w:type="dxa"/>
            <w:tcBorders>
              <w:top w:val="single" w:sz="4" w:space="0" w:color="auto"/>
              <w:left w:val="nil"/>
              <w:bottom w:val="single" w:sz="4" w:space="0" w:color="auto"/>
              <w:right w:val="single" w:sz="4" w:space="0" w:color="auto"/>
            </w:tcBorders>
          </w:tcPr>
          <w:p w14:paraId="1F6B2EA9" w14:textId="5A103498" w:rsidR="00CA59ED" w:rsidRDefault="006530AB" w:rsidP="006530AB">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add/delete/edit items in a cart to request or send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D92032F" w14:textId="37930D1F"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Arik Maharjan</w:t>
            </w:r>
          </w:p>
        </w:tc>
      </w:tr>
      <w:tr w:rsidR="00CA59ED" w:rsidRPr="00382BD4" w14:paraId="1FDB64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B2A91" w14:textId="22A792D0" w:rsidR="00CA59ED" w:rsidRPr="00F92B14" w:rsidRDefault="00CA59ED" w:rsidP="00B82F88">
            <w:pPr>
              <w:jc w:val="center"/>
              <w:rPr>
                <w:rFonts w:ascii="Calibri" w:eastAsia="Cambria" w:hAnsi="Calibri" w:cs="Calibri"/>
              </w:rPr>
            </w:pPr>
            <w:r>
              <w:rPr>
                <w:rFonts w:ascii="Calibri" w:eastAsia="Cambria" w:hAnsi="Calibri" w:cs="Calibri"/>
              </w:rPr>
              <w:t>8.</w:t>
            </w:r>
          </w:p>
        </w:tc>
        <w:tc>
          <w:tcPr>
            <w:tcW w:w="1957" w:type="dxa"/>
            <w:tcBorders>
              <w:top w:val="single" w:sz="4" w:space="0" w:color="auto"/>
              <w:left w:val="nil"/>
              <w:bottom w:val="single" w:sz="4" w:space="0" w:color="auto"/>
              <w:right w:val="single" w:sz="4" w:space="0" w:color="auto"/>
            </w:tcBorders>
            <w:vAlign w:val="bottom"/>
          </w:tcPr>
          <w:p w14:paraId="455CD996" w14:textId="48B01F33" w:rsidR="00CA59ED" w:rsidRDefault="00CA59ED" w:rsidP="00B82F88">
            <w:pPr>
              <w:rPr>
                <w:rFonts w:ascii="Calibri" w:eastAsia="Cambria" w:hAnsi="Calibri" w:cs="Calibri"/>
              </w:rPr>
            </w:pPr>
            <w:r>
              <w:rPr>
                <w:rFonts w:ascii="Calibri" w:eastAsia="Cambria" w:hAnsi="Calibri" w:cs="Calibri"/>
                <w:sz w:val="22"/>
                <w:szCs w:val="22"/>
              </w:rPr>
              <w:t>Check Notification</w:t>
            </w:r>
          </w:p>
        </w:tc>
        <w:tc>
          <w:tcPr>
            <w:tcW w:w="3428" w:type="dxa"/>
            <w:tcBorders>
              <w:top w:val="single" w:sz="4" w:space="0" w:color="auto"/>
              <w:left w:val="nil"/>
              <w:bottom w:val="single" w:sz="4" w:space="0" w:color="auto"/>
              <w:right w:val="single" w:sz="4" w:space="0" w:color="auto"/>
            </w:tcBorders>
          </w:tcPr>
          <w:p w14:paraId="402CAD11" w14:textId="092E46C4" w:rsidR="00CA59ED" w:rsidRDefault="006530AB"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check notification when a stock request is sent from a location as a unit, in an integrated environment and in the production environment respectively. </w:t>
            </w:r>
          </w:p>
        </w:tc>
        <w:tc>
          <w:tcPr>
            <w:tcW w:w="2597" w:type="dxa"/>
            <w:tcBorders>
              <w:top w:val="single" w:sz="4" w:space="0" w:color="auto"/>
              <w:left w:val="single" w:sz="4" w:space="0" w:color="auto"/>
              <w:bottom w:val="single" w:sz="4" w:space="0" w:color="auto"/>
              <w:right w:val="single" w:sz="4" w:space="0" w:color="auto"/>
            </w:tcBorders>
          </w:tcPr>
          <w:p w14:paraId="16143253" w14:textId="6DE9DF69"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Hieu Hanh Tran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6744D196" w:rsidR="00CA59ED" w:rsidRPr="00F92B14" w:rsidRDefault="00CA59ED" w:rsidP="00B82F88">
            <w:pPr>
              <w:jc w:val="center"/>
              <w:rPr>
                <w:rFonts w:ascii="Calibri" w:eastAsia="Cambria" w:hAnsi="Calibri" w:cs="Calibri"/>
              </w:rPr>
            </w:pPr>
            <w:r>
              <w:rPr>
                <w:rFonts w:ascii="Calibri" w:eastAsia="Cambria" w:hAnsi="Calibri" w:cs="Calibri"/>
              </w:rPr>
              <w:t>9.</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3C523B5E" w:rsidR="00CA59ED" w:rsidRPr="00F92B14" w:rsidRDefault="00CA59ED" w:rsidP="00B82F88">
            <w:pPr>
              <w:jc w:val="center"/>
              <w:rPr>
                <w:rFonts w:ascii="Calibri" w:eastAsia="Cambria" w:hAnsi="Calibri" w:cs="Calibri"/>
              </w:rPr>
            </w:pPr>
            <w:r>
              <w:rPr>
                <w:rFonts w:ascii="Calibri" w:eastAsia="Cambria" w:hAnsi="Calibri" w:cs="Calibri"/>
              </w:rPr>
              <w:t>10.</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r w:rsidR="00CA59ED" w:rsidRPr="00382BD4" w14:paraId="18FF8DCE"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23E5" w14:textId="1884B755" w:rsidR="00CA59ED" w:rsidRDefault="00CA59ED" w:rsidP="00B82F88">
            <w:pPr>
              <w:jc w:val="center"/>
              <w:rPr>
                <w:rFonts w:ascii="Calibri" w:eastAsia="Cambria" w:hAnsi="Calibri" w:cs="Calibri"/>
                <w:sz w:val="22"/>
                <w:szCs w:val="22"/>
              </w:rPr>
            </w:pPr>
            <w:r>
              <w:rPr>
                <w:rFonts w:ascii="Calibri" w:eastAsia="Cambria" w:hAnsi="Calibri" w:cs="Calibri"/>
                <w:sz w:val="22"/>
                <w:szCs w:val="22"/>
              </w:rPr>
              <w:lastRenderedPageBreak/>
              <w:t>11.</w:t>
            </w:r>
          </w:p>
        </w:tc>
        <w:tc>
          <w:tcPr>
            <w:tcW w:w="1957" w:type="dxa"/>
            <w:tcBorders>
              <w:top w:val="single" w:sz="4" w:space="0" w:color="auto"/>
              <w:left w:val="nil"/>
              <w:bottom w:val="single" w:sz="4" w:space="0" w:color="auto"/>
              <w:right w:val="single" w:sz="4" w:space="0" w:color="auto"/>
            </w:tcBorders>
            <w:vAlign w:val="bottom"/>
          </w:tcPr>
          <w:p w14:paraId="3F22CE66" w14:textId="373BCA98" w:rsidR="00CA59ED" w:rsidRDefault="00CA59ED" w:rsidP="00B82F88">
            <w:pPr>
              <w:rPr>
                <w:rFonts w:ascii="Calibri" w:eastAsia="Cambria" w:hAnsi="Calibri" w:cs="Calibri"/>
                <w:sz w:val="22"/>
                <w:szCs w:val="22"/>
              </w:rPr>
            </w:pPr>
            <w:r>
              <w:rPr>
                <w:rFonts w:ascii="Calibri" w:eastAsia="Cambria" w:hAnsi="Calibri" w:cs="Calibri"/>
                <w:sz w:val="22"/>
                <w:szCs w:val="22"/>
              </w:rPr>
              <w:t>Scan Barcode</w:t>
            </w:r>
          </w:p>
        </w:tc>
        <w:tc>
          <w:tcPr>
            <w:tcW w:w="3428" w:type="dxa"/>
            <w:tcBorders>
              <w:top w:val="single" w:sz="4" w:space="0" w:color="auto"/>
              <w:left w:val="nil"/>
              <w:bottom w:val="single" w:sz="4" w:space="0" w:color="auto"/>
              <w:right w:val="single" w:sz="4" w:space="0" w:color="auto"/>
            </w:tcBorders>
          </w:tcPr>
          <w:p w14:paraId="19862529" w14:textId="001384A6"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scan barcode to get delivery details when accepting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35550076" w14:textId="4FF58899" w:rsidR="00CA59ED" w:rsidRDefault="00CA59ED" w:rsidP="006530AB">
            <w:pPr>
              <w:jc w:val="both"/>
              <w:rPr>
                <w:rFonts w:ascii="Calibri" w:eastAsia="Cambria" w:hAnsi="Calibri" w:cs="Calibri"/>
                <w:sz w:val="22"/>
                <w:szCs w:val="22"/>
              </w:rPr>
            </w:pPr>
            <w:r>
              <w:rPr>
                <w:rFonts w:ascii="Calibri" w:eastAsia="Cambria" w:hAnsi="Calibri" w:cs="Calibri"/>
                <w:sz w:val="22"/>
                <w:szCs w:val="22"/>
              </w:rPr>
              <w:t>Hieu Hanh Tran, Warehouse Staff, Store Staff</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Software configurations</w:t>
            </w:r>
          </w:p>
          <w:p w14:paraId="29BC77BA"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Non-functional requirements</w:t>
            </w:r>
          </w:p>
        </w:tc>
        <w:tc>
          <w:tcPr>
            <w:tcW w:w="4410" w:type="dxa"/>
          </w:tcPr>
          <w:p w14:paraId="3E49E32D"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8BFB04"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tc>
      </w:tr>
    </w:tbl>
    <w:p w14:paraId="13CE39BC" w14:textId="77777777" w:rsidR="004361A4" w:rsidRPr="00382BD4" w:rsidRDefault="004361A4" w:rsidP="004361A4">
      <w:pPr>
        <w:rPr>
          <w:rFonts w:ascii="Calibri" w:eastAsia="Times New Roman" w:hAnsi="Calibri" w:cs="Calibri"/>
          <w:i/>
          <w:sz w:val="22"/>
          <w:szCs w:val="22"/>
          <w:lang w:val="en-GB"/>
        </w:rPr>
      </w:pPr>
    </w:p>
    <w:p w14:paraId="698992F9"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5DD844B4" w14:textId="00267AF5"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This is a description of the recommended testing approach for th</w:t>
      </w:r>
      <w:r w:rsidR="00CA59ED">
        <w:rPr>
          <w:rFonts w:ascii="Calibri" w:eastAsia="Cambria" w:hAnsi="Calibri" w:cs="Calibri"/>
          <w:sz w:val="22"/>
          <w:szCs w:val="22"/>
        </w:rPr>
        <w:t>e</w:t>
      </w:r>
      <w:r w:rsidRPr="00711DE9">
        <w:rPr>
          <w:rFonts w:ascii="Calibri" w:eastAsia="Cambria" w:hAnsi="Calibri" w:cs="Calibri"/>
          <w:sz w:val="22"/>
          <w:szCs w:val="22"/>
        </w:rPr>
        <w:t xml:space="preserve"> project.  This describes “how” </w:t>
      </w:r>
      <w:r w:rsidR="00CA59ED">
        <w:rPr>
          <w:rFonts w:ascii="Calibri" w:eastAsia="Cambria" w:hAnsi="Calibri" w:cs="Calibri"/>
          <w:sz w:val="22"/>
          <w:szCs w:val="22"/>
        </w:rPr>
        <w:t>each</w:t>
      </w:r>
      <w:r w:rsidRPr="00711DE9">
        <w:rPr>
          <w:rFonts w:ascii="Calibri" w:eastAsia="Cambria" w:hAnsi="Calibri" w:cs="Calibri"/>
          <w:sz w:val="22"/>
          <w:szCs w:val="22"/>
        </w:rPr>
        <w:t xml:space="preserve"> test items and features will be tested.  </w:t>
      </w:r>
    </w:p>
    <w:tbl>
      <w:tblPr>
        <w:tblStyle w:val="TableGrid4"/>
        <w:tblW w:w="0" w:type="auto"/>
        <w:tblInd w:w="468" w:type="dxa"/>
        <w:tblLook w:val="01E0" w:firstRow="1" w:lastRow="1" w:firstColumn="1" w:lastColumn="1" w:noHBand="0" w:noVBand="0"/>
      </w:tblPr>
      <w:tblGrid>
        <w:gridCol w:w="2209"/>
        <w:gridCol w:w="4121"/>
        <w:gridCol w:w="2552"/>
      </w:tblGrid>
      <w:tr w:rsidR="004361A4" w:rsidRPr="00711DE9" w14:paraId="35F9D2A1" w14:textId="77777777" w:rsidTr="003F69AC">
        <w:tc>
          <w:tcPr>
            <w:tcW w:w="2250" w:type="dxa"/>
            <w:shd w:val="clear" w:color="auto" w:fill="4472C4" w:themeFill="accent1"/>
          </w:tcPr>
          <w:p w14:paraId="4CD09CF5"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Test Type</w:t>
            </w:r>
          </w:p>
        </w:tc>
        <w:tc>
          <w:tcPr>
            <w:tcW w:w="4245" w:type="dxa"/>
            <w:shd w:val="clear" w:color="auto" w:fill="4472C4" w:themeFill="accent1"/>
          </w:tcPr>
          <w:p w14:paraId="7A224E99"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Description</w:t>
            </w:r>
          </w:p>
        </w:tc>
        <w:tc>
          <w:tcPr>
            <w:tcW w:w="2613" w:type="dxa"/>
            <w:shd w:val="clear" w:color="auto" w:fill="4472C4" w:themeFill="accent1"/>
          </w:tcPr>
          <w:p w14:paraId="112E3D7E"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Comment</w:t>
            </w:r>
          </w:p>
        </w:tc>
      </w:tr>
      <w:tr w:rsidR="004361A4" w:rsidRPr="00711DE9" w14:paraId="1FA93551" w14:textId="77777777" w:rsidTr="00B82F88">
        <w:tc>
          <w:tcPr>
            <w:tcW w:w="2250" w:type="dxa"/>
          </w:tcPr>
          <w:p w14:paraId="4C124BB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Integration Test </w:t>
            </w:r>
          </w:p>
        </w:tc>
        <w:tc>
          <w:tcPr>
            <w:tcW w:w="4245" w:type="dxa"/>
          </w:tcPr>
          <w:p w14:paraId="74F0AF62" w14:textId="0CF9D705"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t>
            </w:r>
            <w:r>
              <w:rPr>
                <w:rFonts w:ascii="Calibri" w:eastAsia="Cambria" w:hAnsi="Calibri" w:cs="Calibri"/>
                <w:sz w:val="22"/>
                <w:szCs w:val="22"/>
              </w:rPr>
              <w:t xml:space="preserve">test will combine each individual </w:t>
            </w:r>
            <w:r w:rsidR="00D8685A">
              <w:rPr>
                <w:rFonts w:ascii="Calibri" w:eastAsia="Cambria" w:hAnsi="Calibri" w:cs="Calibri"/>
                <w:sz w:val="22"/>
                <w:szCs w:val="22"/>
              </w:rPr>
              <w:t>unit</w:t>
            </w:r>
            <w:r>
              <w:rPr>
                <w:rFonts w:ascii="Calibri" w:eastAsia="Cambria" w:hAnsi="Calibri" w:cs="Calibri"/>
                <w:sz w:val="22"/>
                <w:szCs w:val="22"/>
              </w:rPr>
              <w:t xml:space="preserve"> and test the system as a group.</w:t>
            </w:r>
          </w:p>
        </w:tc>
        <w:tc>
          <w:tcPr>
            <w:tcW w:w="2613" w:type="dxa"/>
          </w:tcPr>
          <w:p w14:paraId="50852A00" w14:textId="77777777" w:rsidR="004361A4" w:rsidRPr="00711DE9" w:rsidRDefault="004361A4" w:rsidP="00B82F88">
            <w:pPr>
              <w:jc w:val="both"/>
              <w:rPr>
                <w:rFonts w:ascii="Calibri" w:eastAsia="Cambria" w:hAnsi="Calibri" w:cs="Calibri"/>
                <w:sz w:val="22"/>
                <w:szCs w:val="22"/>
              </w:rPr>
            </w:pPr>
          </w:p>
        </w:tc>
      </w:tr>
      <w:tr w:rsidR="004361A4" w:rsidRPr="00711DE9" w14:paraId="5F9593AF" w14:textId="77777777" w:rsidTr="00B82F88">
        <w:tc>
          <w:tcPr>
            <w:tcW w:w="2250" w:type="dxa"/>
          </w:tcPr>
          <w:p w14:paraId="396F2CC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Unit Test</w:t>
            </w:r>
          </w:p>
        </w:tc>
        <w:tc>
          <w:tcPr>
            <w:tcW w:w="4245" w:type="dxa"/>
          </w:tcPr>
          <w:p w14:paraId="7916C681" w14:textId="17A9122B" w:rsidR="004361A4" w:rsidRPr="00711DE9" w:rsidRDefault="004361A4" w:rsidP="00B82F88">
            <w:pPr>
              <w:jc w:val="both"/>
              <w:rPr>
                <w:rFonts w:ascii="Calibri" w:hAnsi="Calibri" w:cs="Calibri"/>
                <w:sz w:val="22"/>
                <w:szCs w:val="22"/>
              </w:rPr>
            </w:pPr>
            <w:r w:rsidRPr="00711DE9">
              <w:rPr>
                <w:rFonts w:ascii="Calibri" w:hAnsi="Calibri" w:cs="Calibri"/>
                <w:color w:val="242729"/>
                <w:sz w:val="22"/>
                <w:szCs w:val="22"/>
                <w:shd w:val="clear" w:color="auto" w:fill="FFFFFF"/>
              </w:rPr>
              <w:t xml:space="preserve">This test will break the program into </w:t>
            </w:r>
            <w:r w:rsidR="00D8685A" w:rsidRPr="00711DE9">
              <w:rPr>
                <w:rFonts w:ascii="Calibri" w:hAnsi="Calibri" w:cs="Calibri"/>
                <w:color w:val="242729"/>
                <w:sz w:val="22"/>
                <w:szCs w:val="22"/>
                <w:shd w:val="clear" w:color="auto" w:fill="FFFFFF"/>
              </w:rPr>
              <w:t>pieces and</w:t>
            </w:r>
            <w:r w:rsidRPr="00711DE9">
              <w:rPr>
                <w:rFonts w:ascii="Calibri" w:hAnsi="Calibri" w:cs="Calibri"/>
                <w:color w:val="242729"/>
                <w:sz w:val="22"/>
                <w:szCs w:val="22"/>
                <w:shd w:val="clear" w:color="auto" w:fill="FFFFFF"/>
              </w:rPr>
              <w:t xml:space="preserve"> subject each piece to a series of tests.</w:t>
            </w:r>
          </w:p>
        </w:tc>
        <w:tc>
          <w:tcPr>
            <w:tcW w:w="2613" w:type="dxa"/>
          </w:tcPr>
          <w:p w14:paraId="79CA43BD" w14:textId="77777777" w:rsidR="004361A4" w:rsidRPr="00711DE9" w:rsidRDefault="004361A4" w:rsidP="00B82F88">
            <w:pPr>
              <w:jc w:val="both"/>
              <w:rPr>
                <w:rFonts w:ascii="Calibri" w:eastAsia="Cambria" w:hAnsi="Calibri" w:cs="Calibri"/>
                <w:sz w:val="22"/>
                <w:szCs w:val="22"/>
              </w:rPr>
            </w:pPr>
          </w:p>
        </w:tc>
      </w:tr>
      <w:tr w:rsidR="004361A4" w:rsidRPr="00711DE9" w14:paraId="1C4F322E" w14:textId="77777777" w:rsidTr="00B82F88">
        <w:tc>
          <w:tcPr>
            <w:tcW w:w="2250" w:type="dxa"/>
          </w:tcPr>
          <w:p w14:paraId="084F7B51"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User Acceptance Test </w:t>
            </w:r>
          </w:p>
        </w:tc>
        <w:tc>
          <w:tcPr>
            <w:tcW w:w="4245" w:type="dxa"/>
          </w:tcPr>
          <w:p w14:paraId="6C3A84A0" w14:textId="77777777" w:rsidR="004361A4" w:rsidRPr="00711DE9" w:rsidRDefault="004361A4" w:rsidP="00B82F88">
            <w:pPr>
              <w:jc w:val="both"/>
              <w:rPr>
                <w:rFonts w:ascii="Calibri" w:eastAsia="Cambria" w:hAnsi="Calibri" w:cs="Calibri"/>
                <w:sz w:val="22"/>
                <w:szCs w:val="22"/>
              </w:rPr>
            </w:pPr>
            <w:r>
              <w:rPr>
                <w:rFonts w:ascii="Calibri" w:eastAsia="Cambria" w:hAnsi="Calibri" w:cs="Calibri"/>
                <w:sz w:val="22"/>
                <w:szCs w:val="22"/>
              </w:rPr>
              <w:t>This test will ensure the system can handle real life user scenarios.</w:t>
            </w:r>
          </w:p>
        </w:tc>
        <w:tc>
          <w:tcPr>
            <w:tcW w:w="2613" w:type="dxa"/>
          </w:tcPr>
          <w:p w14:paraId="1BFEE2C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Typically performed by Business User</w:t>
            </w:r>
          </w:p>
        </w:tc>
      </w:tr>
      <w:tr w:rsidR="004361A4" w:rsidRPr="00711DE9" w14:paraId="4998E08C" w14:textId="77777777" w:rsidTr="00B82F88">
        <w:tc>
          <w:tcPr>
            <w:tcW w:w="2250" w:type="dxa"/>
          </w:tcPr>
          <w:p w14:paraId="2544DD8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Regression Test </w:t>
            </w:r>
          </w:p>
        </w:tc>
        <w:tc>
          <w:tcPr>
            <w:tcW w:w="4245" w:type="dxa"/>
          </w:tcPr>
          <w:p w14:paraId="5DF3ADE7" w14:textId="1BBD2D11"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tests the entire system </w:t>
            </w:r>
            <w:r w:rsidR="00D8685A" w:rsidRPr="00711DE9">
              <w:rPr>
                <w:rFonts w:ascii="Calibri" w:eastAsia="Cambria" w:hAnsi="Calibri" w:cs="Calibri"/>
                <w:sz w:val="22"/>
                <w:szCs w:val="22"/>
              </w:rPr>
              <w:t>to ensure that</w:t>
            </w:r>
            <w:r w:rsidRPr="00711DE9">
              <w:rPr>
                <w:rFonts w:ascii="Calibri" w:eastAsia="Cambria" w:hAnsi="Calibri" w:cs="Calibri"/>
                <w:sz w:val="22"/>
                <w:szCs w:val="22"/>
              </w:rPr>
              <w:t xml:space="preserve"> any untouched functionality did not get adversely impacted by the project-related work.</w:t>
            </w:r>
          </w:p>
        </w:tc>
        <w:tc>
          <w:tcPr>
            <w:tcW w:w="2613" w:type="dxa"/>
          </w:tcPr>
          <w:p w14:paraId="68636EA7" w14:textId="77777777" w:rsidR="004361A4" w:rsidRPr="00711DE9" w:rsidRDefault="004361A4" w:rsidP="00B82F88">
            <w:pPr>
              <w:jc w:val="both"/>
              <w:rPr>
                <w:rFonts w:ascii="Calibri" w:eastAsia="Cambria" w:hAnsi="Calibri" w:cs="Calibri"/>
                <w:sz w:val="22"/>
                <w:szCs w:val="22"/>
              </w:rPr>
            </w:pPr>
          </w:p>
        </w:tc>
      </w:tr>
      <w:tr w:rsidR="004361A4" w:rsidRPr="00711DE9" w14:paraId="6DDA7846" w14:textId="77777777" w:rsidTr="00B82F88">
        <w:tc>
          <w:tcPr>
            <w:tcW w:w="2250" w:type="dxa"/>
          </w:tcPr>
          <w:p w14:paraId="08EB3993"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User Certification Test</w:t>
            </w:r>
          </w:p>
        </w:tc>
        <w:tc>
          <w:tcPr>
            <w:tcW w:w="4245" w:type="dxa"/>
          </w:tcPr>
          <w:p w14:paraId="430C604B" w14:textId="3BF2A07D"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 is performed after the solution has been moved to production to </w:t>
            </w:r>
            <w:r w:rsidR="00D8685A">
              <w:rPr>
                <w:rFonts w:ascii="Calibri" w:eastAsia="Cambria" w:hAnsi="Calibri" w:cs="Calibri"/>
                <w:sz w:val="22"/>
                <w:szCs w:val="22"/>
              </w:rPr>
              <w:t>e</w:t>
            </w:r>
            <w:r w:rsidRPr="00711DE9">
              <w:rPr>
                <w:rFonts w:ascii="Calibri" w:eastAsia="Cambria" w:hAnsi="Calibri" w:cs="Calibri"/>
                <w:sz w:val="22"/>
                <w:szCs w:val="22"/>
              </w:rPr>
              <w:t>nsure it has been moved successfully.</w:t>
            </w:r>
          </w:p>
        </w:tc>
        <w:tc>
          <w:tcPr>
            <w:tcW w:w="2613" w:type="dxa"/>
          </w:tcPr>
          <w:p w14:paraId="4CD6F74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will be performed by the </w:t>
            </w:r>
            <w:r>
              <w:rPr>
                <w:rFonts w:ascii="Calibri" w:eastAsia="Cambria" w:hAnsi="Calibri" w:cs="Calibri"/>
                <w:sz w:val="22"/>
                <w:szCs w:val="22"/>
              </w:rPr>
              <w:t>Finance Team.</w:t>
            </w:r>
          </w:p>
        </w:tc>
      </w:tr>
    </w:tbl>
    <w:p w14:paraId="714508D1" w14:textId="77777777" w:rsidR="004361A4" w:rsidRPr="00382BD4" w:rsidRDefault="004361A4" w:rsidP="004361A4">
      <w:pPr>
        <w:rPr>
          <w:rFonts w:ascii="Calibri" w:eastAsia="Times New Roman" w:hAnsi="Calibri" w:cs="Calibri"/>
          <w:i/>
          <w:color w:val="808080"/>
          <w:sz w:val="22"/>
          <w:szCs w:val="22"/>
          <w:lang w:val="en-GB"/>
        </w:rPr>
      </w:pPr>
    </w:p>
    <w:p w14:paraId="00702FA4" w14:textId="77777777" w:rsidR="004361A4" w:rsidRPr="00382BD4" w:rsidRDefault="004361A4" w:rsidP="004361A4">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4361A4" w:rsidRPr="00382BD4" w14:paraId="3D324260" w14:textId="77777777" w:rsidTr="00600AB4">
        <w:tc>
          <w:tcPr>
            <w:tcW w:w="2218" w:type="dxa"/>
          </w:tcPr>
          <w:p w14:paraId="4EEC91A8"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w:t>
            </w:r>
          </w:p>
        </w:tc>
        <w:tc>
          <w:tcPr>
            <w:tcW w:w="4118" w:type="dxa"/>
          </w:tcPr>
          <w:p w14:paraId="649CBBD0" w14:textId="54E78DCC"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 Library included in the Java EE Project</w:t>
            </w:r>
            <w:r w:rsidR="008F3253">
              <w:rPr>
                <w:rFonts w:ascii="Calibri" w:eastAsia="Cambria" w:hAnsi="Calibri" w:cs="Calibri"/>
                <w:sz w:val="22"/>
                <w:szCs w:val="22"/>
              </w:rPr>
              <w:t>.</w:t>
            </w:r>
          </w:p>
        </w:tc>
        <w:tc>
          <w:tcPr>
            <w:tcW w:w="2546" w:type="dxa"/>
          </w:tcPr>
          <w:p w14:paraId="6BDDF5F9"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2.17.7</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lastRenderedPageBreak/>
              <w:t>Java Development Kit</w:t>
            </w:r>
          </w:p>
        </w:tc>
        <w:tc>
          <w:tcPr>
            <w:tcW w:w="4118" w:type="dxa"/>
          </w:tcPr>
          <w:p w14:paraId="23DC0193" w14:textId="3FBF21E9" w:rsidR="008F3253" w:rsidRDefault="008F3253" w:rsidP="00B82F88">
            <w:pPr>
              <w:rPr>
                <w:rFonts w:ascii="Calibri" w:eastAsia="Cambria" w:hAnsi="Calibri" w:cs="Calibri"/>
                <w:sz w:val="22"/>
                <w:szCs w:val="22"/>
              </w:rPr>
            </w:pPr>
            <w:r>
              <w:rPr>
                <w:rFonts w:ascii="Calibri" w:eastAsia="Cambria" w:hAnsi="Calibri" w:cs="Calibri"/>
                <w:sz w:val="22"/>
                <w:szCs w:val="22"/>
              </w:rPr>
              <w:t>To use JUnit test library for unit testing.</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bookmarkStart w:id="2" w:name="_GoBack"/>
      <w:bookmarkEnd w:id="2"/>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3F69AC" w:rsidRPr="00382BD4" w14:paraId="04582F61" w14:textId="77777777" w:rsidTr="00B82F88">
        <w:tc>
          <w:tcPr>
            <w:tcW w:w="4680" w:type="dxa"/>
          </w:tcPr>
          <w:p w14:paraId="63777D47" w14:textId="1EB81AC4"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4361A4" w:rsidRPr="00382BD4" w14:paraId="1168A3CB" w14:textId="77777777" w:rsidTr="00B82F88">
        <w:tc>
          <w:tcPr>
            <w:tcW w:w="4680" w:type="dxa"/>
          </w:tcPr>
          <w:p w14:paraId="711A4492"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Unit Testing</w:t>
            </w:r>
          </w:p>
        </w:tc>
        <w:tc>
          <w:tcPr>
            <w:tcW w:w="3060" w:type="dxa"/>
          </w:tcPr>
          <w:p w14:paraId="17C5916C" w14:textId="7129E677"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05/10/</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Integration Testing</w:t>
            </w:r>
          </w:p>
        </w:tc>
        <w:tc>
          <w:tcPr>
            <w:tcW w:w="3060" w:type="dxa"/>
          </w:tcPr>
          <w:p w14:paraId="6B879B78" w14:textId="39CB83E1"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07/10</w:t>
            </w:r>
            <w:r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2ED1349C"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10/10/</w:t>
            </w:r>
            <w:r w:rsidR="003F69AC">
              <w:rPr>
                <w:rFonts w:ascii="Calibri" w:eastAsia="Cambria" w:hAnsi="Calibri" w:cs="Calibri"/>
                <w:sz w:val="22"/>
                <w:szCs w:val="22"/>
              </w:rPr>
              <w:t>2018</w:t>
            </w:r>
          </w:p>
        </w:tc>
      </w:tr>
      <w:tr w:rsidR="004361A4" w:rsidRPr="00382BD4" w14:paraId="0C67A304" w14:textId="77777777" w:rsidTr="00B82F88">
        <w:tc>
          <w:tcPr>
            <w:tcW w:w="4680" w:type="dxa"/>
          </w:tcPr>
          <w:p w14:paraId="2B33504D"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Regression Testing</w:t>
            </w:r>
          </w:p>
        </w:tc>
        <w:tc>
          <w:tcPr>
            <w:tcW w:w="3060" w:type="dxa"/>
          </w:tcPr>
          <w:p w14:paraId="6A9C61FA" w14:textId="058B283E"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12/10/</w:t>
            </w:r>
            <w:r w:rsidR="003F69AC">
              <w:rPr>
                <w:rFonts w:ascii="Calibri" w:eastAsia="Cambria" w:hAnsi="Calibri" w:cs="Calibri"/>
                <w:sz w:val="22"/>
                <w:szCs w:val="22"/>
              </w:rPr>
              <w:t>2018</w:t>
            </w:r>
          </w:p>
        </w:tc>
      </w:tr>
      <w:tr w:rsidR="004361A4" w:rsidRPr="00382BD4" w14:paraId="551F51D7" w14:textId="77777777" w:rsidTr="00B82F88">
        <w:tc>
          <w:tcPr>
            <w:tcW w:w="4680" w:type="dxa"/>
          </w:tcPr>
          <w:p w14:paraId="7EE59934"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Certification Testing</w:t>
            </w:r>
          </w:p>
        </w:tc>
        <w:tc>
          <w:tcPr>
            <w:tcW w:w="3060" w:type="dxa"/>
          </w:tcPr>
          <w:p w14:paraId="49336E67" w14:textId="726EE490"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14/10/</w:t>
            </w:r>
            <w:r w:rsidR="003F69AC">
              <w:rPr>
                <w:rFonts w:ascii="Calibri" w:eastAsia="Cambria" w:hAnsi="Calibri" w:cs="Calibri"/>
                <w:sz w:val="22"/>
                <w:szCs w:val="22"/>
              </w:rPr>
              <w:t>2018</w:t>
            </w:r>
          </w:p>
        </w:tc>
      </w:tr>
    </w:tbl>
    <w:p w14:paraId="41A97CB5" w14:textId="77777777" w:rsidR="006530AB" w:rsidRDefault="006530AB" w:rsidP="006530AB">
      <w:pPr>
        <w:pStyle w:val="Heading2"/>
        <w:ind w:left="0"/>
        <w:rPr>
          <w:rFonts w:ascii="Calibri Light" w:eastAsiaTheme="majorEastAsia" w:hAnsi="Calibri Light" w:cs="Calibri Light"/>
          <w:color w:val="2F5496" w:themeColor="accent1" w:themeShade="BF"/>
          <w:lang w:val="en-AU" w:eastAsia="en-AU"/>
        </w:rPr>
      </w:pPr>
    </w:p>
    <w:p w14:paraId="1BB8D8D2" w14:textId="77777777" w:rsidR="006530AB" w:rsidRDefault="006530AB" w:rsidP="006530AB">
      <w:pPr>
        <w:pStyle w:val="Heading2"/>
        <w:ind w:left="0"/>
        <w:rPr>
          <w:rFonts w:ascii="Calibri Light" w:eastAsiaTheme="majorEastAsia" w:hAnsi="Calibri Light" w:cs="Calibri Light"/>
          <w:b w:val="0"/>
          <w:color w:val="2F5496" w:themeColor="accent1" w:themeShade="BF"/>
          <w:lang w:val="en-AU" w:eastAsia="en-AU"/>
        </w:rPr>
      </w:pPr>
    </w:p>
    <w:p w14:paraId="70D77255" w14:textId="264C27E6" w:rsidR="006530AB" w:rsidRDefault="006530AB" w:rsidP="006530AB">
      <w:pPr>
        <w:pStyle w:val="Heading2"/>
        <w:ind w:left="0"/>
        <w:rPr>
          <w:rFonts w:ascii="Calibri Light" w:eastAsiaTheme="majorEastAsia" w:hAnsi="Calibri Light" w:cs="Calibri Light"/>
          <w:b w:val="0"/>
          <w:color w:val="2F5496" w:themeColor="accent1" w:themeShade="BF"/>
          <w:lang w:val="en-AU" w:eastAsia="en-AU"/>
        </w:rPr>
      </w:pPr>
    </w:p>
    <w:p w14:paraId="52A37307" w14:textId="77777777" w:rsidR="00B82F88" w:rsidRPr="00B82F88" w:rsidRDefault="00B82F88" w:rsidP="00B82F88">
      <w:pPr>
        <w:rPr>
          <w:lang w:val="en-AU" w:eastAsia="en-AU"/>
        </w:rPr>
      </w:pPr>
    </w:p>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382BD4" w14:paraId="1B4F64CE" w14:textId="77777777" w:rsidTr="006530AB">
        <w:tc>
          <w:tcPr>
            <w:tcW w:w="2323" w:type="dxa"/>
            <w:shd w:val="clear" w:color="auto" w:fill="4472C4" w:themeFill="accent1"/>
          </w:tcPr>
          <w:p w14:paraId="2422EECF"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By Whom</w:t>
            </w:r>
          </w:p>
        </w:tc>
      </w:tr>
      <w:tr w:rsidR="004361A4" w:rsidRPr="00382BD4" w14:paraId="7D9C01BE" w14:textId="77777777" w:rsidTr="006530AB">
        <w:tc>
          <w:tcPr>
            <w:tcW w:w="2323" w:type="dxa"/>
          </w:tcPr>
          <w:p w14:paraId="4FDB064E" w14:textId="6F834AB5"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29/03/2018</w:t>
            </w:r>
          </w:p>
        </w:tc>
        <w:tc>
          <w:tcPr>
            <w:tcW w:w="3809" w:type="dxa"/>
          </w:tcPr>
          <w:p w14:paraId="208DC584" w14:textId="1871C48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 xml:space="preserve">Master Test Plan Established </w:t>
            </w:r>
          </w:p>
        </w:tc>
        <w:tc>
          <w:tcPr>
            <w:tcW w:w="3110" w:type="dxa"/>
          </w:tcPr>
          <w:p w14:paraId="79DF10FF" w14:textId="4273FBB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Hieu Hanh Tran</w:t>
            </w:r>
          </w:p>
        </w:tc>
      </w:tr>
      <w:tr w:rsidR="004361A4" w:rsidRPr="00382BD4" w14:paraId="10AFEA3B" w14:textId="77777777" w:rsidTr="006530AB">
        <w:tc>
          <w:tcPr>
            <w:tcW w:w="2323" w:type="dxa"/>
          </w:tcPr>
          <w:p w14:paraId="64FBC0A5" w14:textId="4AEA3B1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23/05/2018</w:t>
            </w:r>
          </w:p>
        </w:tc>
        <w:tc>
          <w:tcPr>
            <w:tcW w:w="3809" w:type="dxa"/>
          </w:tcPr>
          <w:p w14:paraId="291A6611" w14:textId="6A56339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Master Test Plan Updated for Search Product Unit Testing in LCAM</w:t>
            </w:r>
          </w:p>
        </w:tc>
        <w:tc>
          <w:tcPr>
            <w:tcW w:w="3110" w:type="dxa"/>
          </w:tcPr>
          <w:p w14:paraId="74CA51C5" w14:textId="77175301" w:rsidR="004361A4" w:rsidRPr="00382BD4" w:rsidRDefault="003F69AC" w:rsidP="00B82F88">
            <w:pPr>
              <w:rPr>
                <w:rFonts w:ascii="Calibri" w:eastAsia="Times New Roman" w:hAnsi="Calibri" w:cs="Calibri"/>
                <w:lang w:val="en-GB"/>
              </w:rPr>
            </w:pPr>
            <w:r>
              <w:rPr>
                <w:rFonts w:ascii="Calibri" w:eastAsia="Times New Roman" w:hAnsi="Calibri" w:cs="Calibri"/>
                <w:lang w:val="en-GB"/>
              </w:rPr>
              <w:t>Shirish Maharjan</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3F69AC"/>
    <w:rsid w:val="004361A4"/>
    <w:rsid w:val="00600AB4"/>
    <w:rsid w:val="006530AB"/>
    <w:rsid w:val="008F3253"/>
    <w:rsid w:val="00A9182F"/>
    <w:rsid w:val="00B82F88"/>
    <w:rsid w:val="00C71633"/>
    <w:rsid w:val="00CA59ED"/>
    <w:rsid w:val="00D8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62C4-0ABA-4629-840E-9BADA45A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2018-05-23T06:53:00Z</dcterms:created>
  <dcterms:modified xsi:type="dcterms:W3CDTF">2018-05-23T07:54:00Z</dcterms:modified>
</cp:coreProperties>
</file>