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0B2545"/>
          <w:sz w:val="50"/>
        </w:rPr>
        <w:t>ASSURANCE CI ARCHITECTURE</w:t>
      </w:r>
    </w:p>
    <w:p>
      <w:pPr>
        <w:spacing w:after="360"/>
      </w:pPr>
      <w:r>
        <w:rPr>
          <w:rFonts w:ascii="Calibri" w:hAnsi="Calibri" w:eastAsia="Calibri"/>
          <w:color w:val="64748B"/>
          <w:sz w:val="28"/>
        </w:rPr>
        <w:t>Turning safety findings into merge-blocking evidence</w:t>
      </w:r>
    </w:p>
    <w:p>
      <w:pPr>
        <w:spacing w:before="0" w:after="40" w:line="240" w:lineRule="auto"/>
      </w:pPr>
      <w:r>
        <w:rPr>
          <w:rFonts w:ascii="Calibri" w:hAnsi="Calibri" w:eastAsia="Calibri"/>
          <w:b/>
          <w:color w:val="111827"/>
          <w:sz w:val="21"/>
        </w:rPr>
        <w:t xml:space="preserve">Document ID: </w:t>
      </w:r>
      <w:r>
        <w:rPr>
          <w:rFonts w:ascii="Calibri" w:hAnsi="Calibri" w:eastAsia="Calibri"/>
          <w:color w:val="111827"/>
          <w:sz w:val="21"/>
        </w:rPr>
        <w:t>REMORA-ACA-001</w:t>
      </w:r>
    </w:p>
    <w:p>
      <w:pPr>
        <w:spacing w:before="0" w:after="40" w:line="240" w:lineRule="auto"/>
      </w:pPr>
      <w:r>
        <w:rPr>
          <w:rFonts w:ascii="Calibri" w:hAnsi="Calibri" w:eastAsia="Calibri"/>
          <w:b/>
          <w:color w:val="111827"/>
          <w:sz w:val="21"/>
        </w:rPr>
        <w:t xml:space="preserve">Version: </w:t>
      </w:r>
      <w:r>
        <w:rPr>
          <w:rFonts w:ascii="Calibri" w:hAnsi="Calibri" w:eastAsia="Calibri"/>
          <w:color w:val="111827"/>
          <w:sz w:val="21"/>
        </w:rPr>
        <w:t>1.0</w:t>
      </w:r>
    </w:p>
    <w:p>
      <w:pPr>
        <w:spacing w:before="0" w:after="40" w:line="240" w:lineRule="auto"/>
      </w:pPr>
      <w:r>
        <w:rPr>
          <w:rFonts w:ascii="Calibri" w:hAnsi="Calibri" w:eastAsia="Calibri"/>
          <w:b/>
          <w:color w:val="111827"/>
          <w:sz w:val="21"/>
        </w:rPr>
        <w:t xml:space="preserve">Status: </w:t>
      </w:r>
      <w:r>
        <w:rPr>
          <w:rFonts w:ascii="Calibri" w:hAnsi="Calibri" w:eastAsia="Calibri"/>
          <w:color w:val="111827"/>
          <w:sz w:val="21"/>
        </w:rPr>
        <w:t>Architecture proposal</w:t>
      </w:r>
    </w:p>
    <w:p>
      <w:pPr>
        <w:spacing w:before="0" w:after="40" w:line="240" w:lineRule="auto"/>
      </w:pPr>
      <w:r>
        <w:rPr>
          <w:rFonts w:ascii="Calibri" w:hAnsi="Calibri" w:eastAsia="Calibri"/>
          <w:b/>
          <w:color w:val="111827"/>
          <w:sz w:val="21"/>
        </w:rPr>
        <w:t xml:space="preserve">Scope: </w:t>
      </w:r>
      <w:r>
        <w:rPr>
          <w:rFonts w:ascii="Calibri" w:hAnsi="Calibri" w:eastAsia="Calibri"/>
          <w:color w:val="111827"/>
          <w:sz w:val="21"/>
        </w:rPr>
        <w:t>Research-grade CI/CD for governed agent execution</w:t>
      </w:r>
    </w:p>
    <w:p>
      <w:pPr>
        <w:spacing w:before="0" w:after="40" w:line="240" w:lineRule="auto"/>
      </w:pPr>
      <w:r>
        <w:rPr>
          <w:rFonts w:ascii="Calibri" w:hAnsi="Calibri" w:eastAsia="Calibri"/>
          <w:b/>
          <w:color w:val="111827"/>
          <w:sz w:val="21"/>
        </w:rPr>
        <w:t xml:space="preserve">Audience: </w:t>
      </w:r>
      <w:r>
        <w:rPr>
          <w:rFonts w:ascii="Calibri" w:hAnsi="Calibri" w:eastAsia="Calibri"/>
          <w:color w:val="111827"/>
          <w:sz w:val="21"/>
        </w:rPr>
        <w:t>Maintainers, reviewers, adopters and research evaluators</w:t>
      </w:r>
    </w:p>
    <w:p>
      <w:pPr>
        <w:spacing w:before="0" w:after="40" w:line="240" w:lineRule="auto"/>
      </w:pPr>
      <w:r>
        <w:rPr>
          <w:rFonts w:ascii="Calibri" w:hAnsi="Calibri" w:eastAsia="Calibri"/>
          <w:b/>
          <w:color w:val="111827"/>
          <w:sz w:val="21"/>
        </w:rPr>
        <w:t xml:space="preserve">Date: </w:t>
      </w:r>
      <w:r>
        <w:rPr>
          <w:rFonts w:ascii="Calibri" w:hAnsi="Calibri" w:eastAsia="Calibri"/>
          <w:color w:val="111827"/>
          <w:sz w:val="21"/>
        </w:rPr>
        <w:t>25 August 2026</w:t>
      </w:r>
    </w:p>
    <w:p>
      <w:pPr>
        <w:spacing w:before="0" w:after="40" w:line="240" w:lineRule="auto"/>
      </w:pPr>
      <w:r>
        <w:rPr>
          <w:rFonts w:ascii="Calibri" w:hAnsi="Calibri" w:eastAsia="Calibri"/>
          <w:b/>
          <w:color w:val="111827"/>
          <w:sz w:val="21"/>
        </w:rPr>
        <w:t xml:space="preserve">Owner: </w:t>
      </w:r>
      <w:r>
        <w:rPr>
          <w:rFonts w:ascii="Calibri" w:hAnsi="Calibri" w:eastAsia="Calibri"/>
          <w:color w:val="111827"/>
          <w:sz w:val="21"/>
        </w:rPr>
        <w:t>REMORA Research</w:t>
      </w:r>
    </w:p>
    <w:p>
      <w:pPr>
        <w:spacing w:before="160" w:after="240"/>
        <w:pBdr>
          <w:bottom w:val="single" w:sz="16" w:space="5" w:color="2E74B5"/>
        </w:pBdr>
      </w:pPr>
    </w:p>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150" w:type="dxa"/>
              <w:start w:w="190" w:type="dxa"/>
              <w:bottom w:w="150" w:type="dxa"/>
              <w:end w:w="190" w:type="dxa"/>
            </w:tcMar>
            <w:vAlign w:val="center"/>
            <w:shd w:fill="E8EEF5"/>
            <w:tcBorders>
              <w:left w:val="single" w:sz="24" w:color="2E74B5"/>
            </w:tcBorders>
          </w:tcPr>
          <w:p>
            <w:pPr>
              <w:spacing w:after="0" w:line="259" w:lineRule="auto"/>
            </w:pPr>
            <w:r>
              <w:rPr>
                <w:rFonts w:ascii="Calibri" w:hAnsi="Calibri" w:eastAsia="Calibri"/>
                <w:b/>
                <w:color w:val="2E74B5"/>
                <w:sz w:val="20"/>
              </w:rPr>
              <w:t xml:space="preserve">CORE PROPOSITION  </w:t>
            </w:r>
            <w:r>
              <w:rPr>
                <w:rFonts w:ascii="Calibri" w:hAnsi="Calibri" w:eastAsia="Calibri"/>
                <w:color w:val="111827"/>
                <w:sz w:val="21"/>
              </w:rPr>
              <w:t>Assurance CI is not a collection of test jobs. It is an enforcement architecture that converts discovered failure modes into permanent, revision-bound conditions for change acceptance.</w:t>
            </w:r>
          </w:p>
        </w:tc>
      </w:tr>
    </w:tbl>
    <w:p>
      <w:pPr>
        <w:spacing w:after="0" w:before="0"/>
      </w:pPr>
    </w:p>
    <w:p>
      <w:pPr>
        <w:pStyle w:val="Heading1"/>
        <w:keepNext/>
        <w:keepLines/>
        <w:ind w:left="0" w:right="0" w:firstLine="0"/>
        <w:jc w:val="left"/>
      </w:pPr>
      <w:r>
        <w:t>Document control</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900"/>
        <w:gridCol w:w="3860"/>
        <w:gridCol w:w="3600"/>
      </w:tblGrid>
      <w:tr>
        <w:trPr>
          <w:tblHeader w:val="true"/>
        </w:trPr>
        <w:tc>
          <w:tcPr>
            <w:tcW w:type="dxa" w:w="19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Field</w:t>
            </w:r>
          </w:p>
        </w:tc>
        <w:tc>
          <w:tcPr>
            <w:tcW w:type="dxa" w:w="38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Definition</w:t>
            </w:r>
          </w:p>
        </w:tc>
        <w:tc>
          <w:tcPr>
            <w:tcW w:type="dxa" w:w="36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Decision rule</w:t>
            </w:r>
          </w:p>
        </w:tc>
      </w:tr>
      <w:tr>
        <w:tc>
          <w:tcPr>
            <w:tcW w:type="dxa" w:w="1900"/>
          </w:tcPr>
          <w:p>
            <w:pPr>
              <w:spacing w:after="0" w:line="250" w:lineRule="auto"/>
              <w:jc w:val="left"/>
            </w:pPr>
            <w:r>
              <w:rPr>
                <w:rFonts w:ascii="Calibri" w:hAnsi="Calibri" w:eastAsia="Calibri"/>
                <w:color w:val="111827"/>
                <w:sz w:val="17"/>
              </w:rPr>
              <w:t>Authority</w:t>
            </w:r>
          </w:p>
        </w:tc>
        <w:tc>
          <w:tcPr>
            <w:tcW w:type="dxa" w:w="3860"/>
          </w:tcPr>
          <w:p>
            <w:pPr>
              <w:spacing w:after="0" w:line="250" w:lineRule="auto"/>
              <w:jc w:val="left"/>
            </w:pPr>
            <w:r>
              <w:rPr>
                <w:rFonts w:ascii="Calibri" w:hAnsi="Calibri" w:eastAsia="Calibri"/>
                <w:color w:val="111827"/>
                <w:sz w:val="17"/>
              </w:rPr>
              <w:t>Repository maintainers and explicitly delegated reviewers</w:t>
            </w:r>
          </w:p>
        </w:tc>
        <w:tc>
          <w:tcPr>
            <w:tcW w:type="dxa" w:w="3600"/>
          </w:tcPr>
          <w:p>
            <w:pPr>
              <w:spacing w:after="0" w:line="250" w:lineRule="auto"/>
              <w:jc w:val="left"/>
            </w:pPr>
            <w:r>
              <w:rPr>
                <w:rFonts w:ascii="Calibri" w:hAnsi="Calibri" w:eastAsia="Calibri"/>
                <w:color w:val="111827"/>
                <w:sz w:val="17"/>
              </w:rPr>
              <w:t>No workflow may create its own governance authority.</w:t>
            </w:r>
          </w:p>
        </w:tc>
      </w:tr>
      <w:tr>
        <w:tc>
          <w:tcPr>
            <w:tcW w:type="dxa" w:w="1900"/>
            <w:shd w:fill="FBFCFE"/>
          </w:tcPr>
          <w:p>
            <w:pPr>
              <w:spacing w:after="0" w:line="250" w:lineRule="auto"/>
              <w:jc w:val="left"/>
            </w:pPr>
            <w:r>
              <w:rPr>
                <w:rFonts w:ascii="Calibri" w:hAnsi="Calibri" w:eastAsia="Calibri"/>
                <w:color w:val="111827"/>
                <w:sz w:val="17"/>
              </w:rPr>
              <w:t>Protected object</w:t>
            </w:r>
          </w:p>
        </w:tc>
        <w:tc>
          <w:tcPr>
            <w:tcW w:type="dxa" w:w="3860"/>
            <w:shd w:fill="FBFCFE"/>
          </w:tcPr>
          <w:p>
            <w:pPr>
              <w:spacing w:after="0" w:line="250" w:lineRule="auto"/>
              <w:jc w:val="left"/>
            </w:pPr>
            <w:r>
              <w:rPr>
                <w:rFonts w:ascii="Calibri" w:hAnsi="Calibri" w:eastAsia="Calibri"/>
                <w:color w:val="111827"/>
                <w:sz w:val="17"/>
              </w:rPr>
              <w:t>Main branch, release tags and research claims</w:t>
            </w:r>
          </w:p>
        </w:tc>
        <w:tc>
          <w:tcPr>
            <w:tcW w:type="dxa" w:w="3600"/>
            <w:shd w:fill="FBFCFE"/>
          </w:tcPr>
          <w:p>
            <w:pPr>
              <w:spacing w:after="0" w:line="250" w:lineRule="auto"/>
              <w:jc w:val="left"/>
            </w:pPr>
            <w:r>
              <w:rPr>
                <w:rFonts w:ascii="Calibri" w:hAnsi="Calibri" w:eastAsia="Calibri"/>
                <w:color w:val="111827"/>
                <w:sz w:val="17"/>
              </w:rPr>
              <w:t>Mutation requires complete assurance evidence.</w:t>
            </w:r>
          </w:p>
        </w:tc>
      </w:tr>
      <w:tr>
        <w:tc>
          <w:tcPr>
            <w:tcW w:type="dxa" w:w="1900"/>
          </w:tcPr>
          <w:p>
            <w:pPr>
              <w:spacing w:after="0" w:line="250" w:lineRule="auto"/>
              <w:jc w:val="left"/>
            </w:pPr>
            <w:r>
              <w:rPr>
                <w:rFonts w:ascii="Calibri" w:hAnsi="Calibri" w:eastAsia="Calibri"/>
                <w:color w:val="111827"/>
                <w:sz w:val="17"/>
              </w:rPr>
              <w:t>Unit of evidence</w:t>
            </w:r>
          </w:p>
        </w:tc>
        <w:tc>
          <w:tcPr>
            <w:tcW w:type="dxa" w:w="3860"/>
          </w:tcPr>
          <w:p>
            <w:pPr>
              <w:spacing w:after="0" w:line="250" w:lineRule="auto"/>
              <w:jc w:val="left"/>
            </w:pPr>
            <w:r>
              <w:rPr>
                <w:rFonts w:ascii="Calibri" w:hAnsi="Calibri" w:eastAsia="Calibri"/>
                <w:color w:val="111827"/>
                <w:sz w:val="17"/>
              </w:rPr>
              <w:t>A result bound to commit SHA, workflow identity and artifact digest</w:t>
            </w:r>
          </w:p>
        </w:tc>
        <w:tc>
          <w:tcPr>
            <w:tcW w:type="dxa" w:w="3600"/>
          </w:tcPr>
          <w:p>
            <w:pPr>
              <w:spacing w:after="0" w:line="250" w:lineRule="auto"/>
              <w:jc w:val="left"/>
            </w:pPr>
            <w:r>
              <w:rPr>
                <w:rFonts w:ascii="Calibri" w:hAnsi="Calibri" w:eastAsia="Calibri"/>
                <w:color w:val="111827"/>
                <w:sz w:val="17"/>
              </w:rPr>
              <w:t>Floating or unbound evidence is invalid.</w:t>
            </w:r>
          </w:p>
        </w:tc>
      </w:tr>
      <w:tr>
        <w:tc>
          <w:tcPr>
            <w:tcW w:type="dxa" w:w="1900"/>
            <w:shd w:fill="FBFCFE"/>
          </w:tcPr>
          <w:p>
            <w:pPr>
              <w:spacing w:after="0" w:line="250" w:lineRule="auto"/>
              <w:jc w:val="left"/>
            </w:pPr>
            <w:r>
              <w:rPr>
                <w:rFonts w:ascii="Calibri" w:hAnsi="Calibri" w:eastAsia="Calibri"/>
                <w:color w:val="111827"/>
                <w:sz w:val="17"/>
              </w:rPr>
              <w:t>Failure posture</w:t>
            </w:r>
          </w:p>
        </w:tc>
        <w:tc>
          <w:tcPr>
            <w:tcW w:type="dxa" w:w="3860"/>
            <w:shd w:fill="FBFCFE"/>
          </w:tcPr>
          <w:p>
            <w:pPr>
              <w:spacing w:after="0" w:line="250" w:lineRule="auto"/>
              <w:jc w:val="left"/>
            </w:pPr>
            <w:r>
              <w:rPr>
                <w:rFonts w:ascii="Calibri" w:hAnsi="Calibri" w:eastAsia="Calibri"/>
                <w:color w:val="111827"/>
                <w:sz w:val="17"/>
              </w:rPr>
              <w:t>Fail closed for missing, stale, inconclusive or bypassable checks</w:t>
            </w:r>
          </w:p>
        </w:tc>
        <w:tc>
          <w:tcPr>
            <w:tcW w:type="dxa" w:w="3600"/>
            <w:shd w:fill="FBFCFE"/>
          </w:tcPr>
          <w:p>
            <w:pPr>
              <w:spacing w:after="0" w:line="250" w:lineRule="auto"/>
              <w:jc w:val="left"/>
            </w:pPr>
            <w:r>
              <w:rPr>
                <w:rFonts w:ascii="Calibri" w:hAnsi="Calibri" w:eastAsia="Calibri"/>
                <w:color w:val="111827"/>
                <w:sz w:val="17"/>
              </w:rPr>
              <w:t>Uncertainty is not converted into success.</w:t>
            </w:r>
          </w:p>
        </w:tc>
      </w:tr>
      <w:tr>
        <w:tc>
          <w:tcPr>
            <w:tcW w:type="dxa" w:w="1900"/>
          </w:tcPr>
          <w:p>
            <w:pPr>
              <w:spacing w:after="0" w:line="250" w:lineRule="auto"/>
              <w:jc w:val="left"/>
            </w:pPr>
            <w:r>
              <w:rPr>
                <w:rFonts w:ascii="Calibri" w:hAnsi="Calibri" w:eastAsia="Calibri"/>
                <w:color w:val="111827"/>
                <w:sz w:val="17"/>
              </w:rPr>
              <w:t>Primary output</w:t>
            </w:r>
          </w:p>
        </w:tc>
        <w:tc>
          <w:tcPr>
            <w:tcW w:type="dxa" w:w="3860"/>
          </w:tcPr>
          <w:p>
            <w:pPr>
              <w:spacing w:after="0" w:line="250" w:lineRule="auto"/>
              <w:jc w:val="left"/>
            </w:pPr>
            <w:r>
              <w:rPr>
                <w:rFonts w:ascii="Calibri" w:hAnsi="Calibri" w:eastAsia="Calibri"/>
                <w:color w:val="111827"/>
                <w:sz w:val="17"/>
              </w:rPr>
              <w:t>Merge decision plus replayable assurance bundle</w:t>
            </w:r>
          </w:p>
        </w:tc>
        <w:tc>
          <w:tcPr>
            <w:tcW w:type="dxa" w:w="3600"/>
          </w:tcPr>
          <w:p>
            <w:pPr>
              <w:spacing w:after="0" w:line="250" w:lineRule="auto"/>
              <w:jc w:val="left"/>
            </w:pPr>
            <w:r>
              <w:rPr>
                <w:rFonts w:ascii="Calibri" w:hAnsi="Calibri" w:eastAsia="Calibri"/>
                <w:color w:val="111827"/>
                <w:sz w:val="17"/>
              </w:rPr>
              <w:t>A green badge alone is insufficient.</w:t>
            </w:r>
          </w:p>
        </w:tc>
      </w:tr>
    </w:tbl>
    <w:p>
      <w:pPr>
        <w:spacing w:after="0"/>
      </w:pPr>
    </w:p>
    <w:p>
      <w:pPr>
        <w:pStyle w:val="Heading1"/>
        <w:keepNext/>
        <w:keepLines/>
        <w:ind w:left="0" w:right="0" w:firstLine="0"/>
        <w:jc w:val="left"/>
      </w:pPr>
      <w:r>
        <w:t>Executive summary</w:t>
      </w:r>
    </w:p>
    <w:p>
      <w:pPr>
        <w:spacing w:before="0" w:after="120" w:line="264" w:lineRule="auto"/>
      </w:pPr>
      <w:r>
        <w:rPr>
          <w:rFonts w:ascii="Calibri" w:hAnsi="Calibri" w:eastAsia="Calibri"/>
          <w:i w:val="0"/>
          <w:color w:val="111827"/>
          <w:sz w:val="22"/>
        </w:rPr>
        <w:t>Modern AI-assisted development can produce changes faster than a human reviewer can reconstruct their full safety impact. Traditional CI responds by running more tests. Assurance CI responds differently: it defines which safety and research claims must remain true, what evidence is acceptable, and which stable checks have authority to block change.</w:t>
      </w:r>
    </w:p>
    <w:p>
      <w:pPr>
        <w:spacing w:before="0" w:after="120" w:line="264" w:lineRule="auto"/>
      </w:pPr>
      <w:r>
        <w:rPr>
          <w:rFonts w:ascii="Calibri" w:hAnsi="Calibri" w:eastAsia="Calibri"/>
          <w:i w:val="0"/>
          <w:color w:val="111827"/>
          <w:sz w:val="22"/>
        </w:rPr>
        <w:t>The architecture treats CI as a repository-level policy enforcement point. Independent jobs produce evidence; stable aggregators evaluate completeness; branch protection enforces the result; and release bundles preserve the relationship between revision, checks, claims and artifacts. A failure is not considered resolved until its forbidden state is expressed as an invariant and protected by a deterministic regression path.</w:t>
      </w:r>
    </w:p>
    <w:tbl>
      <w:tblPr>
        <w:tblW w:type="dxa" w:w="9360"/>
        <w:tblLayout w:type="fixed"/>
        <w:tblLook w:firstColumn="1" w:firstRow="1" w:lastColumn="0" w:lastRow="0" w:noHBand="0" w:noVBand="1" w:val="04A0"/>
        <w:tblInd w:w="120" w:type="dxa"/>
        <w:tblBorders>
          <w:top w:val="single" w:sz="4" w:space="0" w:color="EAF7F1"/>
          <w:left w:val="single" w:sz="4" w:space="0" w:color="EAF7F1"/>
          <w:bottom w:val="single" w:sz="4" w:space="0" w:color="EAF7F1"/>
          <w:right w:val="single" w:sz="4" w:space="0" w:color="EAF7F1"/>
          <w:insideH w:val="single" w:sz="4" w:space="0" w:color="EAF7F1"/>
          <w:insideV w:val="single" w:sz="4" w:space="0" w:color="EAF7F1"/>
        </w:tblBorders>
      </w:tblPr>
      <w:tblGrid>
        <w:gridCol w:w="9360"/>
      </w:tblGrid>
      <w:tr>
        <w:trPr>
          <w:cantSplit/>
        </w:trPr>
        <w:tc>
          <w:tcPr>
            <w:tcW w:type="dxa" w:w="9360"/>
            <w:tcMar>
              <w:top w:w="150" w:type="dxa"/>
              <w:start w:w="190" w:type="dxa"/>
              <w:bottom w:w="150" w:type="dxa"/>
              <w:end w:w="190" w:type="dxa"/>
            </w:tcMar>
            <w:vAlign w:val="center"/>
            <w:shd w:fill="EAF7F1"/>
            <w:tcBorders>
              <w:left w:val="single" w:sz="24" w:color="176B4D"/>
            </w:tcBorders>
          </w:tcPr>
          <w:p>
            <w:pPr>
              <w:spacing w:after="0" w:line="259" w:lineRule="auto"/>
            </w:pPr>
            <w:r>
              <w:rPr>
                <w:rFonts w:ascii="Calibri" w:hAnsi="Calibri" w:eastAsia="Calibri"/>
                <w:b/>
                <w:color w:val="176B4D"/>
                <w:sz w:val="20"/>
              </w:rPr>
              <w:t xml:space="preserve">DECISION  </w:t>
            </w:r>
            <w:r>
              <w:rPr>
                <w:rFonts w:ascii="Calibri" w:hAnsi="Calibri" w:eastAsia="Calibri"/>
                <w:color w:val="111827"/>
                <w:sz w:val="21"/>
              </w:rPr>
              <w:t>Adopt Assurance CI as a named architectural subsystem of REMORA. Document its contracts, owners, failure semantics and evidence schema independently from individual GitHub Actions workflows.</w:t>
            </w:r>
          </w:p>
        </w:tc>
      </w:tr>
    </w:tbl>
    <w:p>
      <w:pPr>
        <w:spacing w:after="0" w:before="0"/>
      </w:pPr>
    </w:p>
    <w:p>
      <w:pPr>
        <w:pStyle w:val="Heading1"/>
        <w:keepNext/>
        <w:keepLines/>
        <w:ind w:left="0" w:right="0" w:firstLine="0"/>
        <w:jc w:val="left"/>
      </w:pPr>
      <w:r>
        <w:t>1. Purpose and research question</w:t>
      </w:r>
    </w:p>
    <w:p>
      <w:pPr>
        <w:spacing w:before="0" w:after="120" w:line="264" w:lineRule="auto"/>
      </w:pPr>
      <w:r>
        <w:rPr>
          <w:rFonts w:ascii="Calibri" w:hAnsi="Calibri" w:eastAsia="Calibri"/>
          <w:i w:val="0"/>
          <w:color w:val="111827"/>
          <w:sz w:val="22"/>
        </w:rPr>
        <w:t>The purpose of Assurance CI is to make rapid, AI-assisted research engineering compatible with cumulative safety assurance. It addresses the research question: How can a high-change repository ensure that each discovered failure permanently strengthens, rather than merely patches, the system?</w:t>
      </w:r>
    </w:p>
    <w:p>
      <w:pPr>
        <w:spacing w:before="0" w:after="120" w:line="264" w:lineRule="auto"/>
      </w:pPr>
      <w:r>
        <w:rPr>
          <w:rFonts w:ascii="Calibri" w:hAnsi="Calibri" w:eastAsia="Calibri"/>
          <w:i w:val="0"/>
          <w:color w:val="111827"/>
          <w:sz w:val="22"/>
        </w:rPr>
        <w:t>The central mechanism is an assurance ratchet. Findings can move the repository toward stricter and more explicit guarantees, but they cannot silently disappear when code, documentation, dependencies or deployment configuration changes.</w:t>
      </w:r>
    </w:p>
    <w:p>
      <w:pPr>
        <w:pStyle w:val="Heading2"/>
        <w:keepNext/>
        <w:keepLines/>
        <w:ind w:left="0" w:right="0" w:firstLine="0"/>
        <w:jc w:val="left"/>
      </w:pPr>
      <w:r>
        <w:t>1.1 Scope</w:t>
      </w:r>
    </w:p>
    <w:p>
      <w:pPr>
        <w:spacing w:after="160" w:line="280" w:lineRule="auto"/>
        <w:numPr>
          <w:ilvl w:val="0"/>
          <w:numId w:val="10"/>
        </w:numPr>
      </w:pPr>
      <w:r>
        <w:rPr>
          <w:rFonts w:ascii="Calibri" w:hAnsi="Calibri" w:eastAsia="Calibri"/>
          <w:color w:val="111827"/>
          <w:sz w:val="22"/>
        </w:rPr>
        <w:t>Source code, policy, schema, workflow, dependency and documentation changes.</w:t>
      </w:r>
    </w:p>
    <w:p>
      <w:pPr>
        <w:spacing w:after="160" w:line="280" w:lineRule="auto"/>
        <w:numPr>
          <w:ilvl w:val="0"/>
          <w:numId w:val="10"/>
        </w:numPr>
      </w:pPr>
      <w:r>
        <w:rPr>
          <w:rFonts w:ascii="Calibri" w:hAnsi="Calibri" w:eastAsia="Calibri"/>
          <w:color w:val="111827"/>
          <w:sz w:val="22"/>
        </w:rPr>
        <w:t>Deterministic safety properties at assessment, authorization, dispatch and effect-verification boundaries.</w:t>
      </w:r>
    </w:p>
    <w:p>
      <w:pPr>
        <w:spacing w:after="160" w:line="280" w:lineRule="auto"/>
        <w:numPr>
          <w:ilvl w:val="0"/>
          <w:numId w:val="10"/>
        </w:numPr>
      </w:pPr>
      <w:r>
        <w:rPr>
          <w:rFonts w:ascii="Calibri" w:hAnsi="Calibri" w:eastAsia="Calibri"/>
          <w:color w:val="111827"/>
          <w:sz w:val="22"/>
        </w:rPr>
        <w:t>Research claims, negative results, remediation state and reproducibility artifacts.</w:t>
      </w:r>
    </w:p>
    <w:p>
      <w:pPr>
        <w:spacing w:after="160" w:line="280" w:lineRule="auto"/>
        <w:numPr>
          <w:ilvl w:val="0"/>
          <w:numId w:val="10"/>
        </w:numPr>
      </w:pPr>
      <w:r>
        <w:rPr>
          <w:rFonts w:ascii="Calibri" w:hAnsi="Calibri" w:eastAsia="Calibri"/>
          <w:color w:val="111827"/>
          <w:sz w:val="22"/>
        </w:rPr>
        <w:t>Merge, release and deployment evidence bound to an exact repository revision.</w:t>
      </w:r>
    </w:p>
    <w:p>
      <w:pPr>
        <w:spacing w:after="160" w:line="280" w:lineRule="auto"/>
        <w:numPr>
          <w:ilvl w:val="0"/>
          <w:numId w:val="10"/>
        </w:numPr>
      </w:pPr>
      <w:r>
        <w:rPr>
          <w:rFonts w:ascii="Calibri" w:hAnsi="Calibri" w:eastAsia="Calibri"/>
          <w:color w:val="111827"/>
          <w:sz w:val="22"/>
        </w:rPr>
        <w:t>Human review where policy or evidence requires an accountable decision.</w:t>
      </w:r>
    </w:p>
    <w:p>
      <w:pPr>
        <w:pStyle w:val="Heading2"/>
        <w:keepNext/>
        <w:keepLines/>
        <w:ind w:left="0" w:right="0" w:firstLine="0"/>
        <w:jc w:val="left"/>
      </w:pPr>
      <w:r>
        <w:t>1.2 Non-goals</w:t>
      </w:r>
    </w:p>
    <w:p>
      <w:pPr>
        <w:spacing w:after="160" w:line="280" w:lineRule="auto"/>
        <w:numPr>
          <w:ilvl w:val="0"/>
          <w:numId w:val="10"/>
        </w:numPr>
      </w:pPr>
      <w:r>
        <w:rPr>
          <w:rFonts w:ascii="Calibri" w:hAnsi="Calibri" w:eastAsia="Calibri"/>
          <w:color w:val="111827"/>
          <w:sz w:val="22"/>
        </w:rPr>
        <w:t>Proving that the complete system is secure under every environment or threat model.</w:t>
      </w:r>
    </w:p>
    <w:p>
      <w:pPr>
        <w:spacing w:after="160" w:line="280" w:lineRule="auto"/>
        <w:numPr>
          <w:ilvl w:val="0"/>
          <w:numId w:val="10"/>
        </w:numPr>
      </w:pPr>
      <w:r>
        <w:rPr>
          <w:rFonts w:ascii="Calibri" w:hAnsi="Calibri" w:eastAsia="Calibri"/>
          <w:color w:val="111827"/>
          <w:sz w:val="22"/>
        </w:rPr>
        <w:t>Replacing architectural judgment with a single score, coverage number or green badge.</w:t>
      </w:r>
    </w:p>
    <w:p>
      <w:pPr>
        <w:spacing w:after="160" w:line="280" w:lineRule="auto"/>
        <w:numPr>
          <w:ilvl w:val="0"/>
          <w:numId w:val="10"/>
        </w:numPr>
      </w:pPr>
      <w:r>
        <w:rPr>
          <w:rFonts w:ascii="Calibri" w:hAnsi="Calibri" w:eastAsia="Calibri"/>
          <w:color w:val="111827"/>
          <w:sz w:val="22"/>
        </w:rPr>
        <w:t>Treating a successful workflow execution as proof of external effect.</w:t>
      </w:r>
    </w:p>
    <w:p>
      <w:pPr>
        <w:spacing w:after="160" w:line="280" w:lineRule="auto"/>
        <w:numPr>
          <w:ilvl w:val="0"/>
          <w:numId w:val="10"/>
        </w:numPr>
      </w:pPr>
      <w:r>
        <w:rPr>
          <w:rFonts w:ascii="Calibri" w:hAnsi="Calibri" w:eastAsia="Calibri"/>
          <w:color w:val="111827"/>
          <w:sz w:val="22"/>
        </w:rPr>
        <w:t>Allowing an AI coding agent, workflow or test generator to grant itself merge authority.</w:t>
      </w:r>
    </w:p>
    <w:p>
      <w:pPr>
        <w:spacing w:after="160" w:line="280" w:lineRule="auto"/>
        <w:numPr>
          <w:ilvl w:val="0"/>
          <w:numId w:val="10"/>
        </w:numPr>
      </w:pPr>
      <w:r>
        <w:rPr>
          <w:rFonts w:ascii="Calibri" w:hAnsi="Calibri" w:eastAsia="Calibri"/>
          <w:color w:val="111827"/>
          <w:sz w:val="22"/>
        </w:rPr>
        <w:t>Using CI as a substitute for independent replication, human evaluation or operational monitoring.</w:t>
      </w:r>
    </w:p>
    <w:p>
      <w:pPr>
        <w:pStyle w:val="Heading1"/>
        <w:keepNext/>
        <w:keepLines/>
        <w:ind w:left="0" w:right="0" w:firstLine="0"/>
        <w:jc w:val="left"/>
      </w:pPr>
      <w:r>
        <w:t>2. Core concepts</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900"/>
        <w:gridCol w:w="3860"/>
        <w:gridCol w:w="3600"/>
      </w:tblGrid>
      <w:tr>
        <w:trPr>
          <w:tblHeader w:val="true"/>
        </w:trPr>
        <w:tc>
          <w:tcPr>
            <w:tcW w:type="dxa" w:w="19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Concept</w:t>
            </w:r>
          </w:p>
        </w:tc>
        <w:tc>
          <w:tcPr>
            <w:tcW w:type="dxa" w:w="38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Meaning</w:t>
            </w:r>
          </w:p>
        </w:tc>
        <w:tc>
          <w:tcPr>
            <w:tcW w:type="dxa" w:w="36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Assurance consequence</w:t>
            </w:r>
          </w:p>
        </w:tc>
      </w:tr>
      <w:tr>
        <w:tc>
          <w:tcPr>
            <w:tcW w:type="dxa" w:w="1900"/>
          </w:tcPr>
          <w:p>
            <w:pPr>
              <w:spacing w:after="0" w:line="250" w:lineRule="auto"/>
              <w:jc w:val="left"/>
            </w:pPr>
            <w:r>
              <w:rPr>
                <w:rFonts w:ascii="Calibri" w:hAnsi="Calibri" w:eastAsia="Calibri"/>
                <w:color w:val="111827"/>
                <w:sz w:val="17"/>
              </w:rPr>
              <w:t>Assurance claim</w:t>
            </w:r>
          </w:p>
        </w:tc>
        <w:tc>
          <w:tcPr>
            <w:tcW w:type="dxa" w:w="3860"/>
          </w:tcPr>
          <w:p>
            <w:pPr>
              <w:spacing w:after="0" w:line="250" w:lineRule="auto"/>
              <w:jc w:val="left"/>
            </w:pPr>
            <w:r>
              <w:rPr>
                <w:rFonts w:ascii="Calibri" w:hAnsi="Calibri" w:eastAsia="Calibri"/>
                <w:color w:val="111827"/>
                <w:sz w:val="17"/>
              </w:rPr>
              <w:t>A precise statement expected to hold for a named surface and threat model.</w:t>
            </w:r>
          </w:p>
        </w:tc>
        <w:tc>
          <w:tcPr>
            <w:tcW w:type="dxa" w:w="3600"/>
          </w:tcPr>
          <w:p>
            <w:pPr>
              <w:spacing w:after="0" w:line="250" w:lineRule="auto"/>
              <w:jc w:val="left"/>
            </w:pPr>
            <w:r>
              <w:rPr>
                <w:rFonts w:ascii="Calibri" w:hAnsi="Calibri" w:eastAsia="Calibri"/>
                <w:color w:val="111827"/>
                <w:sz w:val="17"/>
              </w:rPr>
              <w:t>Must have current, revision-bound evidence and an owner.</w:t>
            </w:r>
          </w:p>
        </w:tc>
      </w:tr>
      <w:tr>
        <w:tc>
          <w:tcPr>
            <w:tcW w:type="dxa" w:w="1900"/>
            <w:shd w:fill="FBFCFE"/>
          </w:tcPr>
          <w:p>
            <w:pPr>
              <w:spacing w:after="0" w:line="250" w:lineRule="auto"/>
              <w:jc w:val="left"/>
            </w:pPr>
            <w:r>
              <w:rPr>
                <w:rFonts w:ascii="Calibri" w:hAnsi="Calibri" w:eastAsia="Calibri"/>
                <w:color w:val="111827"/>
                <w:sz w:val="17"/>
              </w:rPr>
              <w:t>Invariant</w:t>
            </w:r>
          </w:p>
        </w:tc>
        <w:tc>
          <w:tcPr>
            <w:tcW w:type="dxa" w:w="3860"/>
            <w:shd w:fill="FBFCFE"/>
          </w:tcPr>
          <w:p>
            <w:pPr>
              <w:spacing w:after="0" w:line="250" w:lineRule="auto"/>
              <w:jc w:val="left"/>
            </w:pPr>
            <w:r>
              <w:rPr>
                <w:rFonts w:ascii="Calibri" w:hAnsi="Calibri" w:eastAsia="Calibri"/>
                <w:color w:val="111827"/>
                <w:sz w:val="17"/>
              </w:rPr>
              <w:t>A state or transition that must always hold, independent of model preference.</w:t>
            </w:r>
          </w:p>
        </w:tc>
        <w:tc>
          <w:tcPr>
            <w:tcW w:type="dxa" w:w="3600"/>
            <w:shd w:fill="FBFCFE"/>
          </w:tcPr>
          <w:p>
            <w:pPr>
              <w:spacing w:after="0" w:line="250" w:lineRule="auto"/>
              <w:jc w:val="left"/>
            </w:pPr>
            <w:r>
              <w:rPr>
                <w:rFonts w:ascii="Calibri" w:hAnsi="Calibri" w:eastAsia="Calibri"/>
                <w:color w:val="111827"/>
                <w:sz w:val="17"/>
              </w:rPr>
              <w:t>Violation is merge-blocking unless explicitly removed through governance.</w:t>
            </w:r>
          </w:p>
        </w:tc>
      </w:tr>
      <w:tr>
        <w:tc>
          <w:tcPr>
            <w:tcW w:type="dxa" w:w="1900"/>
          </w:tcPr>
          <w:p>
            <w:pPr>
              <w:spacing w:after="0" w:line="250" w:lineRule="auto"/>
              <w:jc w:val="left"/>
            </w:pPr>
            <w:r>
              <w:rPr>
                <w:rFonts w:ascii="Calibri" w:hAnsi="Calibri" w:eastAsia="Calibri"/>
                <w:color w:val="111827"/>
                <w:sz w:val="17"/>
              </w:rPr>
              <w:t>Evidence producer</w:t>
            </w:r>
          </w:p>
        </w:tc>
        <w:tc>
          <w:tcPr>
            <w:tcW w:type="dxa" w:w="3860"/>
          </w:tcPr>
          <w:p>
            <w:pPr>
              <w:spacing w:after="0" w:line="250" w:lineRule="auto"/>
              <w:jc w:val="left"/>
            </w:pPr>
            <w:r>
              <w:rPr>
                <w:rFonts w:ascii="Calibri" w:hAnsi="Calibri" w:eastAsia="Calibri"/>
                <w:color w:val="111827"/>
                <w:sz w:val="17"/>
              </w:rPr>
              <w:t>A test, analyzer, replay job, audit or human review that emits structured results.</w:t>
            </w:r>
          </w:p>
        </w:tc>
        <w:tc>
          <w:tcPr>
            <w:tcW w:type="dxa" w:w="3600"/>
          </w:tcPr>
          <w:p>
            <w:pPr>
              <w:spacing w:after="0" w:line="250" w:lineRule="auto"/>
              <w:jc w:val="left"/>
            </w:pPr>
            <w:r>
              <w:rPr>
                <w:rFonts w:ascii="Calibri" w:hAnsi="Calibri" w:eastAsia="Calibri"/>
                <w:color w:val="111827"/>
                <w:sz w:val="17"/>
              </w:rPr>
              <w:t>May report facts but may not unilaterally authorize merge.</w:t>
            </w:r>
          </w:p>
        </w:tc>
      </w:tr>
      <w:tr>
        <w:tc>
          <w:tcPr>
            <w:tcW w:type="dxa" w:w="1900"/>
            <w:shd w:fill="FBFCFE"/>
          </w:tcPr>
          <w:p>
            <w:pPr>
              <w:spacing w:after="0" w:line="250" w:lineRule="auto"/>
              <w:jc w:val="left"/>
            </w:pPr>
            <w:r>
              <w:rPr>
                <w:rFonts w:ascii="Calibri" w:hAnsi="Calibri" w:eastAsia="Calibri"/>
                <w:color w:val="111827"/>
                <w:sz w:val="17"/>
              </w:rPr>
              <w:t>Required aggregator</w:t>
            </w:r>
          </w:p>
        </w:tc>
        <w:tc>
          <w:tcPr>
            <w:tcW w:type="dxa" w:w="3860"/>
            <w:shd w:fill="FBFCFE"/>
          </w:tcPr>
          <w:p>
            <w:pPr>
              <w:spacing w:after="0" w:line="250" w:lineRule="auto"/>
              <w:jc w:val="left"/>
            </w:pPr>
            <w:r>
              <w:rPr>
                <w:rFonts w:ascii="Calibri" w:hAnsi="Calibri" w:eastAsia="Calibri"/>
                <w:color w:val="111827"/>
                <w:sz w:val="17"/>
              </w:rPr>
              <w:t>A stable check that evaluates whether required evidence is present and acceptable.</w:t>
            </w:r>
          </w:p>
        </w:tc>
        <w:tc>
          <w:tcPr>
            <w:tcW w:type="dxa" w:w="3600"/>
            <w:shd w:fill="FBFCFE"/>
          </w:tcPr>
          <w:p>
            <w:pPr>
              <w:spacing w:after="0" w:line="250" w:lineRule="auto"/>
              <w:jc w:val="left"/>
            </w:pPr>
            <w:r>
              <w:rPr>
                <w:rFonts w:ascii="Calibri" w:hAnsi="Calibri" w:eastAsia="Calibri"/>
                <w:color w:val="111827"/>
                <w:sz w:val="17"/>
              </w:rPr>
              <w:t>Provides the branch-protection contract despite dynamic job matrices.</w:t>
            </w:r>
          </w:p>
        </w:tc>
      </w:tr>
      <w:tr>
        <w:tc>
          <w:tcPr>
            <w:tcW w:type="dxa" w:w="1900"/>
          </w:tcPr>
          <w:p>
            <w:pPr>
              <w:spacing w:after="0" w:line="250" w:lineRule="auto"/>
              <w:jc w:val="left"/>
            </w:pPr>
            <w:r>
              <w:rPr>
                <w:rFonts w:ascii="Calibri" w:hAnsi="Calibri" w:eastAsia="Calibri"/>
                <w:color w:val="111827"/>
                <w:sz w:val="17"/>
              </w:rPr>
              <w:t>Negative result</w:t>
            </w:r>
          </w:p>
        </w:tc>
        <w:tc>
          <w:tcPr>
            <w:tcW w:type="dxa" w:w="3860"/>
          </w:tcPr>
          <w:p>
            <w:pPr>
              <w:spacing w:after="0" w:line="250" w:lineRule="auto"/>
              <w:jc w:val="left"/>
            </w:pPr>
            <w:r>
              <w:rPr>
                <w:rFonts w:ascii="Calibri" w:hAnsi="Calibri" w:eastAsia="Calibri"/>
                <w:color w:val="111827"/>
                <w:sz w:val="17"/>
              </w:rPr>
              <w:t>A falsified hypothesis, failed target or discovered bypass.</w:t>
            </w:r>
          </w:p>
        </w:tc>
        <w:tc>
          <w:tcPr>
            <w:tcW w:type="dxa" w:w="3600"/>
          </w:tcPr>
          <w:p>
            <w:pPr>
              <w:spacing w:after="0" w:line="250" w:lineRule="auto"/>
              <w:jc w:val="left"/>
            </w:pPr>
            <w:r>
              <w:rPr>
                <w:rFonts w:ascii="Calibri" w:hAnsi="Calibri" w:eastAsia="Calibri"/>
                <w:color w:val="111827"/>
                <w:sz w:val="17"/>
              </w:rPr>
              <w:t>Must be preserved and linked to claim or remediation state.</w:t>
            </w:r>
          </w:p>
        </w:tc>
      </w:tr>
      <w:tr>
        <w:tc>
          <w:tcPr>
            <w:tcW w:type="dxa" w:w="1900"/>
            <w:shd w:fill="FBFCFE"/>
          </w:tcPr>
          <w:p>
            <w:pPr>
              <w:spacing w:after="0" w:line="250" w:lineRule="auto"/>
              <w:jc w:val="left"/>
            </w:pPr>
            <w:r>
              <w:rPr>
                <w:rFonts w:ascii="Calibri" w:hAnsi="Calibri" w:eastAsia="Calibri"/>
                <w:color w:val="111827"/>
                <w:sz w:val="17"/>
              </w:rPr>
              <w:t>Assurance bundle</w:t>
            </w:r>
          </w:p>
        </w:tc>
        <w:tc>
          <w:tcPr>
            <w:tcW w:type="dxa" w:w="3860"/>
            <w:shd w:fill="FBFCFE"/>
          </w:tcPr>
          <w:p>
            <w:pPr>
              <w:spacing w:after="0" w:line="250" w:lineRule="auto"/>
              <w:jc w:val="left"/>
            </w:pPr>
            <w:r>
              <w:rPr>
                <w:rFonts w:ascii="Calibri" w:hAnsi="Calibri" w:eastAsia="Calibri"/>
                <w:color w:val="111827"/>
                <w:sz w:val="17"/>
              </w:rPr>
              <w:t>Manifest of revision, workflow identity, inputs, outputs, digests and claim mappings.</w:t>
            </w:r>
          </w:p>
        </w:tc>
        <w:tc>
          <w:tcPr>
            <w:tcW w:type="dxa" w:w="3600"/>
            <w:shd w:fill="FBFCFE"/>
          </w:tcPr>
          <w:p>
            <w:pPr>
              <w:spacing w:after="0" w:line="250" w:lineRule="auto"/>
              <w:jc w:val="left"/>
            </w:pPr>
            <w:r>
              <w:rPr>
                <w:rFonts w:ascii="Calibri" w:hAnsi="Calibri" w:eastAsia="Calibri"/>
                <w:color w:val="111827"/>
                <w:sz w:val="17"/>
              </w:rPr>
              <w:t>Makes the decision auditable and replayable.</w:t>
            </w:r>
          </w:p>
        </w:tc>
      </w:tr>
    </w:tbl>
    <w:p>
      <w:pPr>
        <w:spacing w:after="0"/>
      </w:pPr>
    </w:p>
    <w:p>
      <w:pPr>
        <w:pStyle w:val="Heading1"/>
        <w:keepNext/>
        <w:keepLines/>
        <w:ind w:left="0" w:right="0" w:firstLine="0"/>
        <w:jc w:val="left"/>
      </w:pPr>
      <w:r>
        <w:t>3. Architectural principles</w:t>
      </w:r>
    </w:p>
    <w:p>
      <w:pPr>
        <w:spacing w:before="0" w:after="120" w:line="264" w:lineRule="auto"/>
      </w:pPr>
      <w:r>
        <w:rPr>
          <w:rFonts w:ascii="Calibri" w:hAnsi="Calibri" w:eastAsia="Calibri"/>
          <w:b/>
          <w:color w:val="111827"/>
          <w:sz w:val="22"/>
        </w:rPr>
        <w:t>Evidence before assertion.</w:t>
      </w:r>
      <w:r>
        <w:rPr>
          <w:rFonts w:ascii="Calibri" w:hAnsi="Calibri" w:eastAsia="Calibri"/>
          <w:i w:val="0"/>
          <w:color w:val="111827"/>
          <w:sz w:val="22"/>
        </w:rPr>
        <w:t xml:space="preserve"> A claim is active only when acceptable evidence exists for the exact revision and scope.</w:t>
      </w:r>
    </w:p>
    <w:p>
      <w:pPr>
        <w:spacing w:before="0" w:after="120" w:line="264" w:lineRule="auto"/>
      </w:pPr>
      <w:r>
        <w:rPr>
          <w:rFonts w:ascii="Calibri" w:hAnsi="Calibri" w:eastAsia="Calibri"/>
          <w:b/>
          <w:color w:val="111827"/>
          <w:sz w:val="22"/>
        </w:rPr>
        <w:t>Stable enforcement, dynamic execution.</w:t>
      </w:r>
      <w:r>
        <w:rPr>
          <w:rFonts w:ascii="Calibri" w:hAnsi="Calibri" w:eastAsia="Calibri"/>
          <w:i w:val="0"/>
          <w:color w:val="111827"/>
          <w:sz w:val="22"/>
        </w:rPr>
        <w:t xml:space="preserve"> Job matrices may change; required aggregator names and semantics must remain stable.</w:t>
      </w:r>
    </w:p>
    <w:p>
      <w:pPr>
        <w:spacing w:before="0" w:after="120" w:line="264" w:lineRule="auto"/>
      </w:pPr>
      <w:r>
        <w:rPr>
          <w:rFonts w:ascii="Calibri" w:hAnsi="Calibri" w:eastAsia="Calibri"/>
          <w:b/>
          <w:color w:val="111827"/>
          <w:sz w:val="22"/>
        </w:rPr>
        <w:t>Fail closed on missing meaning.</w:t>
      </w:r>
      <w:r>
        <w:rPr>
          <w:rFonts w:ascii="Calibri" w:hAnsi="Calibri" w:eastAsia="Calibri"/>
          <w:i w:val="0"/>
          <w:color w:val="111827"/>
          <w:sz w:val="22"/>
        </w:rPr>
        <w:t xml:space="preserve"> Missing, stale, cancelled, skipped or inconclusive evidence cannot be normalized to success.</w:t>
      </w:r>
    </w:p>
    <w:p>
      <w:pPr>
        <w:spacing w:before="0" w:after="120" w:line="264" w:lineRule="auto"/>
      </w:pPr>
      <w:r>
        <w:rPr>
          <w:rFonts w:ascii="Calibri" w:hAnsi="Calibri" w:eastAsia="Calibri"/>
          <w:b/>
          <w:color w:val="111827"/>
          <w:sz w:val="22"/>
        </w:rPr>
        <w:t>Independent evidence producers.</w:t>
      </w:r>
      <w:r>
        <w:rPr>
          <w:rFonts w:ascii="Calibri" w:hAnsi="Calibri" w:eastAsia="Calibri"/>
          <w:i w:val="0"/>
          <w:color w:val="111827"/>
          <w:sz w:val="22"/>
        </w:rPr>
        <w:t xml:space="preserve"> Security, deterministic execution, supply chain and claim integrity should fail independently before aggregation.</w:t>
      </w:r>
    </w:p>
    <w:p>
      <w:pPr>
        <w:spacing w:before="0" w:after="120" w:line="264" w:lineRule="auto"/>
      </w:pPr>
      <w:r>
        <w:rPr>
          <w:rFonts w:ascii="Calibri" w:hAnsi="Calibri" w:eastAsia="Calibri"/>
          <w:b/>
          <w:color w:val="111827"/>
          <w:sz w:val="22"/>
        </w:rPr>
        <w:t>Permanent memory of failure.</w:t>
      </w:r>
      <w:r>
        <w:rPr>
          <w:rFonts w:ascii="Calibri" w:hAnsi="Calibri" w:eastAsia="Calibri"/>
          <w:i w:val="0"/>
          <w:color w:val="111827"/>
          <w:sz w:val="22"/>
        </w:rPr>
        <w:t xml:space="preserve"> A defect is closed only after a regression reproduces it and a required path prevents recurrence.</w:t>
      </w:r>
    </w:p>
    <w:p>
      <w:pPr>
        <w:spacing w:before="0" w:after="120" w:line="264" w:lineRule="auto"/>
      </w:pPr>
      <w:r>
        <w:rPr>
          <w:rFonts w:ascii="Calibri" w:hAnsi="Calibri" w:eastAsia="Calibri"/>
          <w:b/>
          <w:color w:val="111827"/>
          <w:sz w:val="22"/>
        </w:rPr>
        <w:t>Exact revision binding.</w:t>
      </w:r>
      <w:r>
        <w:rPr>
          <w:rFonts w:ascii="Calibri" w:hAnsi="Calibri" w:eastAsia="Calibri"/>
          <w:i w:val="0"/>
          <w:color w:val="111827"/>
          <w:sz w:val="22"/>
        </w:rPr>
        <w:t xml:space="preserve"> Every accepted result is bound to commit SHA, workflow source, configuration identity and relevant artifact digests.</w:t>
      </w:r>
    </w:p>
    <w:p>
      <w:pPr>
        <w:spacing w:before="0" w:after="120" w:line="264" w:lineRule="auto"/>
      </w:pPr>
      <w:r>
        <w:rPr>
          <w:rFonts w:ascii="Calibri" w:hAnsi="Calibri" w:eastAsia="Calibri"/>
          <w:b/>
          <w:color w:val="111827"/>
          <w:sz w:val="22"/>
        </w:rPr>
        <w:t>No authority by transport success.</w:t>
      </w:r>
      <w:r>
        <w:rPr>
          <w:rFonts w:ascii="Calibri" w:hAnsi="Calibri" w:eastAsia="Calibri"/>
          <w:i w:val="0"/>
          <w:color w:val="111827"/>
          <w:sz w:val="22"/>
        </w:rPr>
        <w:t xml:space="preserve"> Exit code zero, HTTP 200 or workflow completion is not proof that the intended external effect occurred.</w:t>
      </w:r>
    </w:p>
    <w:p>
      <w:pPr>
        <w:spacing w:before="0" w:after="120" w:line="264" w:lineRule="auto"/>
      </w:pPr>
      <w:r>
        <w:rPr>
          <w:rFonts w:ascii="Calibri" w:hAnsi="Calibri" w:eastAsia="Calibri"/>
          <w:b/>
          <w:color w:val="111827"/>
          <w:sz w:val="22"/>
        </w:rPr>
        <w:t>No aggregate safety score.</w:t>
      </w:r>
      <w:r>
        <w:rPr>
          <w:rFonts w:ascii="Calibri" w:hAnsi="Calibri" w:eastAsia="Calibri"/>
          <w:i w:val="0"/>
          <w:color w:val="111827"/>
          <w:sz w:val="22"/>
        </w:rPr>
        <w:t xml:space="preserve"> Coverage and pass rates support decisions but cannot conceal a failed critical property.</w:t>
      </w:r>
    </w:p>
    <w:p>
      <w:pPr>
        <w:pStyle w:val="Heading1"/>
        <w:keepNext/>
        <w:keepLines/>
        <w:ind w:left="0" w:right="0" w:firstLine="0"/>
        <w:jc w:val="left"/>
      </w:pPr>
      <w:r>
        <w:t>4. System architecture</w:t>
      </w:r>
    </w:p>
    <w:p>
      <w:pPr>
        <w:spacing w:before="0" w:after="120" w:line="264" w:lineRule="auto"/>
      </w:pPr>
      <w:r>
        <w:rPr>
          <w:rFonts w:ascii="Calibri" w:hAnsi="Calibri" w:eastAsia="Calibri"/>
          <w:i w:val="0"/>
          <w:color w:val="111827"/>
          <w:sz w:val="22"/>
        </w:rPr>
        <w:t>Assurance CI separates evidence production from the authority to accept change. Individual jobs are sensors. Required aggregators are policy decision points over those sensors. Branch protection is the enforcement point. The release bundle is the durable receipt.</w:t>
      </w:r>
    </w:p>
    <w:p>
      <w:pPr>
        <w:spacing w:before="80" w:after="80"/>
        <w:jc w:val="center"/>
      </w:pPr>
      <w:r>
        <w:drawing>
          <wp:inline xmlns:a="http://schemas.openxmlformats.org/drawingml/2006/main" xmlns:pic="http://schemas.openxmlformats.org/drawingml/2006/picture">
            <wp:extent cx="5806440" cy="3354832"/>
            <wp:docPr id="1" name="Picture 1" title="Assurance CI architecture" descr="Layered diagram showing change intake, independent assurance checks, stable required aggregators, protected merge and release evidence."/>
            <wp:cNvGraphicFramePr>
              <a:graphicFrameLocks noChangeAspect="1"/>
            </wp:cNvGraphicFramePr>
            <a:graphic>
              <a:graphicData uri="http://schemas.openxmlformats.org/drawingml/2006/picture">
                <pic:pic>
                  <pic:nvPicPr>
                    <pic:cNvPr id="0" name="assurance_ci_layers.png"/>
                    <pic:cNvPicPr/>
                  </pic:nvPicPr>
                  <pic:blipFill>
                    <a:blip r:embed="rId9"/>
                    <a:stretch>
                      <a:fillRect/>
                    </a:stretch>
                  </pic:blipFill>
                  <pic:spPr>
                    <a:xfrm>
                      <a:off x="0" y="0"/>
                      <a:ext cx="5806440" cy="3354832"/>
                    </a:xfrm>
                    <a:prstGeom prst="rect"/>
                  </pic:spPr>
                </pic:pic>
              </a:graphicData>
            </a:graphic>
          </wp:inline>
        </w:drawing>
      </w:r>
    </w:p>
    <w:p>
      <w:pPr>
        <w:spacing w:after="160"/>
        <w:jc w:val="center"/>
      </w:pPr>
      <w:r>
        <w:rPr>
          <w:rFonts w:ascii="Calibri" w:hAnsi="Calibri" w:eastAsia="Calibri"/>
          <w:i/>
          <w:color w:val="64748B"/>
          <w:sz w:val="18"/>
        </w:rPr>
        <w:t>Figure 1. Assurance CI separates evidence production, aggregation, enforcement and durable receipts.</w:t>
      </w:r>
    </w:p>
    <w:p>
      <w:pPr>
        <w:pStyle w:val="Heading2"/>
        <w:keepNext/>
        <w:keepLines/>
        <w:ind w:left="0" w:right="0" w:firstLine="0"/>
        <w:jc w:val="left"/>
      </w:pPr>
      <w:r>
        <w:t>4.1 Component responsibilities</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900"/>
        <w:gridCol w:w="3860"/>
        <w:gridCol w:w="3600"/>
      </w:tblGrid>
      <w:tr>
        <w:trPr>
          <w:tblHeader w:val="true"/>
        </w:trPr>
        <w:tc>
          <w:tcPr>
            <w:tcW w:type="dxa" w:w="19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Layer</w:t>
            </w:r>
          </w:p>
        </w:tc>
        <w:tc>
          <w:tcPr>
            <w:tcW w:type="dxa" w:w="38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Responsibility</w:t>
            </w:r>
          </w:p>
        </w:tc>
        <w:tc>
          <w:tcPr>
            <w:tcW w:type="dxa" w:w="36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Must not do</w:t>
            </w:r>
          </w:p>
        </w:tc>
      </w:tr>
      <w:tr>
        <w:tc>
          <w:tcPr>
            <w:tcW w:type="dxa" w:w="1900"/>
          </w:tcPr>
          <w:p>
            <w:pPr>
              <w:spacing w:after="0" w:line="250" w:lineRule="auto"/>
              <w:jc w:val="left"/>
            </w:pPr>
            <w:r>
              <w:rPr>
                <w:rFonts w:ascii="Calibri" w:hAnsi="Calibri" w:eastAsia="Calibri"/>
                <w:color w:val="111827"/>
                <w:sz w:val="17"/>
              </w:rPr>
              <w:t>Change intake</w:t>
            </w:r>
          </w:p>
        </w:tc>
        <w:tc>
          <w:tcPr>
            <w:tcW w:type="dxa" w:w="3860"/>
          </w:tcPr>
          <w:p>
            <w:pPr>
              <w:spacing w:after="0" w:line="250" w:lineRule="auto"/>
              <w:jc w:val="left"/>
            </w:pPr>
            <w:r>
              <w:rPr>
                <w:rFonts w:ascii="Calibri" w:hAnsi="Calibri" w:eastAsia="Calibri"/>
                <w:color w:val="111827"/>
                <w:sz w:val="17"/>
              </w:rPr>
              <w:t>Identify affected surfaces, policies, claims and required check profile.</w:t>
            </w:r>
          </w:p>
        </w:tc>
        <w:tc>
          <w:tcPr>
            <w:tcW w:type="dxa" w:w="3600"/>
          </w:tcPr>
          <w:p>
            <w:pPr>
              <w:spacing w:after="0" w:line="250" w:lineRule="auto"/>
              <w:jc w:val="left"/>
            </w:pPr>
            <w:r>
              <w:rPr>
                <w:rFonts w:ascii="Calibri" w:hAnsi="Calibri" w:eastAsia="Calibri"/>
                <w:color w:val="111827"/>
                <w:sz w:val="17"/>
              </w:rPr>
              <w:t>Silently reduce the check set because a change appears small.</w:t>
            </w:r>
          </w:p>
        </w:tc>
      </w:tr>
      <w:tr>
        <w:tc>
          <w:tcPr>
            <w:tcW w:type="dxa" w:w="1900"/>
            <w:shd w:fill="FBFCFE"/>
          </w:tcPr>
          <w:p>
            <w:pPr>
              <w:spacing w:after="0" w:line="250" w:lineRule="auto"/>
              <w:jc w:val="left"/>
            </w:pPr>
            <w:r>
              <w:rPr>
                <w:rFonts w:ascii="Calibri" w:hAnsi="Calibri" w:eastAsia="Calibri"/>
                <w:color w:val="111827"/>
                <w:sz w:val="17"/>
              </w:rPr>
              <w:t>Evidence producers</w:t>
            </w:r>
          </w:p>
        </w:tc>
        <w:tc>
          <w:tcPr>
            <w:tcW w:type="dxa" w:w="3860"/>
            <w:shd w:fill="FBFCFE"/>
          </w:tcPr>
          <w:p>
            <w:pPr>
              <w:spacing w:after="0" w:line="250" w:lineRule="auto"/>
              <w:jc w:val="left"/>
            </w:pPr>
            <w:r>
              <w:rPr>
                <w:rFonts w:ascii="Calibri" w:hAnsi="Calibri" w:eastAsia="Calibri"/>
                <w:color w:val="111827"/>
                <w:sz w:val="17"/>
              </w:rPr>
              <w:t>Run deterministic, security, supply-chain, replay and integrity checks.</w:t>
            </w:r>
          </w:p>
        </w:tc>
        <w:tc>
          <w:tcPr>
            <w:tcW w:type="dxa" w:w="3600"/>
            <w:shd w:fill="FBFCFE"/>
          </w:tcPr>
          <w:p>
            <w:pPr>
              <w:spacing w:after="0" w:line="250" w:lineRule="auto"/>
              <w:jc w:val="left"/>
            </w:pPr>
            <w:r>
              <w:rPr>
                <w:rFonts w:ascii="Calibri" w:hAnsi="Calibri" w:eastAsia="Calibri"/>
                <w:color w:val="111827"/>
                <w:sz w:val="17"/>
              </w:rPr>
              <w:t>Interpret missing prerequisites as success.</w:t>
            </w:r>
          </w:p>
        </w:tc>
      </w:tr>
      <w:tr>
        <w:tc>
          <w:tcPr>
            <w:tcW w:type="dxa" w:w="1900"/>
          </w:tcPr>
          <w:p>
            <w:pPr>
              <w:spacing w:after="0" w:line="250" w:lineRule="auto"/>
              <w:jc w:val="left"/>
            </w:pPr>
            <w:r>
              <w:rPr>
                <w:rFonts w:ascii="Calibri" w:hAnsi="Calibri" w:eastAsia="Calibri"/>
                <w:color w:val="111827"/>
                <w:sz w:val="17"/>
              </w:rPr>
              <w:t>Evidence registry</w:t>
            </w:r>
          </w:p>
        </w:tc>
        <w:tc>
          <w:tcPr>
            <w:tcW w:type="dxa" w:w="3860"/>
          </w:tcPr>
          <w:p>
            <w:pPr>
              <w:spacing w:after="0" w:line="250" w:lineRule="auto"/>
              <w:jc w:val="left"/>
            </w:pPr>
            <w:r>
              <w:rPr>
                <w:rFonts w:ascii="Calibri" w:hAnsi="Calibri" w:eastAsia="Calibri"/>
                <w:color w:val="111827"/>
                <w:sz w:val="17"/>
              </w:rPr>
              <w:t>Store structured outcomes, digests, provenance and freshness.</w:t>
            </w:r>
          </w:p>
        </w:tc>
        <w:tc>
          <w:tcPr>
            <w:tcW w:type="dxa" w:w="3600"/>
          </w:tcPr>
          <w:p>
            <w:pPr>
              <w:spacing w:after="0" w:line="250" w:lineRule="auto"/>
              <w:jc w:val="left"/>
            </w:pPr>
            <w:r>
              <w:rPr>
                <w:rFonts w:ascii="Calibri" w:hAnsi="Calibri" w:eastAsia="Calibri"/>
                <w:color w:val="111827"/>
                <w:sz w:val="17"/>
              </w:rPr>
              <w:t>Accept mutable or unbound evidence.</w:t>
            </w:r>
          </w:p>
        </w:tc>
      </w:tr>
      <w:tr>
        <w:tc>
          <w:tcPr>
            <w:tcW w:type="dxa" w:w="1900"/>
            <w:shd w:fill="FBFCFE"/>
          </w:tcPr>
          <w:p>
            <w:pPr>
              <w:spacing w:after="0" w:line="250" w:lineRule="auto"/>
              <w:jc w:val="left"/>
            </w:pPr>
            <w:r>
              <w:rPr>
                <w:rFonts w:ascii="Calibri" w:hAnsi="Calibri" w:eastAsia="Calibri"/>
                <w:color w:val="111827"/>
                <w:sz w:val="17"/>
              </w:rPr>
              <w:t>Required aggregators</w:t>
            </w:r>
          </w:p>
        </w:tc>
        <w:tc>
          <w:tcPr>
            <w:tcW w:type="dxa" w:w="3860"/>
            <w:shd w:fill="FBFCFE"/>
          </w:tcPr>
          <w:p>
            <w:pPr>
              <w:spacing w:after="0" w:line="250" w:lineRule="auto"/>
              <w:jc w:val="left"/>
            </w:pPr>
            <w:r>
              <w:rPr>
                <w:rFonts w:ascii="Calibri" w:hAnsi="Calibri" w:eastAsia="Calibri"/>
                <w:color w:val="111827"/>
                <w:sz w:val="17"/>
              </w:rPr>
              <w:t>Evaluate completeness and critical-property outcomes under stable names.</w:t>
            </w:r>
          </w:p>
        </w:tc>
        <w:tc>
          <w:tcPr>
            <w:tcW w:type="dxa" w:w="3600"/>
            <w:shd w:fill="FBFCFE"/>
          </w:tcPr>
          <w:p>
            <w:pPr>
              <w:spacing w:after="0" w:line="250" w:lineRule="auto"/>
              <w:jc w:val="left"/>
            </w:pPr>
            <w:r>
              <w:rPr>
                <w:rFonts w:ascii="Calibri" w:hAnsi="Calibri" w:eastAsia="Calibri"/>
                <w:color w:val="111827"/>
                <w:sz w:val="17"/>
              </w:rPr>
              <w:t>Re-run the underlying tests or hide their distinct failures.</w:t>
            </w:r>
          </w:p>
        </w:tc>
      </w:tr>
      <w:tr>
        <w:tc>
          <w:tcPr>
            <w:tcW w:type="dxa" w:w="1900"/>
          </w:tcPr>
          <w:p>
            <w:pPr>
              <w:spacing w:after="0" w:line="250" w:lineRule="auto"/>
              <w:jc w:val="left"/>
            </w:pPr>
            <w:r>
              <w:rPr>
                <w:rFonts w:ascii="Calibri" w:hAnsi="Calibri" w:eastAsia="Calibri"/>
                <w:color w:val="111827"/>
                <w:sz w:val="17"/>
              </w:rPr>
              <w:t>Branch protection</w:t>
            </w:r>
          </w:p>
        </w:tc>
        <w:tc>
          <w:tcPr>
            <w:tcW w:type="dxa" w:w="3860"/>
          </w:tcPr>
          <w:p>
            <w:pPr>
              <w:spacing w:after="0" w:line="250" w:lineRule="auto"/>
              <w:jc w:val="left"/>
            </w:pPr>
            <w:r>
              <w:rPr>
                <w:rFonts w:ascii="Calibri" w:hAnsi="Calibri" w:eastAsia="Calibri"/>
                <w:color w:val="111827"/>
                <w:sz w:val="17"/>
              </w:rPr>
              <w:t>Block merge unless all required aggregators succeed for the head revision.</w:t>
            </w:r>
          </w:p>
        </w:tc>
        <w:tc>
          <w:tcPr>
            <w:tcW w:type="dxa" w:w="3600"/>
          </w:tcPr>
          <w:p>
            <w:pPr>
              <w:spacing w:after="0" w:line="250" w:lineRule="auto"/>
              <w:jc w:val="left"/>
            </w:pPr>
            <w:r>
              <w:rPr>
                <w:rFonts w:ascii="Calibri" w:hAnsi="Calibri" w:eastAsia="Calibri"/>
                <w:color w:val="111827"/>
                <w:sz w:val="17"/>
              </w:rPr>
              <w:t>Depend on optional or actor-controlled checks.</w:t>
            </w:r>
          </w:p>
        </w:tc>
      </w:tr>
      <w:tr>
        <w:tc>
          <w:tcPr>
            <w:tcW w:type="dxa" w:w="1900"/>
            <w:shd w:fill="FBFCFE"/>
          </w:tcPr>
          <w:p>
            <w:pPr>
              <w:spacing w:after="0" w:line="250" w:lineRule="auto"/>
              <w:jc w:val="left"/>
            </w:pPr>
            <w:r>
              <w:rPr>
                <w:rFonts w:ascii="Calibri" w:hAnsi="Calibri" w:eastAsia="Calibri"/>
                <w:color w:val="111827"/>
                <w:sz w:val="17"/>
              </w:rPr>
              <w:t>Release evidence</w:t>
            </w:r>
          </w:p>
        </w:tc>
        <w:tc>
          <w:tcPr>
            <w:tcW w:type="dxa" w:w="3860"/>
            <w:shd w:fill="FBFCFE"/>
          </w:tcPr>
          <w:p>
            <w:pPr>
              <w:spacing w:after="0" w:line="250" w:lineRule="auto"/>
              <w:jc w:val="left"/>
            </w:pPr>
            <w:r>
              <w:rPr>
                <w:rFonts w:ascii="Calibri" w:hAnsi="Calibri" w:eastAsia="Calibri"/>
                <w:color w:val="111827"/>
                <w:sz w:val="17"/>
              </w:rPr>
              <w:t>Package manifest, claims, negative results, SBOM and execution records.</w:t>
            </w:r>
          </w:p>
        </w:tc>
        <w:tc>
          <w:tcPr>
            <w:tcW w:type="dxa" w:w="3600"/>
            <w:shd w:fill="FBFCFE"/>
          </w:tcPr>
          <w:p>
            <w:pPr>
              <w:spacing w:after="0" w:line="250" w:lineRule="auto"/>
              <w:jc w:val="left"/>
            </w:pPr>
            <w:r>
              <w:rPr>
                <w:rFonts w:ascii="Calibri" w:hAnsi="Calibri" w:eastAsia="Calibri"/>
                <w:color w:val="111827"/>
                <w:sz w:val="17"/>
              </w:rPr>
              <w:t>Claim production readiness merely because CI passed.</w:t>
            </w:r>
          </w:p>
        </w:tc>
      </w:tr>
    </w:tbl>
    <w:p>
      <w:pPr>
        <w:spacing w:after="0"/>
      </w:pPr>
    </w:p>
    <w:p>
      <w:pPr>
        <w:pStyle w:val="Heading1"/>
        <w:keepNext/>
        <w:keepLines/>
        <w:ind w:left="0" w:right="0" w:firstLine="0"/>
        <w:jc w:val="left"/>
      </w:pPr>
      <w:r>
        <w:t>5. The assurance ratchet</w:t>
      </w:r>
    </w:p>
    <w:p>
      <w:pPr>
        <w:spacing w:before="0" w:after="120" w:line="264" w:lineRule="auto"/>
      </w:pPr>
      <w:r>
        <w:rPr>
          <w:rFonts w:ascii="Calibri" w:hAnsi="Calibri" w:eastAsia="Calibri"/>
          <w:i w:val="0"/>
          <w:color w:val="111827"/>
          <w:sz w:val="22"/>
        </w:rPr>
        <w:t>The feedback loop is the defining property of the architecture. A patch without a ratchet can be accidentally reversed. A ratcheted fix changes the repository's future acceptance criteria.</w:t>
      </w:r>
    </w:p>
    <w:p>
      <w:pPr>
        <w:spacing w:after="80"/>
        <w:jc w:val="center"/>
      </w:pPr>
      <w:r>
        <w:drawing>
          <wp:inline xmlns:a="http://schemas.openxmlformats.org/drawingml/2006/main" xmlns:pic="http://schemas.openxmlformats.org/drawingml/2006/picture">
            <wp:extent cx="5806440" cy="1999996"/>
            <wp:docPr id="2" name="Picture 2" title="The assurance ratchet" descr="Six-step loop from finding through invariant, regression, required gate, evidence and claim update."/>
            <wp:cNvGraphicFramePr>
              <a:graphicFrameLocks noChangeAspect="1"/>
            </wp:cNvGraphicFramePr>
            <a:graphic>
              <a:graphicData uri="http://schemas.openxmlformats.org/drawingml/2006/picture">
                <pic:pic>
                  <pic:nvPicPr>
                    <pic:cNvPr id="0" name="assurance_ratchet.png"/>
                    <pic:cNvPicPr/>
                  </pic:nvPicPr>
                  <pic:blipFill>
                    <a:blip r:embed="rId10"/>
                    <a:stretch>
                      <a:fillRect/>
                    </a:stretch>
                  </pic:blipFill>
                  <pic:spPr>
                    <a:xfrm>
                      <a:off x="0" y="0"/>
                      <a:ext cx="5806440" cy="1999996"/>
                    </a:xfrm>
                    <a:prstGeom prst="rect"/>
                  </pic:spPr>
                </pic:pic>
              </a:graphicData>
            </a:graphic>
          </wp:inline>
        </w:drawing>
      </w:r>
    </w:p>
    <w:p>
      <w:pPr>
        <w:spacing w:after="160"/>
        <w:jc w:val="center"/>
      </w:pPr>
      <w:r>
        <w:rPr>
          <w:rFonts w:ascii="Calibri" w:hAnsi="Calibri" w:eastAsia="Calibri"/>
          <w:i/>
          <w:color w:val="64748B"/>
          <w:sz w:val="18"/>
        </w:rPr>
        <w:t>Figure 2. A finding becomes durable only when it changes what future revisions are allowed to merge.</w:t>
      </w:r>
    </w:p>
    <w:p>
      <w:pPr>
        <w:pStyle w:val="Heading2"/>
        <w:keepNext/>
        <w:keepLines/>
        <w:ind w:left="0" w:right="0" w:firstLine="0"/>
        <w:jc w:val="left"/>
      </w:pPr>
      <w:r>
        <w:t>5.1 Closure contract</w:t>
      </w:r>
    </w:p>
    <w:p>
      <w:pPr>
        <w:spacing w:after="160" w:line="280" w:lineRule="auto"/>
        <w:numPr>
          <w:ilvl w:val="0"/>
          <w:numId w:val="11"/>
        </w:numPr>
      </w:pPr>
      <w:r>
        <w:rPr>
          <w:rFonts w:ascii="Calibri" w:hAnsi="Calibri" w:eastAsia="Calibri"/>
          <w:color w:val="111827"/>
          <w:sz w:val="22"/>
        </w:rPr>
        <w:t>Record the finding with an explicit affected surface, threat scenario and observed consequence.</w:t>
      </w:r>
    </w:p>
    <w:p>
      <w:pPr>
        <w:spacing w:after="160" w:line="280" w:lineRule="auto"/>
        <w:numPr>
          <w:ilvl w:val="0"/>
          <w:numId w:val="11"/>
        </w:numPr>
      </w:pPr>
      <w:r>
        <w:rPr>
          <w:rFonts w:ascii="Calibri" w:hAnsi="Calibri" w:eastAsia="Calibri"/>
          <w:color w:val="111827"/>
          <w:sz w:val="22"/>
        </w:rPr>
        <w:t>State the forbidden state or transition as a testable invariant.</w:t>
      </w:r>
    </w:p>
    <w:p>
      <w:pPr>
        <w:spacing w:after="160" w:line="280" w:lineRule="auto"/>
        <w:numPr>
          <w:ilvl w:val="0"/>
          <w:numId w:val="11"/>
        </w:numPr>
      </w:pPr>
      <w:r>
        <w:rPr>
          <w:rFonts w:ascii="Calibri" w:hAnsi="Calibri" w:eastAsia="Calibri"/>
          <w:color w:val="111827"/>
          <w:sz w:val="22"/>
        </w:rPr>
        <w:t>Create a deterministic regression that fails on the vulnerable revision and passes only after remediation.</w:t>
      </w:r>
    </w:p>
    <w:p>
      <w:pPr>
        <w:spacing w:after="160" w:line="280" w:lineRule="auto"/>
        <w:numPr>
          <w:ilvl w:val="0"/>
          <w:numId w:val="11"/>
        </w:numPr>
      </w:pPr>
      <w:r>
        <w:rPr>
          <w:rFonts w:ascii="Calibri" w:hAnsi="Calibri" w:eastAsia="Calibri"/>
          <w:color w:val="111827"/>
          <w:sz w:val="22"/>
        </w:rPr>
        <w:t>Attach the regression to an appropriate required assurance profile or justify why it is non-blocking.</w:t>
      </w:r>
    </w:p>
    <w:p>
      <w:pPr>
        <w:spacing w:after="160" w:line="280" w:lineRule="auto"/>
        <w:numPr>
          <w:ilvl w:val="0"/>
          <w:numId w:val="11"/>
        </w:numPr>
      </w:pPr>
      <w:r>
        <w:rPr>
          <w:rFonts w:ascii="Calibri" w:hAnsi="Calibri" w:eastAsia="Calibri"/>
          <w:color w:val="111827"/>
          <w:sz w:val="22"/>
        </w:rPr>
        <w:t>Bind the result to the exact revision and preserve the output in the assurance bundle.</w:t>
      </w:r>
    </w:p>
    <w:p>
      <w:pPr>
        <w:spacing w:after="160" w:line="280" w:lineRule="auto"/>
        <w:numPr>
          <w:ilvl w:val="0"/>
          <w:numId w:val="11"/>
        </w:numPr>
      </w:pPr>
      <w:r>
        <w:rPr>
          <w:rFonts w:ascii="Calibri" w:hAnsi="Calibri" w:eastAsia="Calibri"/>
          <w:color w:val="111827"/>
          <w:sz w:val="22"/>
        </w:rPr>
        <w:t>Update claim, negative-result and remediation state without deleting the history of the earlier belief.</w:t>
      </w:r>
    </w:p>
    <w:tbl>
      <w:tblPr>
        <w:tblW w:type="dxa" w:w="9360"/>
        <w:tblLayout w:type="fixed"/>
        <w:tblLook w:firstColumn="1" w:firstRow="1" w:lastColumn="0" w:lastRow="0" w:noHBand="0" w:noVBand="1" w:val="04A0"/>
        <w:tblInd w:w="120" w:type="dxa"/>
        <w:tblBorders>
          <w:top w:val="single" w:sz="4" w:space="0" w:color="FFF7DD"/>
          <w:left w:val="single" w:sz="4" w:space="0" w:color="FFF7DD"/>
          <w:bottom w:val="single" w:sz="4" w:space="0" w:color="FFF7DD"/>
          <w:right w:val="single" w:sz="4" w:space="0" w:color="FFF7DD"/>
          <w:insideH w:val="single" w:sz="4" w:space="0" w:color="FFF7DD"/>
          <w:insideV w:val="single" w:sz="4" w:space="0" w:color="FFF7DD"/>
        </w:tblBorders>
      </w:tblPr>
      <w:tblGrid>
        <w:gridCol w:w="9360"/>
      </w:tblGrid>
      <w:tr>
        <w:trPr>
          <w:cantSplit/>
        </w:trPr>
        <w:tc>
          <w:tcPr>
            <w:tcW w:type="dxa" w:w="9360"/>
            <w:tcMar>
              <w:top w:w="150" w:type="dxa"/>
              <w:start w:w="190" w:type="dxa"/>
              <w:bottom w:w="150" w:type="dxa"/>
              <w:end w:w="190" w:type="dxa"/>
            </w:tcMar>
            <w:vAlign w:val="center"/>
            <w:shd w:fill="FFF7DD"/>
            <w:tcBorders>
              <w:left w:val="single" w:sz="24" w:color="7A5A00"/>
            </w:tcBorders>
          </w:tcPr>
          <w:p>
            <w:pPr>
              <w:spacing w:after="0" w:line="259" w:lineRule="auto"/>
            </w:pPr>
            <w:r>
              <w:rPr>
                <w:rFonts w:ascii="Calibri" w:hAnsi="Calibri" w:eastAsia="Calibri"/>
                <w:b/>
                <w:color w:val="7A5A00"/>
                <w:sz w:val="20"/>
              </w:rPr>
              <w:t xml:space="preserve">CLOSURE RULE  </w:t>
            </w:r>
            <w:r>
              <w:rPr>
                <w:rFonts w:ascii="Calibri" w:hAnsi="Calibri" w:eastAsia="Calibri"/>
                <w:color w:val="111827"/>
                <w:sz w:val="21"/>
              </w:rPr>
              <w:t>A finding is not closed because the code changed. It is closed when recurrence becomes detectable and merge-blocking at the correct boundary.</w:t>
            </w:r>
          </w:p>
        </w:tc>
      </w:tr>
    </w:tbl>
    <w:p>
      <w:pPr>
        <w:spacing w:after="0" w:before="0"/>
      </w:pPr>
    </w:p>
    <w:p>
      <w:pPr>
        <w:pStyle w:val="Heading1"/>
        <w:keepNext/>
        <w:keepLines/>
        <w:ind w:left="0" w:right="0" w:firstLine="0"/>
        <w:jc w:val="left"/>
      </w:pPr>
      <w:r>
        <w:t>6. Assurance gate taxonomy</w:t>
      </w:r>
    </w:p>
    <w:p>
      <w:pPr>
        <w:spacing w:before="0" w:after="120" w:line="264" w:lineRule="auto"/>
      </w:pPr>
      <w:r>
        <w:rPr>
          <w:rFonts w:ascii="Calibri" w:hAnsi="Calibri" w:eastAsia="Calibri"/>
          <w:i w:val="0"/>
          <w:color w:val="111827"/>
          <w:sz w:val="22"/>
        </w:rPr>
        <w:t>A mature repository needs several independent gate families. Each family protects a different failure domain and produces separately inspectable evidence.</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900"/>
        <w:gridCol w:w="3860"/>
        <w:gridCol w:w="3600"/>
      </w:tblGrid>
      <w:tr>
        <w:trPr>
          <w:tblHeader w:val="true"/>
        </w:trPr>
        <w:tc>
          <w:tcPr>
            <w:tcW w:type="dxa" w:w="19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Gate family</w:t>
            </w:r>
          </w:p>
        </w:tc>
        <w:tc>
          <w:tcPr>
            <w:tcW w:type="dxa" w:w="38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Primary concern</w:t>
            </w:r>
          </w:p>
        </w:tc>
        <w:tc>
          <w:tcPr>
            <w:tcW w:type="dxa" w:w="36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Acceptance condition</w:t>
            </w:r>
          </w:p>
        </w:tc>
      </w:tr>
      <w:tr>
        <w:tc>
          <w:tcPr>
            <w:tcW w:type="dxa" w:w="1900"/>
          </w:tcPr>
          <w:p>
            <w:pPr>
              <w:spacing w:after="0" w:line="250" w:lineRule="auto"/>
              <w:jc w:val="left"/>
            </w:pPr>
            <w:r>
              <w:rPr>
                <w:rFonts w:ascii="Calibri" w:hAnsi="Calibri" w:eastAsia="Calibri"/>
                <w:color w:val="111827"/>
                <w:sz w:val="16"/>
              </w:rPr>
              <w:t>Deterministic suite</w:t>
            </w:r>
          </w:p>
        </w:tc>
        <w:tc>
          <w:tcPr>
            <w:tcW w:type="dxa" w:w="3860"/>
          </w:tcPr>
          <w:p>
            <w:pPr>
              <w:spacing w:after="0" w:line="250" w:lineRule="auto"/>
              <w:jc w:val="left"/>
            </w:pPr>
            <w:r>
              <w:rPr>
                <w:rFonts w:ascii="Calibri" w:hAnsi="Calibri" w:eastAsia="Calibri"/>
                <w:color w:val="111827"/>
                <w:sz w:val="16"/>
              </w:rPr>
              <w:t>Policy decisions, canonicalization, leases, state transitions, idempotency</w:t>
            </w:r>
          </w:p>
        </w:tc>
        <w:tc>
          <w:tcPr>
            <w:tcW w:type="dxa" w:w="3600"/>
          </w:tcPr>
          <w:p>
            <w:pPr>
              <w:spacing w:after="0" w:line="250" w:lineRule="auto"/>
              <w:jc w:val="left"/>
            </w:pPr>
            <w:r>
              <w:rPr>
                <w:rFonts w:ascii="Calibri" w:hAnsi="Calibri" w:eastAsia="Calibri"/>
                <w:color w:val="111827"/>
                <w:sz w:val="16"/>
              </w:rPr>
              <w:t>Tests are repeatable and all critical invariants hold</w:t>
            </w:r>
          </w:p>
        </w:tc>
      </w:tr>
      <w:tr>
        <w:tc>
          <w:tcPr>
            <w:tcW w:type="dxa" w:w="1900"/>
            <w:shd w:fill="FBFCFE"/>
          </w:tcPr>
          <w:p>
            <w:pPr>
              <w:spacing w:after="0" w:line="250" w:lineRule="auto"/>
              <w:jc w:val="left"/>
            </w:pPr>
            <w:r>
              <w:rPr>
                <w:rFonts w:ascii="Calibri" w:hAnsi="Calibri" w:eastAsia="Calibri"/>
                <w:color w:val="111827"/>
                <w:sz w:val="16"/>
              </w:rPr>
              <w:t>Boundary replay</w:t>
            </w:r>
          </w:p>
        </w:tc>
        <w:tc>
          <w:tcPr>
            <w:tcW w:type="dxa" w:w="3860"/>
            <w:shd w:fill="FBFCFE"/>
          </w:tcPr>
          <w:p>
            <w:pPr>
              <w:spacing w:after="0" w:line="250" w:lineRule="auto"/>
              <w:jc w:val="left"/>
            </w:pPr>
            <w:r>
              <w:rPr>
                <w:rFonts w:ascii="Calibri" w:hAnsi="Calibri" w:eastAsia="Calibri"/>
                <w:color w:val="111827"/>
                <w:sz w:val="16"/>
              </w:rPr>
              <w:t>Recorded proposals, decisions, dispatch events and outcomes</w:t>
            </w:r>
          </w:p>
        </w:tc>
        <w:tc>
          <w:tcPr>
            <w:tcW w:type="dxa" w:w="3600"/>
            <w:shd w:fill="FBFCFE"/>
          </w:tcPr>
          <w:p>
            <w:pPr>
              <w:spacing w:after="0" w:line="250" w:lineRule="auto"/>
              <w:jc w:val="left"/>
            </w:pPr>
            <w:r>
              <w:rPr>
                <w:rFonts w:ascii="Calibri" w:hAnsi="Calibri" w:eastAsia="Calibri"/>
                <w:color w:val="111827"/>
                <w:sz w:val="16"/>
              </w:rPr>
              <w:t>Replay preserves expected disposition and detects drift</w:t>
            </w:r>
          </w:p>
        </w:tc>
      </w:tr>
      <w:tr>
        <w:tc>
          <w:tcPr>
            <w:tcW w:type="dxa" w:w="1900"/>
          </w:tcPr>
          <w:p>
            <w:pPr>
              <w:spacing w:after="0" w:line="250" w:lineRule="auto"/>
              <w:jc w:val="left"/>
            </w:pPr>
            <w:r>
              <w:rPr>
                <w:rFonts w:ascii="Calibri" w:hAnsi="Calibri" w:eastAsia="Calibri"/>
                <w:color w:val="111827"/>
                <w:sz w:val="16"/>
              </w:rPr>
              <w:t>Concurrency</w:t>
            </w:r>
          </w:p>
        </w:tc>
        <w:tc>
          <w:tcPr>
            <w:tcW w:type="dxa" w:w="3860"/>
          </w:tcPr>
          <w:p>
            <w:pPr>
              <w:spacing w:after="0" w:line="250" w:lineRule="auto"/>
              <w:jc w:val="left"/>
            </w:pPr>
            <w:r>
              <w:rPr>
                <w:rFonts w:ascii="Calibri" w:hAnsi="Calibri" w:eastAsia="Calibri"/>
                <w:color w:val="111827"/>
                <w:sz w:val="16"/>
              </w:rPr>
              <w:t>Exclusive claim, replay resistance, outbox and settlement races</w:t>
            </w:r>
          </w:p>
        </w:tc>
        <w:tc>
          <w:tcPr>
            <w:tcW w:type="dxa" w:w="3600"/>
          </w:tcPr>
          <w:p>
            <w:pPr>
              <w:spacing w:after="0" w:line="250" w:lineRule="auto"/>
              <w:jc w:val="left"/>
            </w:pPr>
            <w:r>
              <w:rPr>
                <w:rFonts w:ascii="Calibri" w:hAnsi="Calibri" w:eastAsia="Calibri"/>
                <w:color w:val="111827"/>
                <w:sz w:val="16"/>
              </w:rPr>
              <w:t>No duplicate authority or contradictory terminal state</w:t>
            </w:r>
          </w:p>
        </w:tc>
      </w:tr>
      <w:tr>
        <w:tc>
          <w:tcPr>
            <w:tcW w:type="dxa" w:w="1900"/>
            <w:shd w:fill="FBFCFE"/>
          </w:tcPr>
          <w:p>
            <w:pPr>
              <w:spacing w:after="0" w:line="250" w:lineRule="auto"/>
              <w:jc w:val="left"/>
            </w:pPr>
            <w:r>
              <w:rPr>
                <w:rFonts w:ascii="Calibri" w:hAnsi="Calibri" w:eastAsia="Calibri"/>
                <w:color w:val="111827"/>
                <w:sz w:val="16"/>
              </w:rPr>
              <w:t>Static security</w:t>
            </w:r>
          </w:p>
        </w:tc>
        <w:tc>
          <w:tcPr>
            <w:tcW w:type="dxa" w:w="3860"/>
            <w:shd w:fill="FBFCFE"/>
          </w:tcPr>
          <w:p>
            <w:pPr>
              <w:spacing w:after="0" w:line="250" w:lineRule="auto"/>
              <w:jc w:val="left"/>
            </w:pPr>
            <w:r>
              <w:rPr>
                <w:rFonts w:ascii="Calibri" w:hAnsi="Calibri" w:eastAsia="Calibri"/>
                <w:color w:val="111827"/>
                <w:sz w:val="16"/>
              </w:rPr>
              <w:t>Taint flow, injection, secret exposure, unsafe deserialization</w:t>
            </w:r>
          </w:p>
        </w:tc>
        <w:tc>
          <w:tcPr>
            <w:tcW w:type="dxa" w:w="3600"/>
            <w:shd w:fill="FBFCFE"/>
          </w:tcPr>
          <w:p>
            <w:pPr>
              <w:spacing w:after="0" w:line="250" w:lineRule="auto"/>
              <w:jc w:val="left"/>
            </w:pPr>
            <w:r>
              <w:rPr>
                <w:rFonts w:ascii="Calibri" w:hAnsi="Calibri" w:eastAsia="Calibri"/>
                <w:color w:val="111827"/>
                <w:sz w:val="16"/>
              </w:rPr>
              <w:t>No unresolved critical findings in protected surfaces</w:t>
            </w:r>
          </w:p>
        </w:tc>
      </w:tr>
      <w:tr>
        <w:tc>
          <w:tcPr>
            <w:tcW w:type="dxa" w:w="1900"/>
          </w:tcPr>
          <w:p>
            <w:pPr>
              <w:spacing w:after="0" w:line="250" w:lineRule="auto"/>
              <w:jc w:val="left"/>
            </w:pPr>
            <w:r>
              <w:rPr>
                <w:rFonts w:ascii="Calibri" w:hAnsi="Calibri" w:eastAsia="Calibri"/>
                <w:color w:val="111827"/>
                <w:sz w:val="16"/>
              </w:rPr>
              <w:t>Supply chain</w:t>
            </w:r>
          </w:p>
        </w:tc>
        <w:tc>
          <w:tcPr>
            <w:tcW w:type="dxa" w:w="3860"/>
          </w:tcPr>
          <w:p>
            <w:pPr>
              <w:spacing w:after="0" w:line="250" w:lineRule="auto"/>
              <w:jc w:val="left"/>
            </w:pPr>
            <w:r>
              <w:rPr>
                <w:rFonts w:ascii="Calibri" w:hAnsi="Calibri" w:eastAsia="Calibri"/>
                <w:color w:val="111827"/>
                <w:sz w:val="16"/>
              </w:rPr>
              <w:t>Dependencies, lockfiles, SBOM, provenance and artifact digest</w:t>
            </w:r>
          </w:p>
        </w:tc>
        <w:tc>
          <w:tcPr>
            <w:tcW w:type="dxa" w:w="3600"/>
          </w:tcPr>
          <w:p>
            <w:pPr>
              <w:spacing w:after="0" w:line="250" w:lineRule="auto"/>
              <w:jc w:val="left"/>
            </w:pPr>
            <w:r>
              <w:rPr>
                <w:rFonts w:ascii="Calibri" w:hAnsi="Calibri" w:eastAsia="Calibri"/>
                <w:color w:val="111827"/>
                <w:sz w:val="16"/>
              </w:rPr>
              <w:t>Declared inputs are auditable and policy-compliant</w:t>
            </w:r>
          </w:p>
        </w:tc>
      </w:tr>
      <w:tr>
        <w:tc>
          <w:tcPr>
            <w:tcW w:type="dxa" w:w="1900"/>
            <w:shd w:fill="FBFCFE"/>
          </w:tcPr>
          <w:p>
            <w:pPr>
              <w:spacing w:after="0" w:line="250" w:lineRule="auto"/>
              <w:jc w:val="left"/>
            </w:pPr>
            <w:r>
              <w:rPr>
                <w:rFonts w:ascii="Calibri" w:hAnsi="Calibri" w:eastAsia="Calibri"/>
                <w:color w:val="111827"/>
                <w:sz w:val="16"/>
              </w:rPr>
              <w:t>Trust-base coverage</w:t>
            </w:r>
          </w:p>
        </w:tc>
        <w:tc>
          <w:tcPr>
            <w:tcW w:type="dxa" w:w="3860"/>
            <w:shd w:fill="FBFCFE"/>
          </w:tcPr>
          <w:p>
            <w:pPr>
              <w:spacing w:after="0" w:line="250" w:lineRule="auto"/>
              <w:jc w:val="left"/>
            </w:pPr>
            <w:r>
              <w:rPr>
                <w:rFonts w:ascii="Calibri" w:hAnsi="Calibri" w:eastAsia="Calibri"/>
                <w:color w:val="111827"/>
                <w:sz w:val="16"/>
              </w:rPr>
              <w:t>Policy, execution, governance and authorization components</w:t>
            </w:r>
          </w:p>
        </w:tc>
        <w:tc>
          <w:tcPr>
            <w:tcW w:type="dxa" w:w="3600"/>
            <w:shd w:fill="FBFCFE"/>
          </w:tcPr>
          <w:p>
            <w:pPr>
              <w:spacing w:after="0" w:line="250" w:lineRule="auto"/>
              <w:jc w:val="left"/>
            </w:pPr>
            <w:r>
              <w:rPr>
                <w:rFonts w:ascii="Calibri" w:hAnsi="Calibri" w:eastAsia="Calibri"/>
                <w:color w:val="111827"/>
                <w:sz w:val="16"/>
              </w:rPr>
              <w:t>Component-specific floors hold; aggregate coverage cannot compensate</w:t>
            </w:r>
          </w:p>
        </w:tc>
      </w:tr>
      <w:tr>
        <w:tc>
          <w:tcPr>
            <w:tcW w:type="dxa" w:w="1900"/>
          </w:tcPr>
          <w:p>
            <w:pPr>
              <w:spacing w:after="0" w:line="250" w:lineRule="auto"/>
              <w:jc w:val="left"/>
            </w:pPr>
            <w:r>
              <w:rPr>
                <w:rFonts w:ascii="Calibri" w:hAnsi="Calibri" w:eastAsia="Calibri"/>
                <w:color w:val="111827"/>
                <w:sz w:val="16"/>
              </w:rPr>
              <w:t>Claim integrity</w:t>
            </w:r>
          </w:p>
        </w:tc>
        <w:tc>
          <w:tcPr>
            <w:tcW w:type="dxa" w:w="3860"/>
          </w:tcPr>
          <w:p>
            <w:pPr>
              <w:spacing w:after="0" w:line="250" w:lineRule="auto"/>
              <w:jc w:val="left"/>
            </w:pPr>
            <w:r>
              <w:rPr>
                <w:rFonts w:ascii="Calibri" w:hAnsi="Calibri" w:eastAsia="Calibri"/>
                <w:color w:val="111827"/>
                <w:sz w:val="16"/>
              </w:rPr>
              <w:t>Claims, evidence links, supersession and status vocabulary</w:t>
            </w:r>
          </w:p>
        </w:tc>
        <w:tc>
          <w:tcPr>
            <w:tcW w:type="dxa" w:w="3600"/>
          </w:tcPr>
          <w:p>
            <w:pPr>
              <w:spacing w:after="0" w:line="250" w:lineRule="auto"/>
              <w:jc w:val="left"/>
            </w:pPr>
            <w:r>
              <w:rPr>
                <w:rFonts w:ascii="Calibri" w:hAnsi="Calibri" w:eastAsia="Calibri"/>
                <w:color w:val="111827"/>
                <w:sz w:val="16"/>
              </w:rPr>
              <w:t>Every active claim has valid evidence and no contradictory state</w:t>
            </w:r>
          </w:p>
        </w:tc>
      </w:tr>
      <w:tr>
        <w:tc>
          <w:tcPr>
            <w:tcW w:type="dxa" w:w="1900"/>
            <w:shd w:fill="FBFCFE"/>
          </w:tcPr>
          <w:p>
            <w:pPr>
              <w:spacing w:after="0" w:line="250" w:lineRule="auto"/>
              <w:jc w:val="left"/>
            </w:pPr>
            <w:r>
              <w:rPr>
                <w:rFonts w:ascii="Calibri" w:hAnsi="Calibri" w:eastAsia="Calibri"/>
                <w:color w:val="111827"/>
                <w:sz w:val="16"/>
              </w:rPr>
              <w:t>Documentation fidelity</w:t>
            </w:r>
          </w:p>
        </w:tc>
        <w:tc>
          <w:tcPr>
            <w:tcW w:type="dxa" w:w="3860"/>
            <w:shd w:fill="FBFCFE"/>
          </w:tcPr>
          <w:p>
            <w:pPr>
              <w:spacing w:after="0" w:line="250" w:lineRule="auto"/>
              <w:jc w:val="left"/>
            </w:pPr>
            <w:r>
              <w:rPr>
                <w:rFonts w:ascii="Calibri" w:hAnsi="Calibri" w:eastAsia="Calibri"/>
                <w:color w:val="111827"/>
                <w:sz w:val="16"/>
              </w:rPr>
              <w:t>Architecture, deployment boundaries, test counts and status</w:t>
            </w:r>
          </w:p>
        </w:tc>
        <w:tc>
          <w:tcPr>
            <w:tcW w:type="dxa" w:w="3600"/>
            <w:shd w:fill="FBFCFE"/>
          </w:tcPr>
          <w:p>
            <w:pPr>
              <w:spacing w:after="0" w:line="250" w:lineRule="auto"/>
              <w:jc w:val="left"/>
            </w:pPr>
            <w:r>
              <w:rPr>
                <w:rFonts w:ascii="Calibri" w:hAnsi="Calibri" w:eastAsia="Calibri"/>
                <w:color w:val="111827"/>
                <w:sz w:val="16"/>
              </w:rPr>
              <w:t>Shipped surfaces and limitations match current implementation</w:t>
            </w:r>
          </w:p>
        </w:tc>
      </w:tr>
      <w:tr>
        <w:tc>
          <w:tcPr>
            <w:tcW w:type="dxa" w:w="1900"/>
          </w:tcPr>
          <w:p>
            <w:pPr>
              <w:spacing w:after="0" w:line="250" w:lineRule="auto"/>
              <w:jc w:val="left"/>
            </w:pPr>
            <w:r>
              <w:rPr>
                <w:rFonts w:ascii="Calibri" w:hAnsi="Calibri" w:eastAsia="Calibri"/>
                <w:color w:val="111827"/>
                <w:sz w:val="16"/>
              </w:rPr>
              <w:t>Deployment evidence</w:t>
            </w:r>
          </w:p>
        </w:tc>
        <w:tc>
          <w:tcPr>
            <w:tcW w:type="dxa" w:w="3860"/>
          </w:tcPr>
          <w:p>
            <w:pPr>
              <w:spacing w:after="0" w:line="250" w:lineRule="auto"/>
              <w:jc w:val="left"/>
            </w:pPr>
            <w:r>
              <w:rPr>
                <w:rFonts w:ascii="Calibri" w:hAnsi="Calibri" w:eastAsia="Calibri"/>
                <w:color w:val="111827"/>
                <w:sz w:val="16"/>
              </w:rPr>
              <w:t>Runtime identity, key custody, database policy and external read-back</w:t>
            </w:r>
          </w:p>
        </w:tc>
        <w:tc>
          <w:tcPr>
            <w:tcW w:type="dxa" w:w="3600"/>
          </w:tcPr>
          <w:p>
            <w:pPr>
              <w:spacing w:after="0" w:line="250" w:lineRule="auto"/>
              <w:jc w:val="left"/>
            </w:pPr>
            <w:r>
              <w:rPr>
                <w:rFonts w:ascii="Calibri" w:hAnsi="Calibri" w:eastAsia="Calibri"/>
                <w:color w:val="111827"/>
                <w:sz w:val="16"/>
              </w:rPr>
              <w:t>Live claims require live, environment-bound evidence</w:t>
            </w:r>
          </w:p>
        </w:tc>
      </w:tr>
    </w:tbl>
    <w:p>
      <w:pPr>
        <w:spacing w:after="0"/>
      </w:pPr>
    </w:p>
    <w:p>
      <w:pPr>
        <w:pStyle w:val="Heading2"/>
        <w:keepNext/>
        <w:keepLines/>
        <w:ind w:left="0" w:right="0" w:firstLine="0"/>
        <w:jc w:val="left"/>
      </w:pPr>
      <w:r>
        <w:t>6.1 Critical-property rule</w:t>
      </w:r>
    </w:p>
    <w:p>
      <w:pPr>
        <w:spacing w:before="0" w:after="120" w:line="264" w:lineRule="auto"/>
      </w:pPr>
      <w:r>
        <w:rPr>
          <w:rFonts w:ascii="Calibri" w:hAnsi="Calibri" w:eastAsia="Calibri"/>
          <w:i w:val="0"/>
          <w:color w:val="111827"/>
          <w:sz w:val="22"/>
        </w:rPr>
        <w:t>Critical safety properties are conjunctive. A single failure in exact-call integrity, authority provenance, execution-boundary integrity or effect settlement blocks acceptance even when thousands of unrelated tests pass. Overall pass rate and total coverage are diagnostic metrics, not override mechanisms.</w:t>
      </w:r>
    </w:p>
    <w:p>
      <w:pPr>
        <w:pStyle w:val="Heading1"/>
        <w:keepNext/>
        <w:keepLines/>
        <w:ind w:left="0" w:right="0" w:firstLine="0"/>
        <w:jc w:val="left"/>
      </w:pPr>
      <w:r>
        <w:t>7. Aggregation and merge authority</w:t>
      </w:r>
    </w:p>
    <w:p>
      <w:pPr>
        <w:spacing w:before="0" w:after="120" w:line="264" w:lineRule="auto"/>
      </w:pPr>
      <w:r>
        <w:rPr>
          <w:rFonts w:ascii="Calibri" w:hAnsi="Calibri" w:eastAsia="Calibri"/>
          <w:i w:val="0"/>
          <w:color w:val="111827"/>
          <w:sz w:val="22"/>
        </w:rPr>
        <w:t>Required aggregators provide a stable interface between changing workflow topology and branch protection. They should evaluate the declared check profile, not merely collect jobs that happened to run.</w:t>
      </w:r>
    </w:p>
    <w:p>
      <w:pPr>
        <w:pStyle w:val="Heading2"/>
        <w:keepNext/>
        <w:keepLines/>
        <w:ind w:left="0" w:right="0" w:firstLine="0"/>
        <w:jc w:val="left"/>
      </w:pPr>
      <w:r>
        <w:t>7.1 Required aggregator contract</w:t>
      </w:r>
    </w:p>
    <w:p>
      <w:pPr>
        <w:spacing w:after="160" w:line="280" w:lineRule="auto"/>
        <w:numPr>
          <w:ilvl w:val="0"/>
          <w:numId w:val="10"/>
        </w:numPr>
      </w:pPr>
      <w:r>
        <w:rPr>
          <w:rFonts w:ascii="Calibri" w:hAnsi="Calibri" w:eastAsia="Calibri"/>
          <w:color w:val="111827"/>
          <w:sz w:val="22"/>
        </w:rPr>
        <w:t>Use a stable, protected context name that cannot be replaced by an untrusted workflow.</w:t>
      </w:r>
    </w:p>
    <w:p>
      <w:pPr>
        <w:spacing w:after="160" w:line="280" w:lineRule="auto"/>
        <w:numPr>
          <w:ilvl w:val="0"/>
          <w:numId w:val="10"/>
        </w:numPr>
      </w:pPr>
      <w:r>
        <w:rPr>
          <w:rFonts w:ascii="Calibri" w:hAnsi="Calibri" w:eastAsia="Calibri"/>
          <w:color w:val="111827"/>
          <w:sz w:val="22"/>
        </w:rPr>
        <w:t>Resolve the exact expected producer set from revision-controlled policy.</w:t>
      </w:r>
    </w:p>
    <w:p>
      <w:pPr>
        <w:spacing w:after="160" w:line="280" w:lineRule="auto"/>
        <w:numPr>
          <w:ilvl w:val="0"/>
          <w:numId w:val="10"/>
        </w:numPr>
      </w:pPr>
      <w:r>
        <w:rPr>
          <w:rFonts w:ascii="Calibri" w:hAnsi="Calibri" w:eastAsia="Calibri"/>
          <w:color w:val="111827"/>
          <w:sz w:val="22"/>
        </w:rPr>
        <w:t>Reject missing, cancelled, skipped, stale or neutral critical producers.</w:t>
      </w:r>
    </w:p>
    <w:p>
      <w:pPr>
        <w:spacing w:after="160" w:line="280" w:lineRule="auto"/>
        <w:numPr>
          <w:ilvl w:val="0"/>
          <w:numId w:val="10"/>
        </w:numPr>
      </w:pPr>
      <w:r>
        <w:rPr>
          <w:rFonts w:ascii="Calibri" w:hAnsi="Calibri" w:eastAsia="Calibri"/>
          <w:color w:val="111827"/>
          <w:sz w:val="22"/>
        </w:rPr>
        <w:t>Preserve the distinct reason for failure rather than collapsing all outcomes into generic red.</w:t>
      </w:r>
    </w:p>
    <w:p>
      <w:pPr>
        <w:spacing w:after="160" w:line="280" w:lineRule="auto"/>
        <w:numPr>
          <w:ilvl w:val="0"/>
          <w:numId w:val="10"/>
        </w:numPr>
      </w:pPr>
      <w:r>
        <w:rPr>
          <w:rFonts w:ascii="Calibri" w:hAnsi="Calibri" w:eastAsia="Calibri"/>
          <w:color w:val="111827"/>
          <w:sz w:val="22"/>
        </w:rPr>
        <w:t>Verify that producer outputs refer to the pull request head SHA and expected workflow identity.</w:t>
      </w:r>
    </w:p>
    <w:p>
      <w:pPr>
        <w:spacing w:after="160" w:line="280" w:lineRule="auto"/>
        <w:numPr>
          <w:ilvl w:val="0"/>
          <w:numId w:val="10"/>
        </w:numPr>
      </w:pPr>
      <w:r>
        <w:rPr>
          <w:rFonts w:ascii="Calibri" w:hAnsi="Calibri" w:eastAsia="Calibri"/>
          <w:color w:val="111827"/>
          <w:sz w:val="22"/>
        </w:rPr>
        <w:t>Emit a structured aggregation receipt listing evaluated producers and decision rationale.</w:t>
      </w:r>
    </w:p>
    <w:p>
      <w:pPr>
        <w:pStyle w:val="Heading2"/>
        <w:keepNext/>
        <w:keepLines/>
        <w:ind w:left="0" w:right="0" w:firstLine="0"/>
        <w:jc w:val="left"/>
      </w:pPr>
      <w:r>
        <w:t>7.2 Recommended stable contexts for REMORA</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300"/>
        <w:gridCol w:w="3100"/>
        <w:gridCol w:w="3960"/>
      </w:tblGrid>
      <w:tr>
        <w:trPr>
          <w:tblHeader w:val="true"/>
        </w:trPr>
        <w:tc>
          <w:tcPr>
            <w:tcW w:type="dxa" w:w="23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Required context</w:t>
            </w:r>
          </w:p>
        </w:tc>
        <w:tc>
          <w:tcPr>
            <w:tcW w:type="dxa" w:w="31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Purpose</w:t>
            </w:r>
          </w:p>
        </w:tc>
        <w:tc>
          <w:tcPr>
            <w:tcW w:type="dxa" w:w="39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Examples of constituent evidence</w:t>
            </w:r>
          </w:p>
        </w:tc>
      </w:tr>
      <w:tr>
        <w:tc>
          <w:tcPr>
            <w:tcW w:type="dxa" w:w="2300"/>
          </w:tcPr>
          <w:p>
            <w:pPr>
              <w:spacing w:after="0" w:line="250" w:lineRule="auto"/>
              <w:jc w:val="left"/>
            </w:pPr>
            <w:r>
              <w:rPr>
                <w:rFonts w:ascii="Calibri" w:hAnsi="Calibri" w:eastAsia="Calibri"/>
                <w:color w:val="111827"/>
                <w:sz w:val="16"/>
              </w:rPr>
              <w:t>quality-gates-required</w:t>
            </w:r>
          </w:p>
        </w:tc>
        <w:tc>
          <w:tcPr>
            <w:tcW w:type="dxa" w:w="3100"/>
          </w:tcPr>
          <w:p>
            <w:pPr>
              <w:spacing w:after="0" w:line="250" w:lineRule="auto"/>
              <w:jc w:val="left"/>
            </w:pPr>
            <w:r>
              <w:rPr>
                <w:rFonts w:ascii="Calibri" w:hAnsi="Calibri" w:eastAsia="Calibri"/>
                <w:color w:val="111827"/>
                <w:sz w:val="16"/>
              </w:rPr>
              <w:t>Code, documentation, claims and component coverage</w:t>
            </w:r>
          </w:p>
        </w:tc>
        <w:tc>
          <w:tcPr>
            <w:tcW w:type="dxa" w:w="3960"/>
          </w:tcPr>
          <w:p>
            <w:pPr>
              <w:spacing w:after="0" w:line="250" w:lineRule="auto"/>
              <w:jc w:val="left"/>
            </w:pPr>
            <w:r>
              <w:rPr>
                <w:rFonts w:ascii="Calibri" w:hAnsi="Calibri" w:eastAsia="Calibri"/>
                <w:color w:val="111827"/>
                <w:sz w:val="16"/>
              </w:rPr>
              <w:t>Lint, type checks, tests, coverage floors, claim registry, doc registration</w:t>
            </w:r>
          </w:p>
        </w:tc>
      </w:tr>
      <w:tr>
        <w:tc>
          <w:tcPr>
            <w:tcW w:type="dxa" w:w="2300"/>
            <w:shd w:fill="FBFCFE"/>
          </w:tcPr>
          <w:p>
            <w:pPr>
              <w:spacing w:after="0" w:line="250" w:lineRule="auto"/>
              <w:jc w:val="left"/>
            </w:pPr>
            <w:r>
              <w:rPr>
                <w:rFonts w:ascii="Calibri" w:hAnsi="Calibri" w:eastAsia="Calibri"/>
                <w:color w:val="111827"/>
                <w:sz w:val="16"/>
              </w:rPr>
              <w:t>deterministic-suite-required</w:t>
            </w:r>
          </w:p>
        </w:tc>
        <w:tc>
          <w:tcPr>
            <w:tcW w:type="dxa" w:w="3100"/>
            <w:shd w:fill="FBFCFE"/>
          </w:tcPr>
          <w:p>
            <w:pPr>
              <w:spacing w:after="0" w:line="250" w:lineRule="auto"/>
              <w:jc w:val="left"/>
            </w:pPr>
            <w:r>
              <w:rPr>
                <w:rFonts w:ascii="Calibri" w:hAnsi="Calibri" w:eastAsia="Calibri"/>
                <w:color w:val="111827"/>
                <w:sz w:val="16"/>
              </w:rPr>
              <w:t>Deterministic execution and policy invariants</w:t>
            </w:r>
          </w:p>
        </w:tc>
        <w:tc>
          <w:tcPr>
            <w:tcW w:type="dxa" w:w="3960"/>
            <w:shd w:fill="FBFCFE"/>
          </w:tcPr>
          <w:p>
            <w:pPr>
              <w:spacing w:after="0" w:line="250" w:lineRule="auto"/>
              <w:jc w:val="left"/>
            </w:pPr>
            <w:r>
              <w:rPr>
                <w:rFonts w:ascii="Calibri" w:hAnsi="Calibri" w:eastAsia="Calibri"/>
                <w:color w:val="111827"/>
                <w:sz w:val="16"/>
              </w:rPr>
              <w:t>Hard guards, lease validation, transition contracts, replay and idempotency</w:t>
            </w:r>
          </w:p>
        </w:tc>
      </w:tr>
      <w:tr>
        <w:tc>
          <w:tcPr>
            <w:tcW w:type="dxa" w:w="2300"/>
          </w:tcPr>
          <w:p>
            <w:pPr>
              <w:spacing w:after="0" w:line="250" w:lineRule="auto"/>
              <w:jc w:val="left"/>
            </w:pPr>
            <w:r>
              <w:rPr>
                <w:rFonts w:ascii="Calibri" w:hAnsi="Calibri" w:eastAsia="Calibri"/>
                <w:color w:val="111827"/>
                <w:sz w:val="16"/>
              </w:rPr>
              <w:t>supply-chain-required</w:t>
            </w:r>
          </w:p>
        </w:tc>
        <w:tc>
          <w:tcPr>
            <w:tcW w:type="dxa" w:w="3100"/>
          </w:tcPr>
          <w:p>
            <w:pPr>
              <w:spacing w:after="0" w:line="250" w:lineRule="auto"/>
              <w:jc w:val="left"/>
            </w:pPr>
            <w:r>
              <w:rPr>
                <w:rFonts w:ascii="Calibri" w:hAnsi="Calibri" w:eastAsia="Calibri"/>
                <w:color w:val="111827"/>
                <w:sz w:val="16"/>
              </w:rPr>
              <w:t>Dependency and artifact integrity</w:t>
            </w:r>
          </w:p>
        </w:tc>
        <w:tc>
          <w:tcPr>
            <w:tcW w:type="dxa" w:w="3960"/>
          </w:tcPr>
          <w:p>
            <w:pPr>
              <w:spacing w:after="0" w:line="250" w:lineRule="auto"/>
              <w:jc w:val="left"/>
            </w:pPr>
            <w:r>
              <w:rPr>
                <w:rFonts w:ascii="Calibri" w:hAnsi="Calibri" w:eastAsia="Calibri"/>
                <w:color w:val="111827"/>
                <w:sz w:val="16"/>
              </w:rPr>
              <w:t>Lockfile audit, SBOM, provenance, digest verification</w:t>
            </w:r>
          </w:p>
        </w:tc>
      </w:tr>
      <w:tr>
        <w:tc>
          <w:tcPr>
            <w:tcW w:type="dxa" w:w="2300"/>
            <w:shd w:fill="FBFCFE"/>
          </w:tcPr>
          <w:p>
            <w:pPr>
              <w:spacing w:after="0" w:line="250" w:lineRule="auto"/>
              <w:jc w:val="left"/>
            </w:pPr>
            <w:r>
              <w:rPr>
                <w:rFonts w:ascii="Calibri" w:hAnsi="Calibri" w:eastAsia="Calibri"/>
                <w:color w:val="111827"/>
                <w:sz w:val="16"/>
              </w:rPr>
              <w:t>codeql-required</w:t>
            </w:r>
          </w:p>
        </w:tc>
        <w:tc>
          <w:tcPr>
            <w:tcW w:type="dxa" w:w="3100"/>
            <w:shd w:fill="FBFCFE"/>
          </w:tcPr>
          <w:p>
            <w:pPr>
              <w:spacing w:after="0" w:line="250" w:lineRule="auto"/>
              <w:jc w:val="left"/>
            </w:pPr>
            <w:r>
              <w:rPr>
                <w:rFonts w:ascii="Calibri" w:hAnsi="Calibri" w:eastAsia="Calibri"/>
                <w:color w:val="111827"/>
                <w:sz w:val="16"/>
              </w:rPr>
              <w:t>Static security analysis across supported languages</w:t>
            </w:r>
          </w:p>
        </w:tc>
        <w:tc>
          <w:tcPr>
            <w:tcW w:type="dxa" w:w="3960"/>
            <w:shd w:fill="FBFCFE"/>
          </w:tcPr>
          <w:p>
            <w:pPr>
              <w:spacing w:after="0" w:line="250" w:lineRule="auto"/>
              <w:jc w:val="left"/>
            </w:pPr>
            <w:r>
              <w:rPr>
                <w:rFonts w:ascii="Calibri" w:hAnsi="Calibri" w:eastAsia="Calibri"/>
                <w:color w:val="111827"/>
                <w:sz w:val="16"/>
              </w:rPr>
              <w:t>CodeQL matrices and severity policy</w:t>
            </w:r>
          </w:p>
        </w:tc>
      </w:tr>
      <w:tr>
        <w:tc>
          <w:tcPr>
            <w:tcW w:type="dxa" w:w="2300"/>
          </w:tcPr>
          <w:p>
            <w:pPr>
              <w:spacing w:after="0" w:line="250" w:lineRule="auto"/>
              <w:jc w:val="left"/>
            </w:pPr>
            <w:r>
              <w:rPr>
                <w:rFonts w:ascii="Calibri" w:hAnsi="Calibri" w:eastAsia="Calibri"/>
                <w:color w:val="111827"/>
                <w:sz w:val="16"/>
              </w:rPr>
              <w:t>shadow-replay</w:t>
            </w:r>
          </w:p>
        </w:tc>
        <w:tc>
          <w:tcPr>
            <w:tcW w:type="dxa" w:w="3100"/>
          </w:tcPr>
          <w:p>
            <w:pPr>
              <w:spacing w:after="0" w:line="250" w:lineRule="auto"/>
              <w:jc w:val="left"/>
            </w:pPr>
            <w:r>
              <w:rPr>
                <w:rFonts w:ascii="Calibri" w:hAnsi="Calibri" w:eastAsia="Calibri"/>
                <w:color w:val="111827"/>
                <w:sz w:val="16"/>
              </w:rPr>
              <w:t>Behavioral drift against recorded governed traces</w:t>
            </w:r>
          </w:p>
        </w:tc>
        <w:tc>
          <w:tcPr>
            <w:tcW w:type="dxa" w:w="3960"/>
          </w:tcPr>
          <w:p>
            <w:pPr>
              <w:spacing w:after="0" w:line="250" w:lineRule="auto"/>
              <w:jc w:val="left"/>
            </w:pPr>
            <w:r>
              <w:rPr>
                <w:rFonts w:ascii="Calibri" w:hAnsi="Calibri" w:eastAsia="Calibri"/>
                <w:color w:val="111827"/>
                <w:sz w:val="16"/>
              </w:rPr>
              <w:t>Proposal-to-decision replay, lifecycle and effect expectations</w:t>
            </w:r>
          </w:p>
        </w:tc>
      </w:tr>
    </w:tbl>
    <w:p>
      <w:pPr>
        <w:spacing w:after="0"/>
      </w:pPr>
    </w:p>
    <w:p>
      <w:pPr>
        <w:pStyle w:val="Heading2"/>
        <w:keepNext/>
        <w:keepLines/>
        <w:ind w:left="0" w:right="0" w:firstLine="0"/>
        <w:jc w:val="left"/>
      </w:pPr>
      <w:r>
        <w:t>7.3 Control-plane pseudocode</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rPr>
          <w:cantSplit/>
        </w:trPr>
        <w:tc>
          <w:tcPr>
            <w:tcW w:type="dxa" w:w="9360"/>
            <w:tcMar>
              <w:top w:w="140" w:type="dxa"/>
              <w:start w:w="180" w:type="dxa"/>
              <w:bottom w:w="140" w:type="dxa"/>
              <w:end w:w="180" w:type="dxa"/>
            </w:tcMar>
            <w:vAlign w:val="center"/>
            <w:shd w:fill="F8FAFC"/>
          </w:tcPr>
          <w:p>
            <w:pPr>
              <w:spacing w:after="0" w:line="240" w:lineRule="auto"/>
            </w:pPr>
            <w:r>
              <w:rPr>
                <w:rFonts w:ascii="Consolas" w:hAnsi="Consolas" w:eastAsia="Consolas"/>
                <w:color w:val="243447"/>
                <w:sz w:val="17"/>
              </w:rPr>
              <w:t>expected = assurance_profile.for_revision(head_sha)</w:t>
            </w:r>
            <w:r>
              <w:br/>
            </w:r>
            <w:r>
              <w:rPr>
                <w:rFonts w:ascii="Consolas" w:hAnsi="Consolas" w:eastAsia="Consolas"/>
                <w:color w:val="243447"/>
                <w:sz w:val="17"/>
              </w:rPr>
              <w:t>observed = evidence_registry.results(head_sha)</w:t>
            </w:r>
            <w:r>
              <w:br/>
            </w:r>
            <w:r>
              <w:rPr>
                <w:rFonts w:ascii="Consolas" w:hAnsi="Consolas" w:eastAsia="Consolas"/>
                <w:color w:val="243447"/>
                <w:sz w:val="17"/>
              </w:rPr>
            </w:r>
            <w:r>
              <w:br/>
            </w:r>
            <w:r>
              <w:rPr>
                <w:rFonts w:ascii="Consolas" w:hAnsi="Consolas" w:eastAsia="Consolas"/>
                <w:color w:val="243447"/>
                <w:sz w:val="17"/>
              </w:rPr>
              <w:t>for required in expected.producers:</w:t>
            </w:r>
            <w:r>
              <w:br/>
            </w:r>
            <w:r>
              <w:rPr>
                <w:rFonts w:ascii="Consolas" w:hAnsi="Consolas" w:eastAsia="Consolas"/>
                <w:color w:val="243447"/>
                <w:sz w:val="17"/>
              </w:rPr>
              <w:t xml:space="preserve">    result = observed.get(required.identity)</w:t>
            </w:r>
            <w:r>
              <w:br/>
            </w:r>
            <w:r>
              <w:rPr>
                <w:rFonts w:ascii="Consolas" w:hAnsi="Consolas" w:eastAsia="Consolas"/>
                <w:color w:val="243447"/>
                <w:sz w:val="17"/>
              </w:rPr>
              <w:t xml:space="preserve">    require(result is not None, reason="missing_evidence")</w:t>
            </w:r>
            <w:r>
              <w:br/>
            </w:r>
            <w:r>
              <w:rPr>
                <w:rFonts w:ascii="Consolas" w:hAnsi="Consolas" w:eastAsia="Consolas"/>
                <w:color w:val="243447"/>
                <w:sz w:val="17"/>
              </w:rPr>
              <w:t xml:space="preserve">    require(result.revision == head_sha, reason="stale_revision")</w:t>
            </w:r>
            <w:r>
              <w:br/>
            </w:r>
            <w:r>
              <w:rPr>
                <w:rFonts w:ascii="Consolas" w:hAnsi="Consolas" w:eastAsia="Consolas"/>
                <w:color w:val="243447"/>
                <w:sz w:val="17"/>
              </w:rPr>
              <w:t xml:space="preserve">    require(result.workflow_digest == required.workflow_digest,</w:t>
            </w:r>
            <w:r>
              <w:br/>
            </w:r>
            <w:r>
              <w:rPr>
                <w:rFonts w:ascii="Consolas" w:hAnsi="Consolas" w:eastAsia="Consolas"/>
                <w:color w:val="243447"/>
                <w:sz w:val="17"/>
              </w:rPr>
              <w:t xml:space="preserve">            reason="unexpected_producer")</w:t>
            </w:r>
            <w:r>
              <w:br/>
            </w:r>
            <w:r>
              <w:rPr>
                <w:rFonts w:ascii="Consolas" w:hAnsi="Consolas" w:eastAsia="Consolas"/>
                <w:color w:val="243447"/>
                <w:sz w:val="17"/>
              </w:rPr>
              <w:t xml:space="preserve">    require(result.outcome == "PASSED", reason=result.outcome)</w:t>
            </w:r>
            <w:r>
              <w:br/>
            </w:r>
            <w:r>
              <w:rPr>
                <w:rFonts w:ascii="Consolas" w:hAnsi="Consolas" w:eastAsia="Consolas"/>
                <w:color w:val="243447"/>
                <w:sz w:val="17"/>
              </w:rPr>
            </w:r>
            <w:r>
              <w:br/>
            </w:r>
            <w:r>
              <w:rPr>
                <w:rFonts w:ascii="Consolas" w:hAnsi="Consolas" w:eastAsia="Consolas"/>
                <w:color w:val="243447"/>
                <w:sz w:val="17"/>
              </w:rPr>
              <w:t>emit_aggregation_receipt(head_sha, expected, observed)</w:t>
            </w:r>
            <w:r>
              <w:br/>
            </w:r>
            <w:r>
              <w:rPr>
                <w:rFonts w:ascii="Consolas" w:hAnsi="Consolas" w:eastAsia="Consolas"/>
                <w:color w:val="243447"/>
                <w:sz w:val="17"/>
              </w:rPr>
              <w:t>return PASSED</w:t>
            </w:r>
          </w:p>
        </w:tc>
      </w:tr>
    </w:tbl>
    <w:p>
      <w:pPr>
        <w:spacing w:after="0"/>
      </w:pPr>
    </w:p>
    <w:p>
      <w:pPr>
        <w:pStyle w:val="Heading1"/>
        <w:keepNext/>
        <w:keepLines/>
        <w:ind w:left="0" w:right="0" w:firstLine="0"/>
        <w:jc w:val="left"/>
      </w:pPr>
      <w:r>
        <w:t>8. Evidence model</w:t>
      </w:r>
    </w:p>
    <w:p>
      <w:pPr>
        <w:spacing w:before="0" w:after="120" w:line="264" w:lineRule="auto"/>
      </w:pPr>
      <w:r>
        <w:rPr>
          <w:rFonts w:ascii="Calibri" w:hAnsi="Calibri" w:eastAsia="Calibri"/>
          <w:i w:val="0"/>
          <w:color w:val="111827"/>
          <w:sz w:val="22"/>
        </w:rPr>
        <w:t>Every merge and release decision should be reconstructable without relying on a transient CI user interface. Evidence must identify what ran, against which revision, with which policy and inputs, and what the result actually proves.</w:t>
      </w:r>
    </w:p>
    <w:p>
      <w:pPr>
        <w:pStyle w:val="Heading2"/>
        <w:keepNext/>
        <w:keepLines/>
        <w:ind w:left="0" w:right="0" w:firstLine="0"/>
        <w:jc w:val="left"/>
      </w:pPr>
      <w:r>
        <w:t>8.1 Minimum evidence envelope</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rPr>
          <w:cantSplit/>
        </w:trPr>
        <w:tc>
          <w:tcPr>
            <w:tcW w:type="dxa" w:w="9360"/>
            <w:tcMar>
              <w:top w:w="140" w:type="dxa"/>
              <w:start w:w="180" w:type="dxa"/>
              <w:bottom w:w="140" w:type="dxa"/>
              <w:end w:w="180" w:type="dxa"/>
            </w:tcMar>
            <w:vAlign w:val="center"/>
            <w:shd w:fill="F8FAFC"/>
          </w:tcPr>
          <w:p>
            <w:pPr>
              <w:spacing w:after="0" w:line="240" w:lineRule="auto"/>
            </w:pPr>
            <w:r>
              <w:rPr>
                <w:rFonts w:ascii="Consolas" w:hAnsi="Consolas" w:eastAsia="Consolas"/>
                <w:color w:val="243447"/>
                <w:sz w:val="17"/>
              </w:rPr>
              <w:t>{</w:t>
            </w:r>
            <w:r>
              <w:br/>
            </w:r>
            <w:r>
              <w:rPr>
                <w:rFonts w:ascii="Consolas" w:hAnsi="Consolas" w:eastAsia="Consolas"/>
                <w:color w:val="243447"/>
                <w:sz w:val="17"/>
              </w:rPr>
              <w:t xml:space="preserve">  "schema_version": "assurance-evidence/v1",</w:t>
            </w:r>
            <w:r>
              <w:br/>
            </w:r>
            <w:r>
              <w:rPr>
                <w:rFonts w:ascii="Consolas" w:hAnsi="Consolas" w:eastAsia="Consolas"/>
                <w:color w:val="243447"/>
                <w:sz w:val="17"/>
              </w:rPr>
              <w:t xml:space="preserve">  "repository": "darklordVirtual/REMORA-research",</w:t>
            </w:r>
            <w:r>
              <w:br/>
            </w:r>
            <w:r>
              <w:rPr>
                <w:rFonts w:ascii="Consolas" w:hAnsi="Consolas" w:eastAsia="Consolas"/>
                <w:color w:val="243447"/>
                <w:sz w:val="17"/>
              </w:rPr>
              <w:t xml:space="preserve">  "revision": "&lt;40-character commit SHA&gt;",</w:t>
            </w:r>
            <w:r>
              <w:br/>
            </w:r>
            <w:r>
              <w:rPr>
                <w:rFonts w:ascii="Consolas" w:hAnsi="Consolas" w:eastAsia="Consolas"/>
                <w:color w:val="243447"/>
                <w:sz w:val="17"/>
              </w:rPr>
              <w:t xml:space="preserve">  "producer": {</w:t>
            </w:r>
            <w:r>
              <w:br/>
            </w:r>
            <w:r>
              <w:rPr>
                <w:rFonts w:ascii="Consolas" w:hAnsi="Consolas" w:eastAsia="Consolas"/>
                <w:color w:val="243447"/>
                <w:sz w:val="17"/>
              </w:rPr>
              <w:t xml:space="preserve">    "check_name": "deterministic-suite",</w:t>
            </w:r>
            <w:r>
              <w:br/>
            </w:r>
            <w:r>
              <w:rPr>
                <w:rFonts w:ascii="Consolas" w:hAnsi="Consolas" w:eastAsia="Consolas"/>
                <w:color w:val="243447"/>
                <w:sz w:val="17"/>
              </w:rPr>
              <w:t xml:space="preserve">    "workflow_digest": "sha256:&lt;digest&gt;",</w:t>
            </w:r>
            <w:r>
              <w:br/>
            </w:r>
            <w:r>
              <w:rPr>
                <w:rFonts w:ascii="Consolas" w:hAnsi="Consolas" w:eastAsia="Consolas"/>
                <w:color w:val="243447"/>
                <w:sz w:val="17"/>
              </w:rPr>
              <w:t xml:space="preserve">    "runner_identity": "&lt;attested identity&gt;"</w:t>
            </w:r>
            <w:r>
              <w:br/>
            </w:r>
            <w:r>
              <w:rPr>
                <w:rFonts w:ascii="Consolas" w:hAnsi="Consolas" w:eastAsia="Consolas"/>
                <w:color w:val="243447"/>
                <w:sz w:val="17"/>
              </w:rPr>
              <w:t xml:space="preserve">  },</w:t>
            </w:r>
            <w:r>
              <w:br/>
            </w:r>
            <w:r>
              <w:rPr>
                <w:rFonts w:ascii="Consolas" w:hAnsi="Consolas" w:eastAsia="Consolas"/>
                <w:color w:val="243447"/>
                <w:sz w:val="17"/>
              </w:rPr>
              <w:t xml:space="preserve">  "policy_identity": "sha256:&lt;assurance profile digest&gt;",</w:t>
            </w:r>
            <w:r>
              <w:br/>
            </w:r>
            <w:r>
              <w:rPr>
                <w:rFonts w:ascii="Consolas" w:hAnsi="Consolas" w:eastAsia="Consolas"/>
                <w:color w:val="243447"/>
                <w:sz w:val="17"/>
              </w:rPr>
              <w:t xml:space="preserve">  "started_at": "&lt;RFC 3339&gt;",</w:t>
            </w:r>
            <w:r>
              <w:br/>
            </w:r>
            <w:r>
              <w:rPr>
                <w:rFonts w:ascii="Consolas" w:hAnsi="Consolas" w:eastAsia="Consolas"/>
                <w:color w:val="243447"/>
                <w:sz w:val="17"/>
              </w:rPr>
              <w:t xml:space="preserve">  "finished_at": "&lt;RFC 3339&gt;",</w:t>
            </w:r>
            <w:r>
              <w:br/>
            </w:r>
            <w:r>
              <w:rPr>
                <w:rFonts w:ascii="Consolas" w:hAnsi="Consolas" w:eastAsia="Consolas"/>
                <w:color w:val="243447"/>
                <w:sz w:val="17"/>
              </w:rPr>
              <w:t xml:space="preserve">  "outcome": "PASSED | FAILED | BLOCKED | INCONCLUSIVE | NOT_APPLICABLE",</w:t>
            </w:r>
            <w:r>
              <w:br/>
            </w:r>
            <w:r>
              <w:rPr>
                <w:rFonts w:ascii="Consolas" w:hAnsi="Consolas" w:eastAsia="Consolas"/>
                <w:color w:val="243447"/>
                <w:sz w:val="17"/>
              </w:rPr>
              <w:t xml:space="preserve">  "claims_evaluated": ["CLAIM-..."],</w:t>
            </w:r>
            <w:r>
              <w:br/>
            </w:r>
            <w:r>
              <w:rPr>
                <w:rFonts w:ascii="Consolas" w:hAnsi="Consolas" w:eastAsia="Consolas"/>
                <w:color w:val="243447"/>
                <w:sz w:val="17"/>
              </w:rPr>
              <w:t xml:space="preserve">  "artifacts": [{"path": "...", "sha256": "..."}],</w:t>
            </w:r>
            <w:r>
              <w:br/>
            </w:r>
            <w:r>
              <w:rPr>
                <w:rFonts w:ascii="Consolas" w:hAnsi="Consolas" w:eastAsia="Consolas"/>
                <w:color w:val="243447"/>
                <w:sz w:val="17"/>
              </w:rPr>
              <w:t xml:space="preserve">  "limitations": []</w:t>
            </w:r>
            <w:r>
              <w:br/>
            </w:r>
            <w:r>
              <w:rPr>
                <w:rFonts w:ascii="Consolas" w:hAnsi="Consolas" w:eastAsia="Consolas"/>
                <w:color w:val="243447"/>
                <w:sz w:val="17"/>
              </w:rPr>
              <w:t>}</w:t>
            </w:r>
          </w:p>
        </w:tc>
      </w:tr>
    </w:tbl>
    <w:p>
      <w:pPr>
        <w:spacing w:after="0"/>
      </w:pPr>
    </w:p>
    <w:p>
      <w:pPr>
        <w:pStyle w:val="Heading2"/>
        <w:keepNext/>
        <w:keepLines/>
        <w:ind w:left="0" w:right="0" w:firstLine="0"/>
        <w:jc w:val="left"/>
      </w:pPr>
      <w:r>
        <w:t>8.2 Evidence validity rules</w:t>
      </w:r>
    </w:p>
    <w:p>
      <w:pPr>
        <w:spacing w:after="160" w:line="280" w:lineRule="auto"/>
        <w:numPr>
          <w:ilvl w:val="0"/>
          <w:numId w:val="10"/>
        </w:numPr>
      </w:pPr>
      <w:r>
        <w:rPr>
          <w:rFonts w:ascii="Calibri" w:hAnsi="Calibri" w:eastAsia="Calibri"/>
          <w:color w:val="111827"/>
          <w:sz w:val="22"/>
        </w:rPr>
        <w:t>Freshness: evidence applies only to the exact revision unless an explicit content-addressed reuse rule is satisfied.</w:t>
      </w:r>
    </w:p>
    <w:p>
      <w:pPr>
        <w:spacing w:after="160" w:line="280" w:lineRule="auto"/>
        <w:numPr>
          <w:ilvl w:val="0"/>
          <w:numId w:val="10"/>
        </w:numPr>
      </w:pPr>
      <w:r>
        <w:rPr>
          <w:rFonts w:ascii="Calibri" w:hAnsi="Calibri" w:eastAsia="Calibri"/>
          <w:color w:val="111827"/>
          <w:sz w:val="22"/>
        </w:rPr>
        <w:t>Provenance: producer identity and workflow definition must be authenticated or digest-bound.</w:t>
      </w:r>
    </w:p>
    <w:p>
      <w:pPr>
        <w:spacing w:after="160" w:line="280" w:lineRule="auto"/>
        <w:numPr>
          <w:ilvl w:val="0"/>
          <w:numId w:val="10"/>
        </w:numPr>
      </w:pPr>
      <w:r>
        <w:rPr>
          <w:rFonts w:ascii="Calibri" w:hAnsi="Calibri" w:eastAsia="Calibri"/>
          <w:color w:val="111827"/>
          <w:sz w:val="22"/>
        </w:rPr>
        <w:t>Completeness: all required producers and claims in the selected profile must be represented.</w:t>
      </w:r>
    </w:p>
    <w:p>
      <w:pPr>
        <w:spacing w:after="160" w:line="280" w:lineRule="auto"/>
        <w:numPr>
          <w:ilvl w:val="0"/>
          <w:numId w:val="10"/>
        </w:numPr>
      </w:pPr>
      <w:r>
        <w:rPr>
          <w:rFonts w:ascii="Calibri" w:hAnsi="Calibri" w:eastAsia="Calibri"/>
          <w:color w:val="111827"/>
          <w:sz w:val="22"/>
        </w:rPr>
        <w:t>Immutability: published release evidence must be content-addressed and resistant to silent replacement.</w:t>
      </w:r>
    </w:p>
    <w:p>
      <w:pPr>
        <w:spacing w:after="160" w:line="280" w:lineRule="auto"/>
        <w:numPr>
          <w:ilvl w:val="0"/>
          <w:numId w:val="10"/>
        </w:numPr>
      </w:pPr>
      <w:r>
        <w:rPr>
          <w:rFonts w:ascii="Calibri" w:hAnsi="Calibri" w:eastAsia="Calibri"/>
          <w:color w:val="111827"/>
          <w:sz w:val="22"/>
        </w:rPr>
        <w:t>Interpretability: each result declares what was evaluated and what remains out of scope.</w:t>
      </w:r>
    </w:p>
    <w:p>
      <w:pPr>
        <w:spacing w:after="160" w:line="280" w:lineRule="auto"/>
        <w:numPr>
          <w:ilvl w:val="0"/>
          <w:numId w:val="10"/>
        </w:numPr>
      </w:pPr>
      <w:r>
        <w:rPr>
          <w:rFonts w:ascii="Calibri" w:hAnsi="Calibri" w:eastAsia="Calibri"/>
          <w:color w:val="111827"/>
          <w:sz w:val="22"/>
        </w:rPr>
        <w:t>Replayability: inputs, versions and execution instructions are sufficient for an independent rerun where feasible.</w:t>
      </w:r>
    </w:p>
    <w:p>
      <w:pPr>
        <w:pStyle w:val="Heading1"/>
        <w:keepNext/>
        <w:keepLines/>
        <w:ind w:left="0" w:right="0" w:firstLine="0"/>
        <w:jc w:val="left"/>
      </w:pPr>
      <w:r>
        <w:t>9. Failure semantics</w:t>
      </w:r>
    </w:p>
    <w:p>
      <w:pPr>
        <w:spacing w:before="0" w:after="120" w:line="264" w:lineRule="auto"/>
      </w:pPr>
      <w:r>
        <w:rPr>
          <w:rFonts w:ascii="Calibri" w:hAnsi="Calibri" w:eastAsia="Calibri"/>
          <w:i w:val="0"/>
          <w:color w:val="111827"/>
          <w:sz w:val="22"/>
        </w:rPr>
        <w:t>Assurance outcomes require a richer vocabulary than success and failure. The aggregator must preserve uncertainty and infrastructure problems instead of laundering them into a green state.</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4300"/>
        <w:gridCol w:w="3260"/>
      </w:tblGrid>
      <w:tr>
        <w:trPr>
          <w:tblHeader w:val="true"/>
        </w:trPr>
        <w:tc>
          <w:tcPr>
            <w:tcW w:type="dxa" w:w="18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Outcome</w:t>
            </w:r>
          </w:p>
        </w:tc>
        <w:tc>
          <w:tcPr>
            <w:tcW w:type="dxa" w:w="43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Meaning</w:t>
            </w:r>
          </w:p>
        </w:tc>
        <w:tc>
          <w:tcPr>
            <w:tcW w:type="dxa" w:w="32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Merge treatment</w:t>
            </w:r>
          </w:p>
        </w:tc>
      </w:tr>
      <w:tr>
        <w:tc>
          <w:tcPr>
            <w:tcW w:type="dxa" w:w="1800"/>
          </w:tcPr>
          <w:p>
            <w:pPr>
              <w:spacing w:after="0" w:line="250" w:lineRule="auto"/>
              <w:jc w:val="left"/>
            </w:pPr>
            <w:r>
              <w:rPr>
                <w:rFonts w:ascii="Calibri" w:hAnsi="Calibri" w:eastAsia="Calibri"/>
                <w:color w:val="111827"/>
                <w:sz w:val="17"/>
              </w:rPr>
              <w:t>PASSED</w:t>
            </w:r>
          </w:p>
        </w:tc>
        <w:tc>
          <w:tcPr>
            <w:tcW w:type="dxa" w:w="4300"/>
          </w:tcPr>
          <w:p>
            <w:pPr>
              <w:spacing w:after="0" w:line="250" w:lineRule="auto"/>
              <w:jc w:val="left"/>
            </w:pPr>
            <w:r>
              <w:rPr>
                <w:rFonts w:ascii="Calibri" w:hAnsi="Calibri" w:eastAsia="Calibri"/>
                <w:color w:val="111827"/>
                <w:sz w:val="17"/>
              </w:rPr>
              <w:t>The declared property was evaluated and the acceptance condition held.</w:t>
            </w:r>
          </w:p>
        </w:tc>
        <w:tc>
          <w:tcPr>
            <w:tcW w:type="dxa" w:w="3260"/>
          </w:tcPr>
          <w:p>
            <w:pPr>
              <w:spacing w:after="0" w:line="250" w:lineRule="auto"/>
              <w:jc w:val="left"/>
            </w:pPr>
            <w:r>
              <w:rPr>
                <w:rFonts w:ascii="Calibri" w:hAnsi="Calibri" w:eastAsia="Calibri"/>
                <w:color w:val="111827"/>
                <w:sz w:val="17"/>
              </w:rPr>
              <w:t>Eligible, subject to all other required evidence.</w:t>
            </w:r>
          </w:p>
        </w:tc>
      </w:tr>
      <w:tr>
        <w:tc>
          <w:tcPr>
            <w:tcW w:type="dxa" w:w="1800"/>
            <w:shd w:fill="FBFCFE"/>
          </w:tcPr>
          <w:p>
            <w:pPr>
              <w:spacing w:after="0" w:line="250" w:lineRule="auto"/>
              <w:jc w:val="left"/>
            </w:pPr>
            <w:r>
              <w:rPr>
                <w:rFonts w:ascii="Calibri" w:hAnsi="Calibri" w:eastAsia="Calibri"/>
                <w:color w:val="111827"/>
                <w:sz w:val="17"/>
              </w:rPr>
              <w:t>FAILED</w:t>
            </w:r>
          </w:p>
        </w:tc>
        <w:tc>
          <w:tcPr>
            <w:tcW w:type="dxa" w:w="4300"/>
            <w:shd w:fill="FBFCFE"/>
          </w:tcPr>
          <w:p>
            <w:pPr>
              <w:spacing w:after="0" w:line="250" w:lineRule="auto"/>
              <w:jc w:val="left"/>
            </w:pPr>
            <w:r>
              <w:rPr>
                <w:rFonts w:ascii="Calibri" w:hAnsi="Calibri" w:eastAsia="Calibri"/>
                <w:color w:val="111827"/>
                <w:sz w:val="17"/>
              </w:rPr>
              <w:t>The property was evaluated and violated.</w:t>
            </w:r>
          </w:p>
        </w:tc>
        <w:tc>
          <w:tcPr>
            <w:tcW w:type="dxa" w:w="3260"/>
            <w:shd w:fill="FBFCFE"/>
          </w:tcPr>
          <w:p>
            <w:pPr>
              <w:spacing w:after="0" w:line="250" w:lineRule="auto"/>
              <w:jc w:val="left"/>
            </w:pPr>
            <w:r>
              <w:rPr>
                <w:rFonts w:ascii="Calibri" w:hAnsi="Calibri" w:eastAsia="Calibri"/>
                <w:color w:val="111827"/>
                <w:sz w:val="17"/>
              </w:rPr>
              <w:t>Block.</w:t>
            </w:r>
          </w:p>
        </w:tc>
      </w:tr>
      <w:tr>
        <w:tc>
          <w:tcPr>
            <w:tcW w:type="dxa" w:w="1800"/>
          </w:tcPr>
          <w:p>
            <w:pPr>
              <w:spacing w:after="0" w:line="250" w:lineRule="auto"/>
              <w:jc w:val="left"/>
            </w:pPr>
            <w:r>
              <w:rPr>
                <w:rFonts w:ascii="Calibri" w:hAnsi="Calibri" w:eastAsia="Calibri"/>
                <w:color w:val="111827"/>
                <w:sz w:val="17"/>
              </w:rPr>
              <w:t>BLOCKED</w:t>
            </w:r>
          </w:p>
        </w:tc>
        <w:tc>
          <w:tcPr>
            <w:tcW w:type="dxa" w:w="4300"/>
          </w:tcPr>
          <w:p>
            <w:pPr>
              <w:spacing w:after="0" w:line="250" w:lineRule="auto"/>
              <w:jc w:val="left"/>
            </w:pPr>
            <w:r>
              <w:rPr>
                <w:rFonts w:ascii="Calibri" w:hAnsi="Calibri" w:eastAsia="Calibri"/>
                <w:color w:val="111827"/>
                <w:sz w:val="17"/>
              </w:rPr>
              <w:t>The check could not run because a declared prerequisite or authority was unavailable.</w:t>
            </w:r>
          </w:p>
        </w:tc>
        <w:tc>
          <w:tcPr>
            <w:tcW w:type="dxa" w:w="3260"/>
          </w:tcPr>
          <w:p>
            <w:pPr>
              <w:spacing w:after="0" w:line="250" w:lineRule="auto"/>
              <w:jc w:val="left"/>
            </w:pPr>
            <w:r>
              <w:rPr>
                <w:rFonts w:ascii="Calibri" w:hAnsi="Calibri" w:eastAsia="Calibri"/>
                <w:color w:val="111827"/>
                <w:sz w:val="17"/>
              </w:rPr>
              <w:t>Block; fix prerequisite or explicitly change policy.</w:t>
            </w:r>
          </w:p>
        </w:tc>
      </w:tr>
      <w:tr>
        <w:tc>
          <w:tcPr>
            <w:tcW w:type="dxa" w:w="1800"/>
            <w:shd w:fill="FBFCFE"/>
          </w:tcPr>
          <w:p>
            <w:pPr>
              <w:spacing w:after="0" w:line="250" w:lineRule="auto"/>
              <w:jc w:val="left"/>
            </w:pPr>
            <w:r>
              <w:rPr>
                <w:rFonts w:ascii="Calibri" w:hAnsi="Calibri" w:eastAsia="Calibri"/>
                <w:color w:val="111827"/>
                <w:sz w:val="17"/>
              </w:rPr>
              <w:t>INCONCLUSIVE</w:t>
            </w:r>
          </w:p>
        </w:tc>
        <w:tc>
          <w:tcPr>
            <w:tcW w:type="dxa" w:w="4300"/>
            <w:shd w:fill="FBFCFE"/>
          </w:tcPr>
          <w:p>
            <w:pPr>
              <w:spacing w:after="0" w:line="250" w:lineRule="auto"/>
              <w:jc w:val="left"/>
            </w:pPr>
            <w:r>
              <w:rPr>
                <w:rFonts w:ascii="Calibri" w:hAnsi="Calibri" w:eastAsia="Calibri"/>
                <w:color w:val="111827"/>
                <w:sz w:val="17"/>
              </w:rPr>
              <w:t>Execution completed but evidence cannot establish pass or fail.</w:t>
            </w:r>
          </w:p>
        </w:tc>
        <w:tc>
          <w:tcPr>
            <w:tcW w:type="dxa" w:w="3260"/>
            <w:shd w:fill="FBFCFE"/>
          </w:tcPr>
          <w:p>
            <w:pPr>
              <w:spacing w:after="0" w:line="250" w:lineRule="auto"/>
              <w:jc w:val="left"/>
            </w:pPr>
            <w:r>
              <w:rPr>
                <w:rFonts w:ascii="Calibri" w:hAnsi="Calibri" w:eastAsia="Calibri"/>
                <w:color w:val="111827"/>
                <w:sz w:val="17"/>
              </w:rPr>
              <w:t>Block critical properties; route to review where policy allows.</w:t>
            </w:r>
          </w:p>
        </w:tc>
      </w:tr>
      <w:tr>
        <w:tc>
          <w:tcPr>
            <w:tcW w:type="dxa" w:w="1800"/>
          </w:tcPr>
          <w:p>
            <w:pPr>
              <w:spacing w:after="0" w:line="250" w:lineRule="auto"/>
              <w:jc w:val="left"/>
            </w:pPr>
            <w:r>
              <w:rPr>
                <w:rFonts w:ascii="Calibri" w:hAnsi="Calibri" w:eastAsia="Calibri"/>
                <w:color w:val="111827"/>
                <w:sz w:val="17"/>
              </w:rPr>
              <w:t>NOT_APPLICABLE</w:t>
            </w:r>
          </w:p>
        </w:tc>
        <w:tc>
          <w:tcPr>
            <w:tcW w:type="dxa" w:w="4300"/>
          </w:tcPr>
          <w:p>
            <w:pPr>
              <w:spacing w:after="0" w:line="250" w:lineRule="auto"/>
              <w:jc w:val="left"/>
            </w:pPr>
            <w:r>
              <w:rPr>
                <w:rFonts w:ascii="Calibri" w:hAnsi="Calibri" w:eastAsia="Calibri"/>
                <w:color w:val="111827"/>
                <w:sz w:val="17"/>
              </w:rPr>
              <w:t>The property is outside the revision's declared affected surface.</w:t>
            </w:r>
          </w:p>
        </w:tc>
        <w:tc>
          <w:tcPr>
            <w:tcW w:type="dxa" w:w="3260"/>
          </w:tcPr>
          <w:p>
            <w:pPr>
              <w:spacing w:after="0" w:line="250" w:lineRule="auto"/>
              <w:jc w:val="left"/>
            </w:pPr>
            <w:r>
              <w:rPr>
                <w:rFonts w:ascii="Calibri" w:hAnsi="Calibri" w:eastAsia="Calibri"/>
                <w:color w:val="111827"/>
                <w:sz w:val="17"/>
              </w:rPr>
              <w:t>Accept only with a validated applicability decision.</w:t>
            </w:r>
          </w:p>
        </w:tc>
      </w:tr>
    </w:tbl>
    <w:p>
      <w:pPr>
        <w:spacing w:after="0"/>
      </w:pPr>
    </w:p>
    <w:tbl>
      <w:tblPr>
        <w:tblW w:type="dxa" w:w="9360"/>
        <w:tblLayout w:type="fixed"/>
        <w:tblLook w:firstColumn="1" w:firstRow="1" w:lastColumn="0" w:lastRow="0" w:noHBand="0" w:noVBand="1" w:val="04A0"/>
        <w:tblInd w:w="120" w:type="dxa"/>
        <w:tblBorders>
          <w:top w:val="single" w:sz="4" w:space="0" w:color="FDECEC"/>
          <w:left w:val="single" w:sz="4" w:space="0" w:color="FDECEC"/>
          <w:bottom w:val="single" w:sz="4" w:space="0" w:color="FDECEC"/>
          <w:right w:val="single" w:sz="4" w:space="0" w:color="FDECEC"/>
          <w:insideH w:val="single" w:sz="4" w:space="0" w:color="FDECEC"/>
          <w:insideV w:val="single" w:sz="4" w:space="0" w:color="FDECEC"/>
        </w:tblBorders>
      </w:tblPr>
      <w:tblGrid>
        <w:gridCol w:w="9360"/>
      </w:tblGrid>
      <w:tr>
        <w:trPr>
          <w:cantSplit/>
        </w:trPr>
        <w:tc>
          <w:tcPr>
            <w:tcW w:type="dxa" w:w="9360"/>
            <w:tcMar>
              <w:top w:w="150" w:type="dxa"/>
              <w:start w:w="190" w:type="dxa"/>
              <w:bottom w:w="150" w:type="dxa"/>
              <w:end w:w="190" w:type="dxa"/>
            </w:tcMar>
            <w:vAlign w:val="center"/>
            <w:shd w:fill="FDECEC"/>
            <w:tcBorders>
              <w:left w:val="single" w:sz="24" w:color="9B1C1C"/>
            </w:tcBorders>
          </w:tcPr>
          <w:p>
            <w:pPr>
              <w:spacing w:after="0" w:line="259" w:lineRule="auto"/>
            </w:pPr>
            <w:r>
              <w:rPr>
                <w:rFonts w:ascii="Calibri" w:hAnsi="Calibri" w:eastAsia="Calibri"/>
                <w:b/>
                <w:color w:val="9B1C1C"/>
                <w:sz w:val="20"/>
              </w:rPr>
              <w:t xml:space="preserve">ANTI-PATTERN  </w:t>
            </w:r>
            <w:r>
              <w:rPr>
                <w:rFonts w:ascii="Calibri" w:hAnsi="Calibri" w:eastAsia="Calibri"/>
                <w:color w:val="111827"/>
                <w:sz w:val="21"/>
              </w:rPr>
              <w:t>Cancelled, skipped, timed out, flaky or infrastructure-failed checks must never be converted to PASSED merely to keep the development queue moving.</w:t>
            </w:r>
          </w:p>
        </w:tc>
      </w:tr>
    </w:tbl>
    <w:p>
      <w:pPr>
        <w:spacing w:after="0" w:before="0"/>
      </w:pPr>
    </w:p>
    <w:p>
      <w:pPr>
        <w:pStyle w:val="Heading1"/>
        <w:keepNext/>
        <w:keepLines/>
        <w:ind w:left="0" w:right="0" w:firstLine="0"/>
        <w:jc w:val="left"/>
      </w:pPr>
      <w:r>
        <w:t>10. Worked examples</w:t>
      </w:r>
    </w:p>
    <w:p>
      <w:pPr>
        <w:pStyle w:val="Heading2"/>
        <w:keepNext/>
        <w:keepLines/>
        <w:ind w:left="0" w:right="0" w:firstLine="0"/>
        <w:jc w:val="left"/>
      </w:pPr>
      <w:r>
        <w:t>10.1 Exact-call identity gap</w:t>
      </w:r>
    </w:p>
    <w:p>
      <w:pPr>
        <w:spacing w:before="0" w:after="120" w:line="264" w:lineRule="auto"/>
      </w:pPr>
      <w:r>
        <w:rPr>
          <w:rFonts w:ascii="Calibri" w:hAnsi="Calibri" w:eastAsia="Calibri"/>
          <w:i w:val="0"/>
          <w:color w:val="111827"/>
          <w:sz w:val="22"/>
        </w:rPr>
        <w:t>A review discovers that the policy enforcement point validates a lease but does not re-read the ToolSpec identity used during authorization. A patch that adds one comparison is insufficient.</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Ratchet step</w:t>
            </w:r>
          </w:p>
        </w:tc>
        <w:tc>
          <w:tcPr>
            <w:tcW w:type="dxa" w:w="71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Required action</w:t>
            </w:r>
          </w:p>
        </w:tc>
      </w:tr>
      <w:tr>
        <w:tc>
          <w:tcPr>
            <w:tcW w:type="dxa" w:w="2200"/>
          </w:tcPr>
          <w:p>
            <w:pPr>
              <w:spacing w:after="0" w:line="250" w:lineRule="auto"/>
              <w:jc w:val="left"/>
            </w:pPr>
            <w:r>
              <w:rPr>
                <w:rFonts w:ascii="Calibri" w:hAnsi="Calibri" w:eastAsia="Calibri"/>
                <w:color w:val="111827"/>
                <w:sz w:val="17"/>
              </w:rPr>
              <w:t>Finding</w:t>
            </w:r>
          </w:p>
        </w:tc>
        <w:tc>
          <w:tcPr>
            <w:tcW w:type="dxa" w:w="7160"/>
          </w:tcPr>
          <w:p>
            <w:pPr>
              <w:spacing w:after="0" w:line="250" w:lineRule="auto"/>
              <w:jc w:val="left"/>
            </w:pPr>
            <w:r>
              <w:rPr>
                <w:rFonts w:ascii="Calibri" w:hAnsi="Calibri" w:eastAsia="Calibri"/>
                <w:color w:val="111827"/>
                <w:sz w:val="17"/>
              </w:rPr>
              <w:t>Record that a valid lease can be paired with a substituted ToolSpec identity.</w:t>
            </w:r>
          </w:p>
        </w:tc>
      </w:tr>
      <w:tr>
        <w:tc>
          <w:tcPr>
            <w:tcW w:type="dxa" w:w="2200"/>
            <w:shd w:fill="FBFCFE"/>
          </w:tcPr>
          <w:p>
            <w:pPr>
              <w:spacing w:after="0" w:line="250" w:lineRule="auto"/>
              <w:jc w:val="left"/>
            </w:pPr>
            <w:r>
              <w:rPr>
                <w:rFonts w:ascii="Calibri" w:hAnsi="Calibri" w:eastAsia="Calibri"/>
                <w:color w:val="111827"/>
                <w:sz w:val="17"/>
              </w:rPr>
              <w:t>Invariant</w:t>
            </w:r>
          </w:p>
        </w:tc>
        <w:tc>
          <w:tcPr>
            <w:tcW w:type="dxa" w:w="7160"/>
            <w:shd w:fill="FBFCFE"/>
          </w:tcPr>
          <w:p>
            <w:pPr>
              <w:spacing w:after="0" w:line="250" w:lineRule="auto"/>
              <w:jc w:val="left"/>
            </w:pPr>
            <w:r>
              <w:rPr>
                <w:rFonts w:ascii="Calibri" w:hAnsi="Calibri" w:eastAsia="Calibri"/>
                <w:color w:val="111827"/>
                <w:sz w:val="17"/>
              </w:rPr>
              <w:t>The ToolSpec digest at final PEP must equal the digest bound into the authority chain.</w:t>
            </w:r>
          </w:p>
        </w:tc>
      </w:tr>
      <w:tr>
        <w:tc>
          <w:tcPr>
            <w:tcW w:type="dxa" w:w="2200"/>
          </w:tcPr>
          <w:p>
            <w:pPr>
              <w:spacing w:after="0" w:line="250" w:lineRule="auto"/>
              <w:jc w:val="left"/>
            </w:pPr>
            <w:r>
              <w:rPr>
                <w:rFonts w:ascii="Calibri" w:hAnsi="Calibri" w:eastAsia="Calibri"/>
                <w:color w:val="111827"/>
                <w:sz w:val="17"/>
              </w:rPr>
              <w:t>Regression</w:t>
            </w:r>
          </w:p>
        </w:tc>
        <w:tc>
          <w:tcPr>
            <w:tcW w:type="dxa" w:w="7160"/>
          </w:tcPr>
          <w:p>
            <w:pPr>
              <w:spacing w:after="0" w:line="250" w:lineRule="auto"/>
              <w:jc w:val="left"/>
            </w:pPr>
            <w:r>
              <w:rPr>
                <w:rFonts w:ascii="Calibri" w:hAnsi="Calibri" w:eastAsia="Calibri"/>
                <w:color w:val="111827"/>
                <w:sz w:val="17"/>
              </w:rPr>
              <w:t>Construct a valid-looking lease with a substituted specification; prove that the vulnerable revision accepts it.</w:t>
            </w:r>
          </w:p>
        </w:tc>
      </w:tr>
      <w:tr>
        <w:tc>
          <w:tcPr>
            <w:tcW w:type="dxa" w:w="2200"/>
            <w:shd w:fill="FBFCFE"/>
          </w:tcPr>
          <w:p>
            <w:pPr>
              <w:spacing w:after="0" w:line="250" w:lineRule="auto"/>
              <w:jc w:val="left"/>
            </w:pPr>
            <w:r>
              <w:rPr>
                <w:rFonts w:ascii="Calibri" w:hAnsi="Calibri" w:eastAsia="Calibri"/>
                <w:color w:val="111827"/>
                <w:sz w:val="17"/>
              </w:rPr>
              <w:t>Gate</w:t>
            </w:r>
          </w:p>
        </w:tc>
        <w:tc>
          <w:tcPr>
            <w:tcW w:type="dxa" w:w="7160"/>
            <w:shd w:fill="FBFCFE"/>
          </w:tcPr>
          <w:p>
            <w:pPr>
              <w:spacing w:after="0" w:line="250" w:lineRule="auto"/>
              <w:jc w:val="left"/>
            </w:pPr>
            <w:r>
              <w:rPr>
                <w:rFonts w:ascii="Calibri" w:hAnsi="Calibri" w:eastAsia="Calibri"/>
                <w:color w:val="111827"/>
                <w:sz w:val="17"/>
              </w:rPr>
              <w:t>Attach the regression to deterministic-suite-required and execution TCB coverage.</w:t>
            </w:r>
          </w:p>
        </w:tc>
      </w:tr>
      <w:tr>
        <w:tc>
          <w:tcPr>
            <w:tcW w:type="dxa" w:w="2200"/>
          </w:tcPr>
          <w:p>
            <w:pPr>
              <w:spacing w:after="0" w:line="250" w:lineRule="auto"/>
              <w:jc w:val="left"/>
            </w:pPr>
            <w:r>
              <w:rPr>
                <w:rFonts w:ascii="Calibri" w:hAnsi="Calibri" w:eastAsia="Calibri"/>
                <w:color w:val="111827"/>
                <w:sz w:val="17"/>
              </w:rPr>
              <w:t>Evidence</w:t>
            </w:r>
          </w:p>
        </w:tc>
        <w:tc>
          <w:tcPr>
            <w:tcW w:type="dxa" w:w="7160"/>
          </w:tcPr>
          <w:p>
            <w:pPr>
              <w:spacing w:after="0" w:line="250" w:lineRule="auto"/>
              <w:jc w:val="left"/>
            </w:pPr>
            <w:r>
              <w:rPr>
                <w:rFonts w:ascii="Calibri" w:hAnsi="Calibri" w:eastAsia="Calibri"/>
                <w:color w:val="111827"/>
                <w:sz w:val="17"/>
              </w:rPr>
              <w:t>Store the failing-before/passing-after result with revision and workflow digests.</w:t>
            </w:r>
          </w:p>
        </w:tc>
      </w:tr>
      <w:tr>
        <w:tc>
          <w:tcPr>
            <w:tcW w:type="dxa" w:w="2200"/>
            <w:shd w:fill="FBFCFE"/>
          </w:tcPr>
          <w:p>
            <w:pPr>
              <w:spacing w:after="0" w:line="250" w:lineRule="auto"/>
              <w:jc w:val="left"/>
            </w:pPr>
            <w:r>
              <w:rPr>
                <w:rFonts w:ascii="Calibri" w:hAnsi="Calibri" w:eastAsia="Calibri"/>
                <w:color w:val="111827"/>
                <w:sz w:val="17"/>
              </w:rPr>
              <w:t>Claim state</w:t>
            </w:r>
          </w:p>
        </w:tc>
        <w:tc>
          <w:tcPr>
            <w:tcW w:type="dxa" w:w="7160"/>
            <w:shd w:fill="FBFCFE"/>
          </w:tcPr>
          <w:p>
            <w:pPr>
              <w:spacing w:after="0" w:line="250" w:lineRule="auto"/>
              <w:jc w:val="left"/>
            </w:pPr>
            <w:r>
              <w:rPr>
                <w:rFonts w:ascii="Calibri" w:hAnsi="Calibri" w:eastAsia="Calibri"/>
                <w:color w:val="111827"/>
                <w:sz w:val="17"/>
              </w:rPr>
              <w:t>Limit or supersede any exact-call integrity claim until the new evidence is active.</w:t>
            </w:r>
          </w:p>
        </w:tc>
      </w:tr>
    </w:tbl>
    <w:p>
      <w:pPr>
        <w:spacing w:after="0"/>
      </w:pPr>
    </w:p>
    <w:p>
      <w:pPr>
        <w:pStyle w:val="Heading2"/>
        <w:keepNext/>
        <w:keepLines/>
        <w:ind w:left="0" w:right="0" w:firstLine="0"/>
        <w:jc w:val="left"/>
      </w:pPr>
      <w:r>
        <w:t>10.2 Intermittent dispatch-boundary failure</w:t>
      </w:r>
    </w:p>
    <w:p>
      <w:pPr>
        <w:spacing w:before="0" w:after="120" w:line="264" w:lineRule="auto"/>
      </w:pPr>
      <w:r>
        <w:rPr>
          <w:rFonts w:ascii="Calibri" w:hAnsi="Calibri" w:eastAsia="Calibri"/>
          <w:i w:val="0"/>
          <w:color w:val="111827"/>
          <w:sz w:val="22"/>
        </w:rPr>
        <w:t>A full suite fails intermittently at a remote dispatch boundary. Re-running until green is not assurance. The correct response is to classify whether the instability is product behavior, test synchronization, infrastructure or an invalid deterministic assumption. Until classified, the affected property is INCONCLUSIVE and the release profile remains blocked.</w:t>
      </w:r>
    </w:p>
    <w:p>
      <w:pPr>
        <w:pStyle w:val="Heading2"/>
        <w:keepNext/>
        <w:keepLines/>
        <w:ind w:left="0" w:right="0" w:firstLine="0"/>
        <w:jc w:val="left"/>
      </w:pPr>
      <w:r>
        <w:t>10.3 Stale architecture documentation</w:t>
      </w:r>
    </w:p>
    <w:p>
      <w:pPr>
        <w:spacing w:before="0" w:after="120" w:line="264" w:lineRule="auto"/>
      </w:pPr>
      <w:r>
        <w:rPr>
          <w:rFonts w:ascii="Calibri" w:hAnsi="Calibri" w:eastAsia="Calibri"/>
          <w:i w:val="0"/>
          <w:color w:val="111827"/>
          <w:sz w:val="22"/>
        </w:rPr>
        <w:t>The implementation changes from a symmetric decision token to an asymmetric, custody-separated execution lease, while the paper retains the old mechanism. Documentation fidelity should fail because reviewers would otherwise evaluate a system that no longer exists. The resolution is a revision-bound architecture assertion, not merely a later editorial cleanup.</w:t>
      </w:r>
    </w:p>
    <w:p>
      <w:pPr>
        <w:pStyle w:val="Heading1"/>
        <w:keepNext/>
        <w:keepLines/>
        <w:ind w:left="0" w:right="0" w:firstLine="0"/>
        <w:jc w:val="left"/>
      </w:pPr>
      <w:r>
        <w:t>11. Governance and ownership</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4260"/>
        <w:gridCol w:w="3300"/>
      </w:tblGrid>
      <w:tr>
        <w:trPr>
          <w:tblHeader w:val="true"/>
        </w:trPr>
        <w:tc>
          <w:tcPr>
            <w:tcW w:type="dxa" w:w="18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Role</w:t>
            </w:r>
          </w:p>
        </w:tc>
        <w:tc>
          <w:tcPr>
            <w:tcW w:type="dxa" w:w="42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Accountability</w:t>
            </w:r>
          </w:p>
        </w:tc>
        <w:tc>
          <w:tcPr>
            <w:tcW w:type="dxa" w:w="33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Conflict rule</w:t>
            </w:r>
          </w:p>
        </w:tc>
      </w:tr>
      <w:tr>
        <w:tc>
          <w:tcPr>
            <w:tcW w:type="dxa" w:w="1800"/>
          </w:tcPr>
          <w:p>
            <w:pPr>
              <w:spacing w:after="0" w:line="250" w:lineRule="auto"/>
              <w:jc w:val="left"/>
            </w:pPr>
            <w:r>
              <w:rPr>
                <w:rFonts w:ascii="Calibri" w:hAnsi="Calibri" w:eastAsia="Calibri"/>
                <w:color w:val="111827"/>
                <w:sz w:val="16"/>
              </w:rPr>
              <w:t>Architecture owner</w:t>
            </w:r>
          </w:p>
        </w:tc>
        <w:tc>
          <w:tcPr>
            <w:tcW w:type="dxa" w:w="4260"/>
          </w:tcPr>
          <w:p>
            <w:pPr>
              <w:spacing w:after="0" w:line="250" w:lineRule="auto"/>
              <w:jc w:val="left"/>
            </w:pPr>
            <w:r>
              <w:rPr>
                <w:rFonts w:ascii="Calibri" w:hAnsi="Calibri" w:eastAsia="Calibri"/>
                <w:color w:val="111827"/>
                <w:sz w:val="16"/>
              </w:rPr>
              <w:t>Defines assurance profiles, critical properties and boundary model.</w:t>
            </w:r>
          </w:p>
        </w:tc>
        <w:tc>
          <w:tcPr>
            <w:tcW w:type="dxa" w:w="3300"/>
          </w:tcPr>
          <w:p>
            <w:pPr>
              <w:spacing w:after="0" w:line="250" w:lineRule="auto"/>
              <w:jc w:val="left"/>
            </w:pPr>
            <w:r>
              <w:rPr>
                <w:rFonts w:ascii="Calibri" w:hAnsi="Calibri" w:eastAsia="Calibri"/>
                <w:color w:val="111827"/>
                <w:sz w:val="16"/>
              </w:rPr>
              <w:t>Cannot waive evidence silently through workflow edits.</w:t>
            </w:r>
          </w:p>
        </w:tc>
      </w:tr>
      <w:tr>
        <w:tc>
          <w:tcPr>
            <w:tcW w:type="dxa" w:w="1800"/>
            <w:shd w:fill="FBFCFE"/>
          </w:tcPr>
          <w:p>
            <w:pPr>
              <w:spacing w:after="0" w:line="250" w:lineRule="auto"/>
              <w:jc w:val="left"/>
            </w:pPr>
            <w:r>
              <w:rPr>
                <w:rFonts w:ascii="Calibri" w:hAnsi="Calibri" w:eastAsia="Calibri"/>
                <w:color w:val="111827"/>
                <w:sz w:val="16"/>
              </w:rPr>
              <w:t>Finding owner</w:t>
            </w:r>
          </w:p>
        </w:tc>
        <w:tc>
          <w:tcPr>
            <w:tcW w:type="dxa" w:w="4260"/>
            <w:shd w:fill="FBFCFE"/>
          </w:tcPr>
          <w:p>
            <w:pPr>
              <w:spacing w:after="0" w:line="250" w:lineRule="auto"/>
              <w:jc w:val="left"/>
            </w:pPr>
            <w:r>
              <w:rPr>
                <w:rFonts w:ascii="Calibri" w:hAnsi="Calibri" w:eastAsia="Calibri"/>
                <w:color w:val="111827"/>
                <w:sz w:val="16"/>
              </w:rPr>
              <w:t>Drives invariant, regression, remediation and status update.</w:t>
            </w:r>
          </w:p>
        </w:tc>
        <w:tc>
          <w:tcPr>
            <w:tcW w:type="dxa" w:w="3300"/>
            <w:shd w:fill="FBFCFE"/>
          </w:tcPr>
          <w:p>
            <w:pPr>
              <w:spacing w:after="0" w:line="250" w:lineRule="auto"/>
              <w:jc w:val="left"/>
            </w:pPr>
            <w:r>
              <w:rPr>
                <w:rFonts w:ascii="Calibri" w:hAnsi="Calibri" w:eastAsia="Calibri"/>
                <w:color w:val="111827"/>
                <w:sz w:val="16"/>
              </w:rPr>
              <w:t>May not close without independent evidence.</w:t>
            </w:r>
          </w:p>
        </w:tc>
      </w:tr>
      <w:tr>
        <w:tc>
          <w:tcPr>
            <w:tcW w:type="dxa" w:w="1800"/>
          </w:tcPr>
          <w:p>
            <w:pPr>
              <w:spacing w:after="0" w:line="250" w:lineRule="auto"/>
              <w:jc w:val="left"/>
            </w:pPr>
            <w:r>
              <w:rPr>
                <w:rFonts w:ascii="Calibri" w:hAnsi="Calibri" w:eastAsia="Calibri"/>
                <w:color w:val="111827"/>
                <w:sz w:val="16"/>
              </w:rPr>
              <w:t>Evidence producer owner</w:t>
            </w:r>
          </w:p>
        </w:tc>
        <w:tc>
          <w:tcPr>
            <w:tcW w:type="dxa" w:w="4260"/>
          </w:tcPr>
          <w:p>
            <w:pPr>
              <w:spacing w:after="0" w:line="250" w:lineRule="auto"/>
              <w:jc w:val="left"/>
            </w:pPr>
            <w:r>
              <w:rPr>
                <w:rFonts w:ascii="Calibri" w:hAnsi="Calibri" w:eastAsia="Calibri"/>
                <w:color w:val="111827"/>
                <w:sz w:val="16"/>
              </w:rPr>
              <w:t>Maintains determinism, provenance and documented limitations of a check.</w:t>
            </w:r>
          </w:p>
        </w:tc>
        <w:tc>
          <w:tcPr>
            <w:tcW w:type="dxa" w:w="3300"/>
          </w:tcPr>
          <w:p>
            <w:pPr>
              <w:spacing w:after="0" w:line="250" w:lineRule="auto"/>
              <w:jc w:val="left"/>
            </w:pPr>
            <w:r>
              <w:rPr>
                <w:rFonts w:ascii="Calibri" w:hAnsi="Calibri" w:eastAsia="Calibri"/>
                <w:color w:val="111827"/>
                <w:sz w:val="16"/>
              </w:rPr>
              <w:t>May not self-declare the producer optional.</w:t>
            </w:r>
          </w:p>
        </w:tc>
      </w:tr>
      <w:tr>
        <w:tc>
          <w:tcPr>
            <w:tcW w:type="dxa" w:w="1800"/>
            <w:shd w:fill="FBFCFE"/>
          </w:tcPr>
          <w:p>
            <w:pPr>
              <w:spacing w:after="0" w:line="250" w:lineRule="auto"/>
              <w:jc w:val="left"/>
            </w:pPr>
            <w:r>
              <w:rPr>
                <w:rFonts w:ascii="Calibri" w:hAnsi="Calibri" w:eastAsia="Calibri"/>
                <w:color w:val="111827"/>
                <w:sz w:val="16"/>
              </w:rPr>
              <w:t>Aggregator owner</w:t>
            </w:r>
          </w:p>
        </w:tc>
        <w:tc>
          <w:tcPr>
            <w:tcW w:type="dxa" w:w="4260"/>
            <w:shd w:fill="FBFCFE"/>
          </w:tcPr>
          <w:p>
            <w:pPr>
              <w:spacing w:after="0" w:line="250" w:lineRule="auto"/>
              <w:jc w:val="left"/>
            </w:pPr>
            <w:r>
              <w:rPr>
                <w:rFonts w:ascii="Calibri" w:hAnsi="Calibri" w:eastAsia="Calibri"/>
                <w:color w:val="111827"/>
                <w:sz w:val="16"/>
              </w:rPr>
              <w:t>Maintains stable decision semantics and complete producer resolution.</w:t>
            </w:r>
          </w:p>
        </w:tc>
        <w:tc>
          <w:tcPr>
            <w:tcW w:type="dxa" w:w="3300"/>
            <w:shd w:fill="FBFCFE"/>
          </w:tcPr>
          <w:p>
            <w:pPr>
              <w:spacing w:after="0" w:line="250" w:lineRule="auto"/>
              <w:jc w:val="left"/>
            </w:pPr>
            <w:r>
              <w:rPr>
                <w:rFonts w:ascii="Calibri" w:hAnsi="Calibri" w:eastAsia="Calibri"/>
                <w:color w:val="111827"/>
                <w:sz w:val="16"/>
              </w:rPr>
              <w:t>Must be distinct from arbitrary PR code paths where feasible.</w:t>
            </w:r>
          </w:p>
        </w:tc>
      </w:tr>
      <w:tr>
        <w:tc>
          <w:tcPr>
            <w:tcW w:type="dxa" w:w="1800"/>
          </w:tcPr>
          <w:p>
            <w:pPr>
              <w:spacing w:after="0" w:line="250" w:lineRule="auto"/>
              <w:jc w:val="left"/>
            </w:pPr>
            <w:r>
              <w:rPr>
                <w:rFonts w:ascii="Calibri" w:hAnsi="Calibri" w:eastAsia="Calibri"/>
                <w:color w:val="111827"/>
                <w:sz w:val="16"/>
              </w:rPr>
              <w:t>Independent reviewer</w:t>
            </w:r>
          </w:p>
        </w:tc>
        <w:tc>
          <w:tcPr>
            <w:tcW w:type="dxa" w:w="4260"/>
          </w:tcPr>
          <w:p>
            <w:pPr>
              <w:spacing w:after="0" w:line="250" w:lineRule="auto"/>
              <w:jc w:val="left"/>
            </w:pPr>
            <w:r>
              <w:rPr>
                <w:rFonts w:ascii="Calibri" w:hAnsi="Calibri" w:eastAsia="Calibri"/>
                <w:color w:val="111827"/>
                <w:sz w:val="16"/>
              </w:rPr>
              <w:t>Challenges threat model, test adequacy and claim wording.</w:t>
            </w:r>
          </w:p>
        </w:tc>
        <w:tc>
          <w:tcPr>
            <w:tcW w:type="dxa" w:w="3300"/>
          </w:tcPr>
          <w:p>
            <w:pPr>
              <w:spacing w:after="0" w:line="250" w:lineRule="auto"/>
              <w:jc w:val="left"/>
            </w:pPr>
            <w:r>
              <w:rPr>
                <w:rFonts w:ascii="Calibri" w:hAnsi="Calibri" w:eastAsia="Calibri"/>
                <w:color w:val="111827"/>
                <w:sz w:val="16"/>
              </w:rPr>
              <w:t>Review identity is recorded; unresolved objections remain visible.</w:t>
            </w:r>
          </w:p>
        </w:tc>
      </w:tr>
      <w:tr>
        <w:tc>
          <w:tcPr>
            <w:tcW w:type="dxa" w:w="1800"/>
            <w:shd w:fill="FBFCFE"/>
          </w:tcPr>
          <w:p>
            <w:pPr>
              <w:spacing w:after="0" w:line="250" w:lineRule="auto"/>
              <w:jc w:val="left"/>
            </w:pPr>
            <w:r>
              <w:rPr>
                <w:rFonts w:ascii="Calibri" w:hAnsi="Calibri" w:eastAsia="Calibri"/>
                <w:color w:val="111827"/>
                <w:sz w:val="16"/>
              </w:rPr>
              <w:t>Release authority</w:t>
            </w:r>
          </w:p>
        </w:tc>
        <w:tc>
          <w:tcPr>
            <w:tcW w:type="dxa" w:w="4260"/>
            <w:shd w:fill="FBFCFE"/>
          </w:tcPr>
          <w:p>
            <w:pPr>
              <w:spacing w:after="0" w:line="250" w:lineRule="auto"/>
              <w:jc w:val="left"/>
            </w:pPr>
            <w:r>
              <w:rPr>
                <w:rFonts w:ascii="Calibri" w:hAnsi="Calibri" w:eastAsia="Calibri"/>
                <w:color w:val="111827"/>
                <w:sz w:val="16"/>
              </w:rPr>
              <w:t>Confirms exact revision and evidence bundle before publication.</w:t>
            </w:r>
          </w:p>
        </w:tc>
        <w:tc>
          <w:tcPr>
            <w:tcW w:type="dxa" w:w="3300"/>
            <w:shd w:fill="FBFCFE"/>
          </w:tcPr>
          <w:p>
            <w:pPr>
              <w:spacing w:after="0" w:line="250" w:lineRule="auto"/>
              <w:jc w:val="left"/>
            </w:pPr>
            <w:r>
              <w:rPr>
                <w:rFonts w:ascii="Calibri" w:hAnsi="Calibri" w:eastAsia="Calibri"/>
                <w:color w:val="111827"/>
                <w:sz w:val="16"/>
              </w:rPr>
              <w:t>Cannot infer deployment readiness from merge eligibility alone.</w:t>
            </w:r>
          </w:p>
        </w:tc>
      </w:tr>
    </w:tbl>
    <w:p>
      <w:pPr>
        <w:spacing w:after="0"/>
      </w:pPr>
    </w:p>
    <w:p>
      <w:pPr>
        <w:pStyle w:val="Heading1"/>
        <w:keepNext/>
        <w:keepLines/>
        <w:ind w:left="0" w:right="0" w:firstLine="0"/>
        <w:jc w:val="left"/>
      </w:pPr>
      <w:r>
        <w:t>12. Metrics that matter</w:t>
      </w:r>
    </w:p>
    <w:p>
      <w:pPr>
        <w:spacing w:before="0" w:after="120" w:line="264" w:lineRule="auto"/>
      </w:pPr>
      <w:r>
        <w:rPr>
          <w:rFonts w:ascii="Calibri" w:hAnsi="Calibri" w:eastAsia="Calibri"/>
          <w:i w:val="0"/>
          <w:color w:val="111827"/>
          <w:sz w:val="22"/>
        </w:rPr>
        <w:t>Metrics should reveal assurance health without becoming substitutes for critical-property decisions.</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200"/>
        <w:gridCol w:w="4960"/>
        <w:gridCol w:w="2200"/>
      </w:tblGrid>
      <w:tr>
        <w:trPr>
          <w:tblHeader w:val="true"/>
        </w:trPr>
        <w:tc>
          <w:tcPr>
            <w:tcW w:type="dxa" w:w="22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Metric</w:t>
            </w:r>
          </w:p>
        </w:tc>
        <w:tc>
          <w:tcPr>
            <w:tcW w:type="dxa" w:w="49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Definition</w:t>
            </w:r>
          </w:p>
        </w:tc>
        <w:tc>
          <w:tcPr>
            <w:tcW w:type="dxa" w:w="22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Desired direction</w:t>
            </w:r>
          </w:p>
        </w:tc>
      </w:tr>
      <w:tr>
        <w:tc>
          <w:tcPr>
            <w:tcW w:type="dxa" w:w="2200"/>
          </w:tcPr>
          <w:p>
            <w:pPr>
              <w:spacing w:after="0" w:line="250" w:lineRule="auto"/>
              <w:jc w:val="left"/>
            </w:pPr>
            <w:r>
              <w:rPr>
                <w:rFonts w:ascii="Calibri" w:hAnsi="Calibri" w:eastAsia="Calibri"/>
                <w:color w:val="111827"/>
                <w:sz w:val="16"/>
              </w:rPr>
              <w:t>Claim evidence coverage</w:t>
            </w:r>
          </w:p>
        </w:tc>
        <w:tc>
          <w:tcPr>
            <w:tcW w:type="dxa" w:w="4960"/>
          </w:tcPr>
          <w:p>
            <w:pPr>
              <w:spacing w:after="0" w:line="250" w:lineRule="auto"/>
              <w:jc w:val="left"/>
            </w:pPr>
            <w:r>
              <w:rPr>
                <w:rFonts w:ascii="Calibri" w:hAnsi="Calibri" w:eastAsia="Calibri"/>
                <w:color w:val="111827"/>
                <w:sz w:val="16"/>
              </w:rPr>
              <w:t>Active claims with current, revision-bound evidence / all active claims</w:t>
            </w:r>
          </w:p>
        </w:tc>
        <w:tc>
          <w:tcPr>
            <w:tcW w:type="dxa" w:w="2200"/>
          </w:tcPr>
          <w:p>
            <w:pPr>
              <w:spacing w:after="0" w:line="250" w:lineRule="auto"/>
              <w:jc w:val="left"/>
            </w:pPr>
            <w:r>
              <w:rPr>
                <w:rFonts w:ascii="Calibri" w:hAnsi="Calibri" w:eastAsia="Calibri"/>
                <w:color w:val="111827"/>
                <w:sz w:val="16"/>
              </w:rPr>
              <w:t>Toward 100%</w:t>
            </w:r>
          </w:p>
        </w:tc>
      </w:tr>
      <w:tr>
        <w:tc>
          <w:tcPr>
            <w:tcW w:type="dxa" w:w="2200"/>
            <w:shd w:fill="FBFCFE"/>
          </w:tcPr>
          <w:p>
            <w:pPr>
              <w:spacing w:after="0" w:line="250" w:lineRule="auto"/>
              <w:jc w:val="left"/>
            </w:pPr>
            <w:r>
              <w:rPr>
                <w:rFonts w:ascii="Calibri" w:hAnsi="Calibri" w:eastAsia="Calibri"/>
                <w:color w:val="111827"/>
                <w:sz w:val="16"/>
              </w:rPr>
              <w:t>Escaped regression rate</w:t>
            </w:r>
          </w:p>
        </w:tc>
        <w:tc>
          <w:tcPr>
            <w:tcW w:type="dxa" w:w="4960"/>
            <w:shd w:fill="FBFCFE"/>
          </w:tcPr>
          <w:p>
            <w:pPr>
              <w:spacing w:after="0" w:line="250" w:lineRule="auto"/>
              <w:jc w:val="left"/>
            </w:pPr>
            <w:r>
              <w:rPr>
                <w:rFonts w:ascii="Calibri" w:hAnsi="Calibri" w:eastAsia="Calibri"/>
                <w:color w:val="111827"/>
                <w:sz w:val="16"/>
              </w:rPr>
              <w:t>Previously ratcheted defects observed after protected merge</w:t>
            </w:r>
          </w:p>
        </w:tc>
        <w:tc>
          <w:tcPr>
            <w:tcW w:type="dxa" w:w="2200"/>
            <w:shd w:fill="FBFCFE"/>
          </w:tcPr>
          <w:p>
            <w:pPr>
              <w:spacing w:after="0" w:line="250" w:lineRule="auto"/>
              <w:jc w:val="left"/>
            </w:pPr>
            <w:r>
              <w:rPr>
                <w:rFonts w:ascii="Calibri" w:hAnsi="Calibri" w:eastAsia="Calibri"/>
                <w:color w:val="111827"/>
                <w:sz w:val="16"/>
              </w:rPr>
              <w:t>Toward zero</w:t>
            </w:r>
          </w:p>
        </w:tc>
      </w:tr>
      <w:tr>
        <w:tc>
          <w:tcPr>
            <w:tcW w:type="dxa" w:w="2200"/>
          </w:tcPr>
          <w:p>
            <w:pPr>
              <w:spacing w:after="0" w:line="250" w:lineRule="auto"/>
              <w:jc w:val="left"/>
            </w:pPr>
            <w:r>
              <w:rPr>
                <w:rFonts w:ascii="Calibri" w:hAnsi="Calibri" w:eastAsia="Calibri"/>
                <w:color w:val="111827"/>
                <w:sz w:val="16"/>
              </w:rPr>
              <w:t>Flake budget</w:t>
            </w:r>
          </w:p>
        </w:tc>
        <w:tc>
          <w:tcPr>
            <w:tcW w:type="dxa" w:w="4960"/>
          </w:tcPr>
          <w:p>
            <w:pPr>
              <w:spacing w:after="0" w:line="250" w:lineRule="auto"/>
              <w:jc w:val="left"/>
            </w:pPr>
            <w:r>
              <w:rPr>
                <w:rFonts w:ascii="Calibri" w:hAnsi="Calibri" w:eastAsia="Calibri"/>
                <w:color w:val="111827"/>
                <w:sz w:val="16"/>
              </w:rPr>
              <w:t>Critical runs requiring rerun or producing inconsistent outcomes</w:t>
            </w:r>
          </w:p>
        </w:tc>
        <w:tc>
          <w:tcPr>
            <w:tcW w:type="dxa" w:w="2200"/>
          </w:tcPr>
          <w:p>
            <w:pPr>
              <w:spacing w:after="0" w:line="250" w:lineRule="auto"/>
              <w:jc w:val="left"/>
            </w:pPr>
            <w:r>
              <w:rPr>
                <w:rFonts w:ascii="Calibri" w:hAnsi="Calibri" w:eastAsia="Calibri"/>
                <w:color w:val="111827"/>
                <w:sz w:val="16"/>
              </w:rPr>
              <w:t>Zero for release profile</w:t>
            </w:r>
          </w:p>
        </w:tc>
      </w:tr>
      <w:tr>
        <w:tc>
          <w:tcPr>
            <w:tcW w:type="dxa" w:w="2200"/>
            <w:shd w:fill="FBFCFE"/>
          </w:tcPr>
          <w:p>
            <w:pPr>
              <w:spacing w:after="0" w:line="250" w:lineRule="auto"/>
              <w:jc w:val="left"/>
            </w:pPr>
            <w:r>
              <w:rPr>
                <w:rFonts w:ascii="Calibri" w:hAnsi="Calibri" w:eastAsia="Calibri"/>
                <w:color w:val="111827"/>
                <w:sz w:val="16"/>
              </w:rPr>
              <w:t>Median finding-to-gate time</w:t>
            </w:r>
          </w:p>
        </w:tc>
        <w:tc>
          <w:tcPr>
            <w:tcW w:type="dxa" w:w="4960"/>
            <w:shd w:fill="FBFCFE"/>
          </w:tcPr>
          <w:p>
            <w:pPr>
              <w:spacing w:after="0" w:line="250" w:lineRule="auto"/>
              <w:jc w:val="left"/>
            </w:pPr>
            <w:r>
              <w:rPr>
                <w:rFonts w:ascii="Calibri" w:hAnsi="Calibri" w:eastAsia="Calibri"/>
                <w:color w:val="111827"/>
                <w:sz w:val="16"/>
              </w:rPr>
              <w:t>Time from confirmed finding to required regression protection</w:t>
            </w:r>
          </w:p>
        </w:tc>
        <w:tc>
          <w:tcPr>
            <w:tcW w:type="dxa" w:w="2200"/>
            <w:shd w:fill="FBFCFE"/>
          </w:tcPr>
          <w:p>
            <w:pPr>
              <w:spacing w:after="0" w:line="250" w:lineRule="auto"/>
              <w:jc w:val="left"/>
            </w:pPr>
            <w:r>
              <w:rPr>
                <w:rFonts w:ascii="Calibri" w:hAnsi="Calibri" w:eastAsia="Calibri"/>
                <w:color w:val="111827"/>
                <w:sz w:val="16"/>
              </w:rPr>
              <w:t>Down, without weaker tests</w:t>
            </w:r>
          </w:p>
        </w:tc>
      </w:tr>
      <w:tr>
        <w:tc>
          <w:tcPr>
            <w:tcW w:type="dxa" w:w="2200"/>
          </w:tcPr>
          <w:p>
            <w:pPr>
              <w:spacing w:after="0" w:line="250" w:lineRule="auto"/>
              <w:jc w:val="left"/>
            </w:pPr>
            <w:r>
              <w:rPr>
                <w:rFonts w:ascii="Calibri" w:hAnsi="Calibri" w:eastAsia="Calibri"/>
                <w:color w:val="111827"/>
                <w:sz w:val="16"/>
              </w:rPr>
              <w:t>Open remediation age</w:t>
            </w:r>
          </w:p>
        </w:tc>
        <w:tc>
          <w:tcPr>
            <w:tcW w:type="dxa" w:w="4960"/>
          </w:tcPr>
          <w:p>
            <w:pPr>
              <w:spacing w:after="0" w:line="250" w:lineRule="auto"/>
              <w:jc w:val="left"/>
            </w:pPr>
            <w:r>
              <w:rPr>
                <w:rFonts w:ascii="Calibri" w:hAnsi="Calibri" w:eastAsia="Calibri"/>
                <w:color w:val="111827"/>
                <w:sz w:val="16"/>
              </w:rPr>
              <w:t>Age distribution by severity and affected trust boundary</w:t>
            </w:r>
          </w:p>
        </w:tc>
        <w:tc>
          <w:tcPr>
            <w:tcW w:type="dxa" w:w="2200"/>
          </w:tcPr>
          <w:p>
            <w:pPr>
              <w:spacing w:after="0" w:line="250" w:lineRule="auto"/>
              <w:jc w:val="left"/>
            </w:pPr>
            <w:r>
              <w:rPr>
                <w:rFonts w:ascii="Calibri" w:hAnsi="Calibri" w:eastAsia="Calibri"/>
                <w:color w:val="111827"/>
                <w:sz w:val="16"/>
              </w:rPr>
              <w:t>Down; oldest critical first</w:t>
            </w:r>
          </w:p>
        </w:tc>
      </w:tr>
      <w:tr>
        <w:tc>
          <w:tcPr>
            <w:tcW w:type="dxa" w:w="2200"/>
            <w:shd w:fill="FBFCFE"/>
          </w:tcPr>
          <w:p>
            <w:pPr>
              <w:spacing w:after="0" w:line="250" w:lineRule="auto"/>
              <w:jc w:val="left"/>
            </w:pPr>
            <w:r>
              <w:rPr>
                <w:rFonts w:ascii="Calibri" w:hAnsi="Calibri" w:eastAsia="Calibri"/>
                <w:color w:val="111827"/>
                <w:sz w:val="16"/>
              </w:rPr>
              <w:t>Evidence completeness</w:t>
            </w:r>
          </w:p>
        </w:tc>
        <w:tc>
          <w:tcPr>
            <w:tcW w:type="dxa" w:w="4960"/>
            <w:shd w:fill="FBFCFE"/>
          </w:tcPr>
          <w:p>
            <w:pPr>
              <w:spacing w:after="0" w:line="250" w:lineRule="auto"/>
              <w:jc w:val="left"/>
            </w:pPr>
            <w:r>
              <w:rPr>
                <w:rFonts w:ascii="Calibri" w:hAnsi="Calibri" w:eastAsia="Calibri"/>
                <w:color w:val="111827"/>
                <w:sz w:val="16"/>
              </w:rPr>
              <w:t>Required envelope fields and artifacts present</w:t>
            </w:r>
          </w:p>
        </w:tc>
        <w:tc>
          <w:tcPr>
            <w:tcW w:type="dxa" w:w="2200"/>
            <w:shd w:fill="FBFCFE"/>
          </w:tcPr>
          <w:p>
            <w:pPr>
              <w:spacing w:after="0" w:line="250" w:lineRule="auto"/>
              <w:jc w:val="left"/>
            </w:pPr>
            <w:r>
              <w:rPr>
                <w:rFonts w:ascii="Calibri" w:hAnsi="Calibri" w:eastAsia="Calibri"/>
                <w:color w:val="111827"/>
                <w:sz w:val="16"/>
              </w:rPr>
              <w:t>Toward 100%</w:t>
            </w:r>
          </w:p>
        </w:tc>
      </w:tr>
      <w:tr>
        <w:tc>
          <w:tcPr>
            <w:tcW w:type="dxa" w:w="2200"/>
          </w:tcPr>
          <w:p>
            <w:pPr>
              <w:spacing w:after="0" w:line="250" w:lineRule="auto"/>
              <w:jc w:val="left"/>
            </w:pPr>
            <w:r>
              <w:rPr>
                <w:rFonts w:ascii="Calibri" w:hAnsi="Calibri" w:eastAsia="Calibri"/>
                <w:color w:val="111827"/>
                <w:sz w:val="16"/>
              </w:rPr>
              <w:t>Bypass path count</w:t>
            </w:r>
          </w:p>
        </w:tc>
        <w:tc>
          <w:tcPr>
            <w:tcW w:type="dxa" w:w="4960"/>
          </w:tcPr>
          <w:p>
            <w:pPr>
              <w:spacing w:after="0" w:line="250" w:lineRule="auto"/>
              <w:jc w:val="left"/>
            </w:pPr>
            <w:r>
              <w:rPr>
                <w:rFonts w:ascii="Calibri" w:hAnsi="Calibri" w:eastAsia="Calibri"/>
                <w:color w:val="111827"/>
                <w:sz w:val="16"/>
              </w:rPr>
              <w:t>Known credential or dispatch paths outside enforced boundary</w:t>
            </w:r>
          </w:p>
        </w:tc>
        <w:tc>
          <w:tcPr>
            <w:tcW w:type="dxa" w:w="2200"/>
          </w:tcPr>
          <w:p>
            <w:pPr>
              <w:spacing w:after="0" w:line="250" w:lineRule="auto"/>
              <w:jc w:val="left"/>
            </w:pPr>
            <w:r>
              <w:rPr>
                <w:rFonts w:ascii="Calibri" w:hAnsi="Calibri" w:eastAsia="Calibri"/>
                <w:color w:val="111827"/>
                <w:sz w:val="16"/>
              </w:rPr>
              <w:t>Toward zero or explicit out-of-scope</w:t>
            </w:r>
          </w:p>
        </w:tc>
      </w:tr>
      <w:tr>
        <w:tc>
          <w:tcPr>
            <w:tcW w:type="dxa" w:w="2200"/>
            <w:shd w:fill="FBFCFE"/>
          </w:tcPr>
          <w:p>
            <w:pPr>
              <w:spacing w:after="0" w:line="250" w:lineRule="auto"/>
              <w:jc w:val="left"/>
            </w:pPr>
            <w:r>
              <w:rPr>
                <w:rFonts w:ascii="Calibri" w:hAnsi="Calibri" w:eastAsia="Calibri"/>
                <w:color w:val="111827"/>
                <w:sz w:val="16"/>
              </w:rPr>
              <w:t>Reproduction success</w:t>
            </w:r>
          </w:p>
        </w:tc>
        <w:tc>
          <w:tcPr>
            <w:tcW w:type="dxa" w:w="4960"/>
            <w:shd w:fill="FBFCFE"/>
          </w:tcPr>
          <w:p>
            <w:pPr>
              <w:spacing w:after="0" w:line="250" w:lineRule="auto"/>
              <w:jc w:val="left"/>
            </w:pPr>
            <w:r>
              <w:rPr>
                <w:rFonts w:ascii="Calibri" w:hAnsi="Calibri" w:eastAsia="Calibri"/>
                <w:color w:val="111827"/>
                <w:sz w:val="16"/>
              </w:rPr>
              <w:t>Independent clean-environment runs matching declared results</w:t>
            </w:r>
          </w:p>
        </w:tc>
        <w:tc>
          <w:tcPr>
            <w:tcW w:type="dxa" w:w="2200"/>
            <w:shd w:fill="FBFCFE"/>
          </w:tcPr>
          <w:p>
            <w:pPr>
              <w:spacing w:after="0" w:line="250" w:lineRule="auto"/>
              <w:jc w:val="left"/>
            </w:pPr>
            <w:r>
              <w:rPr>
                <w:rFonts w:ascii="Calibri" w:hAnsi="Calibri" w:eastAsia="Calibri"/>
                <w:color w:val="111827"/>
                <w:sz w:val="16"/>
              </w:rPr>
              <w:t>Up</w:t>
            </w:r>
          </w:p>
        </w:tc>
      </w:tr>
    </w:tbl>
    <w:p>
      <w:pPr>
        <w:spacing w:after="0"/>
      </w:pPr>
    </w:p>
    <w:p>
      <w:pPr>
        <w:pStyle w:val="Heading1"/>
        <w:keepNext/>
        <w:keepLines/>
        <w:ind w:left="0" w:right="0" w:firstLine="0"/>
        <w:jc w:val="left"/>
      </w:pPr>
      <w:r>
        <w:t>13. Maturity model</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700"/>
        <w:gridCol w:w="4500"/>
        <w:gridCol w:w="3160"/>
      </w:tblGrid>
      <w:tr>
        <w:trPr>
          <w:tblHeader w:val="true"/>
        </w:trPr>
        <w:tc>
          <w:tcPr>
            <w:tcW w:type="dxa" w:w="17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Level</w:t>
            </w:r>
          </w:p>
        </w:tc>
        <w:tc>
          <w:tcPr>
            <w:tcW w:type="dxa" w:w="45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Capability</w:t>
            </w:r>
          </w:p>
        </w:tc>
        <w:tc>
          <w:tcPr>
            <w:tcW w:type="dxa" w:w="31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Exit criterion</w:t>
            </w:r>
          </w:p>
        </w:tc>
      </w:tr>
      <w:tr>
        <w:tc>
          <w:tcPr>
            <w:tcW w:type="dxa" w:w="1700"/>
          </w:tcPr>
          <w:p>
            <w:pPr>
              <w:spacing w:after="0" w:line="250" w:lineRule="auto"/>
              <w:jc w:val="left"/>
            </w:pPr>
            <w:r>
              <w:rPr>
                <w:rFonts w:ascii="Calibri" w:hAnsi="Calibri" w:eastAsia="Calibri"/>
                <w:color w:val="111827"/>
                <w:sz w:val="16"/>
              </w:rPr>
              <w:t>0 - Build automation</w:t>
            </w:r>
          </w:p>
        </w:tc>
        <w:tc>
          <w:tcPr>
            <w:tcW w:type="dxa" w:w="4500"/>
          </w:tcPr>
          <w:p>
            <w:pPr>
              <w:spacing w:after="0" w:line="250" w:lineRule="auto"/>
              <w:jc w:val="left"/>
            </w:pPr>
            <w:r>
              <w:rPr>
                <w:rFonts w:ascii="Calibri" w:hAnsi="Calibri" w:eastAsia="Calibri"/>
                <w:color w:val="111827"/>
                <w:sz w:val="16"/>
              </w:rPr>
              <w:t>Code compiles and basic tests run.</w:t>
            </w:r>
          </w:p>
        </w:tc>
        <w:tc>
          <w:tcPr>
            <w:tcW w:type="dxa" w:w="3160"/>
          </w:tcPr>
          <w:p>
            <w:pPr>
              <w:spacing w:after="0" w:line="250" w:lineRule="auto"/>
              <w:jc w:val="left"/>
            </w:pPr>
            <w:r>
              <w:rPr>
                <w:rFonts w:ascii="Calibri" w:hAnsi="Calibri" w:eastAsia="Calibri"/>
                <w:color w:val="111827"/>
                <w:sz w:val="16"/>
              </w:rPr>
              <w:t>Repeatable build.</w:t>
            </w:r>
          </w:p>
        </w:tc>
      </w:tr>
      <w:tr>
        <w:tc>
          <w:tcPr>
            <w:tcW w:type="dxa" w:w="1700"/>
            <w:shd w:fill="FBFCFE"/>
          </w:tcPr>
          <w:p>
            <w:pPr>
              <w:spacing w:after="0" w:line="250" w:lineRule="auto"/>
              <w:jc w:val="left"/>
            </w:pPr>
            <w:r>
              <w:rPr>
                <w:rFonts w:ascii="Calibri" w:hAnsi="Calibri" w:eastAsia="Calibri"/>
                <w:color w:val="111827"/>
                <w:sz w:val="16"/>
              </w:rPr>
              <w:t>1 - Quality CI</w:t>
            </w:r>
          </w:p>
        </w:tc>
        <w:tc>
          <w:tcPr>
            <w:tcW w:type="dxa" w:w="4500"/>
            <w:shd w:fill="FBFCFE"/>
          </w:tcPr>
          <w:p>
            <w:pPr>
              <w:spacing w:after="0" w:line="250" w:lineRule="auto"/>
              <w:jc w:val="left"/>
            </w:pPr>
            <w:r>
              <w:rPr>
                <w:rFonts w:ascii="Calibri" w:hAnsi="Calibri" w:eastAsia="Calibri"/>
                <w:color w:val="111827"/>
                <w:sz w:val="16"/>
              </w:rPr>
              <w:t>Tests, lint and coverage are visible.</w:t>
            </w:r>
          </w:p>
        </w:tc>
        <w:tc>
          <w:tcPr>
            <w:tcW w:type="dxa" w:w="3160"/>
            <w:shd w:fill="FBFCFE"/>
          </w:tcPr>
          <w:p>
            <w:pPr>
              <w:spacing w:after="0" w:line="250" w:lineRule="auto"/>
              <w:jc w:val="left"/>
            </w:pPr>
            <w:r>
              <w:rPr>
                <w:rFonts w:ascii="Calibri" w:hAnsi="Calibri" w:eastAsia="Calibri"/>
                <w:color w:val="111827"/>
                <w:sz w:val="16"/>
              </w:rPr>
              <w:t>Routine regressions are blocked.</w:t>
            </w:r>
          </w:p>
        </w:tc>
      </w:tr>
      <w:tr>
        <w:tc>
          <w:tcPr>
            <w:tcW w:type="dxa" w:w="1700"/>
          </w:tcPr>
          <w:p>
            <w:pPr>
              <w:spacing w:after="0" w:line="250" w:lineRule="auto"/>
              <w:jc w:val="left"/>
            </w:pPr>
            <w:r>
              <w:rPr>
                <w:rFonts w:ascii="Calibri" w:hAnsi="Calibri" w:eastAsia="Calibri"/>
                <w:color w:val="111827"/>
                <w:sz w:val="16"/>
              </w:rPr>
              <w:t>2 - Protected CI</w:t>
            </w:r>
          </w:p>
        </w:tc>
        <w:tc>
          <w:tcPr>
            <w:tcW w:type="dxa" w:w="4500"/>
          </w:tcPr>
          <w:p>
            <w:pPr>
              <w:spacing w:after="0" w:line="250" w:lineRule="auto"/>
              <w:jc w:val="left"/>
            </w:pPr>
            <w:r>
              <w:rPr>
                <w:rFonts w:ascii="Calibri" w:hAnsi="Calibri" w:eastAsia="Calibri"/>
                <w:color w:val="111827"/>
                <w:sz w:val="16"/>
              </w:rPr>
              <w:t>Stable required checks and branch protection exist.</w:t>
            </w:r>
          </w:p>
        </w:tc>
        <w:tc>
          <w:tcPr>
            <w:tcW w:type="dxa" w:w="3160"/>
          </w:tcPr>
          <w:p>
            <w:pPr>
              <w:spacing w:after="0" w:line="250" w:lineRule="auto"/>
              <w:jc w:val="left"/>
            </w:pPr>
            <w:r>
              <w:rPr>
                <w:rFonts w:ascii="Calibri" w:hAnsi="Calibri" w:eastAsia="Calibri"/>
                <w:color w:val="111827"/>
                <w:sz w:val="16"/>
              </w:rPr>
              <w:t>Unreviewed failure cannot merge.</w:t>
            </w:r>
          </w:p>
        </w:tc>
      </w:tr>
      <w:tr>
        <w:tc>
          <w:tcPr>
            <w:tcW w:type="dxa" w:w="1700"/>
            <w:shd w:fill="FBFCFE"/>
          </w:tcPr>
          <w:p>
            <w:pPr>
              <w:spacing w:after="0" w:line="250" w:lineRule="auto"/>
              <w:jc w:val="left"/>
            </w:pPr>
            <w:r>
              <w:rPr>
                <w:rFonts w:ascii="Calibri" w:hAnsi="Calibri" w:eastAsia="Calibri"/>
                <w:color w:val="111827"/>
                <w:sz w:val="16"/>
              </w:rPr>
              <w:t>3 - Assurance CI</w:t>
            </w:r>
          </w:p>
        </w:tc>
        <w:tc>
          <w:tcPr>
            <w:tcW w:type="dxa" w:w="4500"/>
            <w:shd w:fill="FBFCFE"/>
          </w:tcPr>
          <w:p>
            <w:pPr>
              <w:spacing w:after="0" w:line="250" w:lineRule="auto"/>
              <w:jc w:val="left"/>
            </w:pPr>
            <w:r>
              <w:rPr>
                <w:rFonts w:ascii="Calibri" w:hAnsi="Calibri" w:eastAsia="Calibri"/>
                <w:color w:val="111827"/>
                <w:sz w:val="16"/>
              </w:rPr>
              <w:t>Claims, critical invariants and structured evidence drive required aggregators.</w:t>
            </w:r>
          </w:p>
        </w:tc>
        <w:tc>
          <w:tcPr>
            <w:tcW w:type="dxa" w:w="3160"/>
            <w:shd w:fill="FBFCFE"/>
          </w:tcPr>
          <w:p>
            <w:pPr>
              <w:spacing w:after="0" w:line="250" w:lineRule="auto"/>
              <w:jc w:val="left"/>
            </w:pPr>
            <w:r>
              <w:rPr>
                <w:rFonts w:ascii="Calibri" w:hAnsi="Calibri" w:eastAsia="Calibri"/>
                <w:color w:val="111827"/>
                <w:sz w:val="16"/>
              </w:rPr>
              <w:t>Every active critical claim has current evidence.</w:t>
            </w:r>
          </w:p>
        </w:tc>
      </w:tr>
      <w:tr>
        <w:tc>
          <w:tcPr>
            <w:tcW w:type="dxa" w:w="1700"/>
          </w:tcPr>
          <w:p>
            <w:pPr>
              <w:spacing w:after="0" w:line="250" w:lineRule="auto"/>
              <w:jc w:val="left"/>
            </w:pPr>
            <w:r>
              <w:rPr>
                <w:rFonts w:ascii="Calibri" w:hAnsi="Calibri" w:eastAsia="Calibri"/>
                <w:color w:val="111827"/>
                <w:sz w:val="16"/>
              </w:rPr>
              <w:t>4 - Reproducible assurance</w:t>
            </w:r>
          </w:p>
        </w:tc>
        <w:tc>
          <w:tcPr>
            <w:tcW w:type="dxa" w:w="4500"/>
          </w:tcPr>
          <w:p>
            <w:pPr>
              <w:spacing w:after="0" w:line="250" w:lineRule="auto"/>
              <w:jc w:val="left"/>
            </w:pPr>
            <w:r>
              <w:rPr>
                <w:rFonts w:ascii="Calibri" w:hAnsi="Calibri" w:eastAsia="Calibri"/>
                <w:color w:val="111827"/>
                <w:sz w:val="16"/>
              </w:rPr>
              <w:t>Release bundles, content-addressed artifacts and independent replay are routine.</w:t>
            </w:r>
          </w:p>
        </w:tc>
        <w:tc>
          <w:tcPr>
            <w:tcW w:type="dxa" w:w="3160"/>
          </w:tcPr>
          <w:p>
            <w:pPr>
              <w:spacing w:after="0" w:line="250" w:lineRule="auto"/>
              <w:jc w:val="left"/>
            </w:pPr>
            <w:r>
              <w:rPr>
                <w:rFonts w:ascii="Calibri" w:hAnsi="Calibri" w:eastAsia="Calibri"/>
                <w:color w:val="111827"/>
                <w:sz w:val="16"/>
              </w:rPr>
              <w:t>External operator reproduces the declared profile.</w:t>
            </w:r>
          </w:p>
        </w:tc>
      </w:tr>
      <w:tr>
        <w:tc>
          <w:tcPr>
            <w:tcW w:type="dxa" w:w="1700"/>
            <w:shd w:fill="FBFCFE"/>
          </w:tcPr>
          <w:p>
            <w:pPr>
              <w:spacing w:after="0" w:line="250" w:lineRule="auto"/>
              <w:jc w:val="left"/>
            </w:pPr>
            <w:r>
              <w:rPr>
                <w:rFonts w:ascii="Calibri" w:hAnsi="Calibri" w:eastAsia="Calibri"/>
                <w:color w:val="111827"/>
                <w:sz w:val="16"/>
              </w:rPr>
              <w:t>5 - Operational assurance</w:t>
            </w:r>
          </w:p>
        </w:tc>
        <w:tc>
          <w:tcPr>
            <w:tcW w:type="dxa" w:w="4500"/>
            <w:shd w:fill="FBFCFE"/>
          </w:tcPr>
          <w:p>
            <w:pPr>
              <w:spacing w:after="0" w:line="250" w:lineRule="auto"/>
              <w:jc w:val="left"/>
            </w:pPr>
            <w:r>
              <w:rPr>
                <w:rFonts w:ascii="Calibri" w:hAnsi="Calibri" w:eastAsia="Calibri"/>
                <w:color w:val="111827"/>
                <w:sz w:val="16"/>
              </w:rPr>
              <w:t>Deployment identity, live effects and continuous control monitoring extend the evidence chain.</w:t>
            </w:r>
          </w:p>
        </w:tc>
        <w:tc>
          <w:tcPr>
            <w:tcW w:type="dxa" w:w="3160"/>
            <w:shd w:fill="FBFCFE"/>
          </w:tcPr>
          <w:p>
            <w:pPr>
              <w:spacing w:after="0" w:line="250" w:lineRule="auto"/>
              <w:jc w:val="left"/>
            </w:pPr>
            <w:r>
              <w:rPr>
                <w:rFonts w:ascii="Calibri" w:hAnsi="Calibri" w:eastAsia="Calibri"/>
                <w:color w:val="111827"/>
                <w:sz w:val="16"/>
              </w:rPr>
              <w:t>Runtime claims are backed by environment-bound evidence.</w:t>
            </w:r>
          </w:p>
        </w:tc>
      </w:tr>
    </w:tbl>
    <w:p>
      <w:pPr>
        <w:spacing w:after="0"/>
      </w:pPr>
    </w:p>
    <w:p>
      <w:pPr>
        <w:spacing w:before="0" w:after="120" w:line="264" w:lineRule="auto"/>
      </w:pPr>
      <w:r>
        <w:rPr>
          <w:rFonts w:ascii="Calibri" w:hAnsi="Calibri" w:eastAsia="Calibri"/>
          <w:i/>
          <w:color w:val="1F4D78"/>
          <w:sz w:val="22"/>
        </w:rPr>
        <w:t>REMORA is best characterized as approaching Level 4 internally, while independent reproduction and full operational effect verification remain the decisive exit criteria.</w:t>
      </w:r>
    </w:p>
    <w:p>
      <w:pPr>
        <w:pStyle w:val="Heading1"/>
        <w:keepNext/>
        <w:keepLines/>
        <w:ind w:left="0" w:right="0" w:firstLine="0"/>
        <w:jc w:val="left"/>
      </w:pPr>
      <w:r>
        <w:t>14. Implementation roadmap</w:t>
      </w:r>
    </w:p>
    <w:p>
      <w:pPr>
        <w:pStyle w:val="Heading2"/>
        <w:keepNext/>
        <w:keepLines/>
        <w:ind w:left="0" w:right="0" w:firstLine="0"/>
        <w:jc w:val="left"/>
      </w:pPr>
      <w:r>
        <w:t>Phase 1 - Name and bind the architecture</w:t>
      </w:r>
    </w:p>
    <w:p>
      <w:pPr>
        <w:spacing w:after="160" w:line="280" w:lineRule="auto"/>
        <w:numPr>
          <w:ilvl w:val="0"/>
          <w:numId w:val="10"/>
        </w:numPr>
      </w:pPr>
      <w:r>
        <w:rPr>
          <w:rFonts w:ascii="Calibri" w:hAnsi="Calibri" w:eastAsia="Calibri"/>
          <w:color w:val="111827"/>
          <w:sz w:val="22"/>
        </w:rPr>
        <w:t>Create a revision-controlled assurance profile that maps protected surfaces to required producers and claims.</w:t>
      </w:r>
    </w:p>
    <w:p>
      <w:pPr>
        <w:spacing w:after="160" w:line="280" w:lineRule="auto"/>
        <w:numPr>
          <w:ilvl w:val="0"/>
          <w:numId w:val="10"/>
        </w:numPr>
      </w:pPr>
      <w:r>
        <w:rPr>
          <w:rFonts w:ascii="Calibri" w:hAnsi="Calibri" w:eastAsia="Calibri"/>
          <w:color w:val="111827"/>
          <w:sz w:val="22"/>
        </w:rPr>
        <w:t>Define stable schemas for producer results and aggregator receipts.</w:t>
      </w:r>
    </w:p>
    <w:p>
      <w:pPr>
        <w:spacing w:after="160" w:line="280" w:lineRule="auto"/>
        <w:numPr>
          <w:ilvl w:val="0"/>
          <w:numId w:val="10"/>
        </w:numPr>
      </w:pPr>
      <w:r>
        <w:rPr>
          <w:rFonts w:ascii="Calibri" w:hAnsi="Calibri" w:eastAsia="Calibri"/>
          <w:color w:val="111827"/>
          <w:sz w:val="22"/>
        </w:rPr>
        <w:t>Document ownership and prevent workflow changes from silently weakening required contexts.</w:t>
      </w:r>
    </w:p>
    <w:p>
      <w:pPr>
        <w:spacing w:after="160" w:line="280" w:lineRule="auto"/>
        <w:numPr>
          <w:ilvl w:val="0"/>
          <w:numId w:val="10"/>
        </w:numPr>
      </w:pPr>
      <w:r>
        <w:rPr>
          <w:rFonts w:ascii="Calibri" w:hAnsi="Calibri" w:eastAsia="Calibri"/>
          <w:color w:val="111827"/>
          <w:sz w:val="22"/>
        </w:rPr>
        <w:t>Bind paper, architecture and test statistics to a fixed research release SHA.</w:t>
      </w:r>
    </w:p>
    <w:p>
      <w:pPr>
        <w:pStyle w:val="Heading2"/>
        <w:keepNext/>
        <w:keepLines/>
        <w:ind w:left="0" w:right="0" w:firstLine="0"/>
        <w:jc w:val="left"/>
      </w:pPr>
      <w:r>
        <w:t>Phase 2 - Eliminate ambiguous outcomes</w:t>
      </w:r>
    </w:p>
    <w:p>
      <w:pPr>
        <w:spacing w:after="160" w:line="280" w:lineRule="auto"/>
        <w:numPr>
          <w:ilvl w:val="0"/>
          <w:numId w:val="10"/>
        </w:numPr>
      </w:pPr>
      <w:r>
        <w:rPr>
          <w:rFonts w:ascii="Calibri" w:hAnsi="Calibri" w:eastAsia="Calibri"/>
          <w:color w:val="111827"/>
          <w:sz w:val="22"/>
        </w:rPr>
        <w:t>Adopt PASSED, FAILED, BLOCKED, INCONCLUSIVE and NOT_APPLICABLE across assurance producers.</w:t>
      </w:r>
    </w:p>
    <w:p>
      <w:pPr>
        <w:spacing w:after="160" w:line="280" w:lineRule="auto"/>
        <w:numPr>
          <w:ilvl w:val="0"/>
          <w:numId w:val="10"/>
        </w:numPr>
      </w:pPr>
      <w:r>
        <w:rPr>
          <w:rFonts w:ascii="Calibri" w:hAnsi="Calibri" w:eastAsia="Calibri"/>
          <w:color w:val="111827"/>
          <w:sz w:val="22"/>
        </w:rPr>
        <w:t>Fail required aggregators on missing or stale evidence.</w:t>
      </w:r>
    </w:p>
    <w:p>
      <w:pPr>
        <w:spacing w:after="160" w:line="280" w:lineRule="auto"/>
        <w:numPr>
          <w:ilvl w:val="0"/>
          <w:numId w:val="10"/>
        </w:numPr>
      </w:pPr>
      <w:r>
        <w:rPr>
          <w:rFonts w:ascii="Calibri" w:hAnsi="Calibri" w:eastAsia="Calibri"/>
          <w:color w:val="111827"/>
          <w:sz w:val="22"/>
        </w:rPr>
        <w:t>Treat critical flakiness as release-blocking until its cause is classified.</w:t>
      </w:r>
    </w:p>
    <w:p>
      <w:pPr>
        <w:spacing w:after="160" w:line="280" w:lineRule="auto"/>
        <w:numPr>
          <w:ilvl w:val="0"/>
          <w:numId w:val="10"/>
        </w:numPr>
      </w:pPr>
      <w:r>
        <w:rPr>
          <w:rFonts w:ascii="Calibri" w:hAnsi="Calibri" w:eastAsia="Calibri"/>
          <w:color w:val="111827"/>
          <w:sz w:val="22"/>
        </w:rPr>
        <w:t>Emit machine-readable evidence envelopes for all required checks.</w:t>
      </w:r>
    </w:p>
    <w:p>
      <w:pPr>
        <w:pStyle w:val="Heading2"/>
        <w:keepNext/>
        <w:keepLines/>
        <w:ind w:left="0" w:right="0" w:firstLine="0"/>
        <w:jc w:val="left"/>
      </w:pPr>
      <w:r>
        <w:t>Phase 3 - Externalize assurance</w:t>
      </w:r>
    </w:p>
    <w:p>
      <w:pPr>
        <w:spacing w:after="160" w:line="280" w:lineRule="auto"/>
        <w:numPr>
          <w:ilvl w:val="0"/>
          <w:numId w:val="10"/>
        </w:numPr>
      </w:pPr>
      <w:r>
        <w:rPr>
          <w:rFonts w:ascii="Calibri" w:hAnsi="Calibri" w:eastAsia="Calibri"/>
          <w:color w:val="111827"/>
          <w:sz w:val="22"/>
        </w:rPr>
        <w:t>Publish a one-command clean-room reproduction bundle for a fixed release.</w:t>
      </w:r>
    </w:p>
    <w:p>
      <w:pPr>
        <w:spacing w:after="160" w:line="280" w:lineRule="auto"/>
        <w:numPr>
          <w:ilvl w:val="0"/>
          <w:numId w:val="10"/>
        </w:numPr>
      </w:pPr>
      <w:r>
        <w:rPr>
          <w:rFonts w:ascii="Calibri" w:hAnsi="Calibri" w:eastAsia="Calibri"/>
          <w:color w:val="111827"/>
          <w:sz w:val="22"/>
        </w:rPr>
        <w:t>Obtain independent review of threat model, aggregator semantics and high-value regressions.</w:t>
      </w:r>
    </w:p>
    <w:p>
      <w:pPr>
        <w:spacing w:after="160" w:line="280" w:lineRule="auto"/>
        <w:numPr>
          <w:ilvl w:val="0"/>
          <w:numId w:val="10"/>
        </w:numPr>
      </w:pPr>
      <w:r>
        <w:rPr>
          <w:rFonts w:ascii="Calibri" w:hAnsi="Calibri" w:eastAsia="Calibri"/>
          <w:color w:val="111827"/>
          <w:sz w:val="22"/>
        </w:rPr>
        <w:t>Apply the assurance profile to a real tool-interception pilot with external effect read-back.</w:t>
      </w:r>
    </w:p>
    <w:p>
      <w:pPr>
        <w:spacing w:after="160" w:line="280" w:lineRule="auto"/>
        <w:numPr>
          <w:ilvl w:val="0"/>
          <w:numId w:val="10"/>
        </w:numPr>
      </w:pPr>
      <w:r>
        <w:rPr>
          <w:rFonts w:ascii="Calibri" w:hAnsi="Calibri" w:eastAsia="Calibri"/>
          <w:color w:val="111827"/>
          <w:sz w:val="22"/>
        </w:rPr>
        <w:t>Archive manifests, SBOM, results and claims under a persistent research identifier.</w:t>
      </w:r>
    </w:p>
    <w:p>
      <w:pPr>
        <w:pStyle w:val="Heading1"/>
        <w:keepNext/>
        <w:keepLines/>
        <w:ind w:left="0" w:right="0" w:firstLine="0"/>
        <w:jc w:val="left"/>
      </w:pPr>
      <w:r>
        <w:t>15. Acceptance criteria</w:t>
      </w:r>
    </w:p>
    <w:p>
      <w:pPr>
        <w:spacing w:after="160" w:line="280" w:lineRule="auto"/>
        <w:numPr>
          <w:ilvl w:val="0"/>
          <w:numId w:val="10"/>
        </w:numPr>
      </w:pPr>
      <w:r>
        <w:rPr>
          <w:rFonts w:ascii="Calibri" w:hAnsi="Calibri" w:eastAsia="Calibri"/>
          <w:color w:val="111827"/>
          <w:sz w:val="22"/>
        </w:rPr>
        <w:t>[ ] All protected branch rules reference stable required aggregator contexts.</w:t>
      </w:r>
    </w:p>
    <w:p>
      <w:pPr>
        <w:spacing w:after="160" w:line="280" w:lineRule="auto"/>
        <w:numPr>
          <w:ilvl w:val="0"/>
          <w:numId w:val="10"/>
        </w:numPr>
      </w:pPr>
      <w:r>
        <w:rPr>
          <w:rFonts w:ascii="Calibri" w:hAnsi="Calibri" w:eastAsia="Calibri"/>
          <w:color w:val="111827"/>
          <w:sz w:val="22"/>
        </w:rPr>
        <w:t>[ ] The expected producer set is revision-controlled and digest-bound.</w:t>
      </w:r>
    </w:p>
    <w:p>
      <w:pPr>
        <w:spacing w:after="160" w:line="280" w:lineRule="auto"/>
        <w:numPr>
          <w:ilvl w:val="0"/>
          <w:numId w:val="10"/>
        </w:numPr>
      </w:pPr>
      <w:r>
        <w:rPr>
          <w:rFonts w:ascii="Calibri" w:hAnsi="Calibri" w:eastAsia="Calibri"/>
          <w:color w:val="111827"/>
          <w:sz w:val="22"/>
        </w:rPr>
        <w:t>[ ] Critical missing, stale, skipped, cancelled and inconclusive evidence blocks merge.</w:t>
      </w:r>
    </w:p>
    <w:p>
      <w:pPr>
        <w:spacing w:after="160" w:line="280" w:lineRule="auto"/>
        <w:numPr>
          <w:ilvl w:val="0"/>
          <w:numId w:val="10"/>
        </w:numPr>
      </w:pPr>
      <w:r>
        <w:rPr>
          <w:rFonts w:ascii="Calibri" w:hAnsi="Calibri" w:eastAsia="Calibri"/>
          <w:color w:val="111827"/>
          <w:sz w:val="22"/>
        </w:rPr>
        <w:t>[ ] Each active critical claim maps to at least one current evidence producer and explicit scope.</w:t>
      </w:r>
    </w:p>
    <w:p>
      <w:pPr>
        <w:spacing w:after="160" w:line="280" w:lineRule="auto"/>
        <w:numPr>
          <w:ilvl w:val="0"/>
          <w:numId w:val="10"/>
        </w:numPr>
      </w:pPr>
      <w:r>
        <w:rPr>
          <w:rFonts w:ascii="Calibri" w:hAnsi="Calibri" w:eastAsia="Calibri"/>
          <w:color w:val="111827"/>
          <w:sz w:val="22"/>
        </w:rPr>
        <w:t>[ ] Every closed critical finding has a deterministic regression or a documented reason why one is impossible.</w:t>
      </w:r>
    </w:p>
    <w:p>
      <w:pPr>
        <w:spacing w:after="160" w:line="280" w:lineRule="auto"/>
        <w:numPr>
          <w:ilvl w:val="0"/>
          <w:numId w:val="10"/>
        </w:numPr>
      </w:pPr>
      <w:r>
        <w:rPr>
          <w:rFonts w:ascii="Calibri" w:hAnsi="Calibri" w:eastAsia="Calibri"/>
          <w:color w:val="111827"/>
          <w:sz w:val="22"/>
        </w:rPr>
        <w:t>[ ] Component-specific trust-base coverage floors cannot be offset by unrelated coverage.</w:t>
      </w:r>
    </w:p>
    <w:p>
      <w:pPr>
        <w:spacing w:after="160" w:line="280" w:lineRule="auto"/>
        <w:numPr>
          <w:ilvl w:val="0"/>
          <w:numId w:val="10"/>
        </w:numPr>
      </w:pPr>
      <w:r>
        <w:rPr>
          <w:rFonts w:ascii="Calibri" w:hAnsi="Calibri" w:eastAsia="Calibri"/>
          <w:color w:val="111827"/>
          <w:sz w:val="22"/>
        </w:rPr>
        <w:t>[ ] Release artifacts contain revision, workflow, policy and artifact digests.</w:t>
      </w:r>
    </w:p>
    <w:p>
      <w:pPr>
        <w:spacing w:after="160" w:line="280" w:lineRule="auto"/>
        <w:numPr>
          <w:ilvl w:val="0"/>
          <w:numId w:val="10"/>
        </w:numPr>
      </w:pPr>
      <w:r>
        <w:rPr>
          <w:rFonts w:ascii="Calibri" w:hAnsi="Calibri" w:eastAsia="Calibri"/>
          <w:color w:val="111827"/>
          <w:sz w:val="22"/>
        </w:rPr>
        <w:t>[ ] Control pull requests periodically prove that branch protection blocks a deliberately failing required check.</w:t>
      </w:r>
    </w:p>
    <w:p>
      <w:pPr>
        <w:spacing w:after="160" w:line="280" w:lineRule="auto"/>
        <w:numPr>
          <w:ilvl w:val="0"/>
          <w:numId w:val="10"/>
        </w:numPr>
      </w:pPr>
      <w:r>
        <w:rPr>
          <w:rFonts w:ascii="Calibri" w:hAnsi="Calibri" w:eastAsia="Calibri"/>
          <w:color w:val="111827"/>
          <w:sz w:val="22"/>
        </w:rPr>
        <w:t>[ ] Documentation fidelity checks cover architecture, shipped surfaces, limitations and reproduction instructions.</w:t>
      </w:r>
    </w:p>
    <w:p>
      <w:pPr>
        <w:spacing w:after="160" w:line="280" w:lineRule="auto"/>
        <w:numPr>
          <w:ilvl w:val="0"/>
          <w:numId w:val="10"/>
        </w:numPr>
      </w:pPr>
      <w:r>
        <w:rPr>
          <w:rFonts w:ascii="Calibri" w:hAnsi="Calibri" w:eastAsia="Calibri"/>
          <w:color w:val="111827"/>
          <w:sz w:val="22"/>
        </w:rPr>
        <w:t>[ ] An independent operator can reproduce the declared research profile from a fixed release.</w:t>
      </w:r>
    </w:p>
    <w:p>
      <w:pPr>
        <w:pStyle w:val="Heading1"/>
        <w:keepNext/>
        <w:keepLines/>
        <w:ind w:left="0" w:right="0" w:firstLine="0"/>
        <w:jc w:val="left"/>
      </w:pPr>
      <w:r>
        <w:t>16. Research contribution</w:t>
      </w:r>
    </w:p>
    <w:p>
      <w:pPr>
        <w:spacing w:before="0" w:after="120" w:line="264" w:lineRule="auto"/>
      </w:pPr>
      <w:r>
        <w:rPr>
          <w:rFonts w:ascii="Calibri" w:hAnsi="Calibri" w:eastAsia="Calibri"/>
          <w:i w:val="0"/>
          <w:color w:val="111827"/>
          <w:sz w:val="22"/>
        </w:rPr>
        <w:t>Assurance CI can be studied as more than repository hygiene. It is a method for converting empirical falsification into executable governance over future research revisions. The contribution is the explicit separation of evidence production, evidence aggregation, merge enforcement and claim lifecycle, joined by revision-bound receipts.</w:t>
      </w:r>
    </w:p>
    <w:p>
      <w:pPr>
        <w:pStyle w:val="Heading2"/>
        <w:keepNext/>
        <w:keepLines/>
        <w:ind w:left="0" w:right="0" w:firstLine="0"/>
        <w:jc w:val="left"/>
      </w:pPr>
      <w:r>
        <w:t>16.1 Testable hypotheses</w:t>
      </w:r>
    </w:p>
    <w:p>
      <w:pPr>
        <w:spacing w:after="160" w:line="280" w:lineRule="auto"/>
        <w:numPr>
          <w:ilvl w:val="0"/>
          <w:numId w:val="10"/>
        </w:numPr>
      </w:pPr>
      <w:r>
        <w:rPr>
          <w:rFonts w:ascii="Calibri" w:hAnsi="Calibri" w:eastAsia="Calibri"/>
          <w:color w:val="111827"/>
          <w:sz w:val="22"/>
        </w:rPr>
        <w:t>Repositories using an assurance ratchet have fewer recurrences of previously discovered critical failure classes than repositories using conventional regression CI alone.</w:t>
      </w:r>
    </w:p>
    <w:p>
      <w:pPr>
        <w:spacing w:after="160" w:line="280" w:lineRule="auto"/>
        <w:numPr>
          <w:ilvl w:val="0"/>
          <w:numId w:val="10"/>
        </w:numPr>
      </w:pPr>
      <w:r>
        <w:rPr>
          <w:rFonts w:ascii="Calibri" w:hAnsi="Calibri" w:eastAsia="Calibri"/>
          <w:color w:val="111827"/>
          <w:sz w:val="22"/>
        </w:rPr>
        <w:t>Stable required aggregators reduce branch-protection bypass caused by dynamic job names, matrices and workflow refactoring.</w:t>
      </w:r>
    </w:p>
    <w:p>
      <w:pPr>
        <w:spacing w:after="160" w:line="280" w:lineRule="auto"/>
        <w:numPr>
          <w:ilvl w:val="0"/>
          <w:numId w:val="10"/>
        </w:numPr>
      </w:pPr>
      <w:r>
        <w:rPr>
          <w:rFonts w:ascii="Calibri" w:hAnsi="Calibri" w:eastAsia="Calibri"/>
          <w:color w:val="111827"/>
          <w:sz w:val="22"/>
        </w:rPr>
        <w:t>Machine-enforced claim-to-evidence mappings reduce stale or contradicted research assertions after rapid architectural change.</w:t>
      </w:r>
    </w:p>
    <w:p>
      <w:pPr>
        <w:spacing w:after="160" w:line="280" w:lineRule="auto"/>
        <w:numPr>
          <w:ilvl w:val="0"/>
          <w:numId w:val="10"/>
        </w:numPr>
      </w:pPr>
      <w:r>
        <w:rPr>
          <w:rFonts w:ascii="Calibri" w:hAnsi="Calibri" w:eastAsia="Calibri"/>
          <w:color w:val="111827"/>
          <w:sz w:val="22"/>
        </w:rPr>
        <w:t>Explicit INCONCLUSIVE and BLOCKED states reduce false-green releases without requiring every infrastructure failure to be classified as a product defect.</w:t>
      </w:r>
    </w:p>
    <w:p>
      <w:pPr>
        <w:spacing w:after="160" w:line="280" w:lineRule="auto"/>
        <w:numPr>
          <w:ilvl w:val="0"/>
          <w:numId w:val="10"/>
        </w:numPr>
      </w:pPr>
      <w:r>
        <w:rPr>
          <w:rFonts w:ascii="Calibri" w:hAnsi="Calibri" w:eastAsia="Calibri"/>
          <w:color w:val="111827"/>
          <w:sz w:val="22"/>
        </w:rPr>
        <w:t>AI-assisted development achieves higher safe change throughput when prior findings are encoded as merge authority constraints rather than retained primarily in human review memory.</w:t>
      </w:r>
    </w:p>
    <w:p>
      <w:pPr>
        <w:pStyle w:val="Heading2"/>
        <w:keepNext/>
        <w:keepLines/>
        <w:ind w:left="0" w:right="0" w:firstLine="0"/>
        <w:jc w:val="left"/>
      </w:pPr>
      <w:r>
        <w:t>16.2 Evaluation design</w:t>
      </w:r>
    </w:p>
    <w:p>
      <w:pPr>
        <w:spacing w:before="0" w:after="120" w:line="264" w:lineRule="auto"/>
      </w:pPr>
      <w:r>
        <w:rPr>
          <w:rFonts w:ascii="Calibri" w:hAnsi="Calibri" w:eastAsia="Calibri"/>
          <w:i w:val="0"/>
          <w:color w:val="111827"/>
          <w:sz w:val="22"/>
        </w:rPr>
        <w:t>A credible evaluation should compare conventional CI and Assurance CI over matched change histories or controlled seeded defects. Outcomes should include defect recurrence, time to detect, false-green rate, review effort, lead time, flake-induced delay and claim/document drift. External reviewers should attempt workflow bypass, stale-evidence reuse and critical-check omission.</w:t>
      </w:r>
    </w:p>
    <w:p>
      <w:pPr>
        <w:pStyle w:val="Heading1"/>
        <w:keepNext/>
        <w:keepLines/>
        <w:ind w:left="0" w:right="0" w:firstLine="0"/>
        <w:jc w:val="left"/>
      </w:pPr>
      <w:r>
        <w:t>17. Limitations</w:t>
      </w:r>
    </w:p>
    <w:p>
      <w:pPr>
        <w:spacing w:after="160" w:line="280" w:lineRule="auto"/>
        <w:numPr>
          <w:ilvl w:val="0"/>
          <w:numId w:val="10"/>
        </w:numPr>
      </w:pPr>
      <w:r>
        <w:rPr>
          <w:rFonts w:ascii="Calibri" w:hAnsi="Calibri" w:eastAsia="Calibri"/>
          <w:color w:val="111827"/>
          <w:sz w:val="22"/>
        </w:rPr>
        <w:t>Assurance CI can only enforce properties represented by correct checks, evidence policy and protected trust boundaries.</w:t>
      </w:r>
    </w:p>
    <w:p>
      <w:pPr>
        <w:spacing w:after="160" w:line="280" w:lineRule="auto"/>
        <w:numPr>
          <w:ilvl w:val="0"/>
          <w:numId w:val="10"/>
        </w:numPr>
      </w:pPr>
      <w:r>
        <w:rPr>
          <w:rFonts w:ascii="Calibri" w:hAnsi="Calibri" w:eastAsia="Calibri"/>
          <w:color w:val="111827"/>
          <w:sz w:val="22"/>
        </w:rPr>
        <w:t>A large test count does not compensate for missing real-world scenarios, incorrect oracles or bypassable credentials.</w:t>
      </w:r>
    </w:p>
    <w:p>
      <w:pPr>
        <w:spacing w:after="160" w:line="280" w:lineRule="auto"/>
        <w:numPr>
          <w:ilvl w:val="0"/>
          <w:numId w:val="10"/>
        </w:numPr>
      </w:pPr>
      <w:r>
        <w:rPr>
          <w:rFonts w:ascii="Calibri" w:hAnsi="Calibri" w:eastAsia="Calibri"/>
          <w:color w:val="111827"/>
          <w:sz w:val="22"/>
        </w:rPr>
        <w:t>Repository controls do not prove production deployment identity, key custody, availability or external effect without environment-bound evidence.</w:t>
      </w:r>
    </w:p>
    <w:p>
      <w:pPr>
        <w:spacing w:after="160" w:line="280" w:lineRule="auto"/>
        <w:numPr>
          <w:ilvl w:val="0"/>
          <w:numId w:val="10"/>
        </w:numPr>
      </w:pPr>
      <w:r>
        <w:rPr>
          <w:rFonts w:ascii="Calibri" w:hAnsi="Calibri" w:eastAsia="Calibri"/>
          <w:color w:val="111827"/>
          <w:sz w:val="22"/>
        </w:rPr>
        <w:t>Workflow and aggregator code become part of the trusted computing base and require their own review and protection.</w:t>
      </w:r>
    </w:p>
    <w:p>
      <w:pPr>
        <w:spacing w:after="160" w:line="280" w:lineRule="auto"/>
        <w:numPr>
          <w:ilvl w:val="0"/>
          <w:numId w:val="10"/>
        </w:numPr>
      </w:pPr>
      <w:r>
        <w:rPr>
          <w:rFonts w:ascii="Calibri" w:hAnsi="Calibri" w:eastAsia="Calibri"/>
          <w:color w:val="111827"/>
          <w:sz w:val="22"/>
        </w:rPr>
        <w:t>AI-generated tests may reproduce implementation assumptions rather than independent requirements unless reviewers challenge the oracle.</w:t>
      </w:r>
    </w:p>
    <w:p>
      <w:pPr>
        <w:spacing w:after="160" w:line="280" w:lineRule="auto"/>
        <w:numPr>
          <w:ilvl w:val="0"/>
          <w:numId w:val="10"/>
        </w:numPr>
      </w:pPr>
      <w:r>
        <w:rPr>
          <w:rFonts w:ascii="Calibri" w:hAnsi="Calibri" w:eastAsia="Calibri"/>
          <w:color w:val="111827"/>
          <w:sz w:val="22"/>
        </w:rPr>
        <w:t>Independent replication and human oversight remain necessary even when the internal evidence chain is complete.</w:t>
      </w:r>
    </w:p>
    <w:p>
      <w:pPr>
        <w:pStyle w:val="Heading1"/>
        <w:keepNext/>
        <w:keepLines/>
        <w:ind w:left="0" w:right="0" w:firstLine="0"/>
        <w:jc w:val="left"/>
      </w:pPr>
      <w:r>
        <w:t>18. Conclusion</w:t>
      </w:r>
    </w:p>
    <w:p>
      <w:pPr>
        <w:spacing w:before="0" w:after="120" w:line="264" w:lineRule="auto"/>
      </w:pPr>
      <w:r>
        <w:rPr>
          <w:rFonts w:ascii="Calibri" w:hAnsi="Calibri" w:eastAsia="Calibri"/>
          <w:i w:val="0"/>
          <w:color w:val="111827"/>
          <w:sz w:val="22"/>
        </w:rPr>
        <w:t>Assurance CI explains how REMORA can sustain unusually high development velocity without relying on one maintainer to remember every prior failure and architectural decision. Its value is not the number of jobs. Its value is that discoveries change the future merge contract.</w:t>
      </w:r>
    </w:p>
    <w:p>
      <w:pPr>
        <w:spacing w:before="0" w:after="120" w:line="264" w:lineRule="auto"/>
      </w:pPr>
      <w:r>
        <w:rPr>
          <w:rFonts w:ascii="Calibri" w:hAnsi="Calibri" w:eastAsia="Calibri"/>
          <w:i w:val="0"/>
          <w:color w:val="111827"/>
          <w:sz w:val="22"/>
        </w:rPr>
        <w:t>The architecture should be treated as a first-class REMORA subsystem and a candidate research contribution. The next step is to formalize the evidence schema and assurance profile, then validate the method through independent reproduction and deliberate attempts to bypass its merge authority.</w:t>
      </w:r>
    </w:p>
    <w:tbl>
      <w:tblPr>
        <w:tblW w:type="dxa" w:w="9360"/>
        <w:tblLayout w:type="fixed"/>
        <w:tblLook w:firstColumn="1" w:firstRow="1" w:lastColumn="0" w:lastRow="0" w:noHBand="0" w:noVBand="1" w:val="04A0"/>
        <w:tblInd w:w="120" w:type="dxa"/>
        <w:tblBorders>
          <w:top w:val="single" w:sz="4" w:space="0" w:color="EAF7F1"/>
          <w:left w:val="single" w:sz="4" w:space="0" w:color="EAF7F1"/>
          <w:bottom w:val="single" w:sz="4" w:space="0" w:color="EAF7F1"/>
          <w:right w:val="single" w:sz="4" w:space="0" w:color="EAF7F1"/>
          <w:insideH w:val="single" w:sz="4" w:space="0" w:color="EAF7F1"/>
          <w:insideV w:val="single" w:sz="4" w:space="0" w:color="EAF7F1"/>
        </w:tblBorders>
      </w:tblPr>
      <w:tblGrid>
        <w:gridCol w:w="9360"/>
      </w:tblGrid>
      <w:tr>
        <w:trPr>
          <w:cantSplit/>
        </w:trPr>
        <w:tc>
          <w:tcPr>
            <w:tcW w:type="dxa" w:w="9360"/>
            <w:tcMar>
              <w:top w:w="150" w:type="dxa"/>
              <w:start w:w="190" w:type="dxa"/>
              <w:bottom w:w="150" w:type="dxa"/>
              <w:end w:w="190" w:type="dxa"/>
            </w:tcMar>
            <w:vAlign w:val="center"/>
            <w:shd w:fill="EAF7F1"/>
            <w:tcBorders>
              <w:left w:val="single" w:sz="24" w:color="176B4D"/>
            </w:tcBorders>
          </w:tcPr>
          <w:p>
            <w:pPr>
              <w:spacing w:after="0" w:line="259" w:lineRule="auto"/>
            </w:pPr>
            <w:r>
              <w:rPr>
                <w:rFonts w:ascii="Calibri" w:hAnsi="Calibri" w:eastAsia="Calibri"/>
                <w:b/>
                <w:color w:val="176B4D"/>
                <w:sz w:val="20"/>
              </w:rPr>
              <w:t xml:space="preserve">FINAL PRINCIPLE  </w:t>
            </w:r>
            <w:r>
              <w:rPr>
                <w:rFonts w:ascii="Calibri" w:hAnsi="Calibri" w:eastAsia="Calibri"/>
                <w:color w:val="111827"/>
                <w:sz w:val="21"/>
              </w:rPr>
              <w:t>The repository becomes safer when every serious failure leaves behind a stronger rule than the patch that fixed it.</w:t>
            </w:r>
          </w:p>
        </w:tc>
      </w:tr>
    </w:tbl>
    <w:p>
      <w:pPr>
        <w:spacing w:after="0" w:before="0"/>
      </w:pPr>
    </w:p>
    <w:p>
      <w:pPr>
        <w:pStyle w:val="Heading1"/>
        <w:keepNext/>
        <w:keepLines/>
        <w:pageBreakBefore/>
        <w:ind w:left="0" w:right="0" w:firstLine="0"/>
        <w:jc w:val="left"/>
      </w:pPr>
      <w:r>
        <w:t>Appendix A - Proposed repository artifacts</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rPr>
          <w:cantSplit/>
        </w:trPr>
        <w:tc>
          <w:tcPr>
            <w:tcW w:type="dxa" w:w="9360"/>
            <w:tcMar>
              <w:top w:w="140" w:type="dxa"/>
              <w:start w:w="180" w:type="dxa"/>
              <w:bottom w:w="140" w:type="dxa"/>
              <w:end w:w="180" w:type="dxa"/>
            </w:tcMar>
            <w:vAlign w:val="center"/>
            <w:shd w:fill="F8FAFC"/>
          </w:tcPr>
          <w:p>
            <w:pPr>
              <w:spacing w:after="0" w:line="240" w:lineRule="auto"/>
            </w:pPr>
            <w:r>
              <w:rPr>
                <w:rFonts w:ascii="Consolas" w:hAnsi="Consolas" w:eastAsia="Consolas"/>
                <w:color w:val="243447"/>
                <w:sz w:val="17"/>
              </w:rPr>
              <w:t>docs/assurance/ASSURANCE_CI_ARCHITECTURE.md</w:t>
            </w:r>
            <w:r>
              <w:br/>
            </w:r>
            <w:r>
              <w:rPr>
                <w:rFonts w:ascii="Consolas" w:hAnsi="Consolas" w:eastAsia="Consolas"/>
                <w:color w:val="243447"/>
                <w:sz w:val="17"/>
              </w:rPr>
              <w:t>docs/assurance/assurance_profile.schema.json</w:t>
            </w:r>
            <w:r>
              <w:br/>
            </w:r>
            <w:r>
              <w:rPr>
                <w:rFonts w:ascii="Consolas" w:hAnsi="Consolas" w:eastAsia="Consolas"/>
                <w:color w:val="243447"/>
                <w:sz w:val="17"/>
              </w:rPr>
              <w:t>docs/assurance/evidence_envelope.schema.json</w:t>
            </w:r>
            <w:r>
              <w:br/>
            </w:r>
            <w:r>
              <w:rPr>
                <w:rFonts w:ascii="Consolas" w:hAnsi="Consolas" w:eastAsia="Consolas"/>
                <w:color w:val="243447"/>
                <w:sz w:val="17"/>
              </w:rPr>
              <w:t>docs/assurance/aggregation_receipt.schema.json</w:t>
            </w:r>
            <w:r>
              <w:br/>
            </w:r>
            <w:r>
              <w:rPr>
                <w:rFonts w:ascii="Consolas" w:hAnsi="Consolas" w:eastAsia="Consolas"/>
                <w:color w:val="243447"/>
                <w:sz w:val="17"/>
              </w:rPr>
              <w:t>.github/assurance/profiles/research-release-v1.yaml</w:t>
            </w:r>
            <w:r>
              <w:br/>
            </w:r>
            <w:r>
              <w:rPr>
                <w:rFonts w:ascii="Consolas" w:hAnsi="Consolas" w:eastAsia="Consolas"/>
                <w:color w:val="243447"/>
                <w:sz w:val="17"/>
              </w:rPr>
              <w:t>.github/workflows/quality-gates-required.yml</w:t>
            </w:r>
            <w:r>
              <w:br/>
            </w:r>
            <w:r>
              <w:rPr>
                <w:rFonts w:ascii="Consolas" w:hAnsi="Consolas" w:eastAsia="Consolas"/>
                <w:color w:val="243447"/>
                <w:sz w:val="17"/>
              </w:rPr>
              <w:t>.github/workflows/deterministic-suite-required.yml</w:t>
            </w:r>
            <w:r>
              <w:br/>
            </w:r>
            <w:r>
              <w:rPr>
                <w:rFonts w:ascii="Consolas" w:hAnsi="Consolas" w:eastAsia="Consolas"/>
                <w:color w:val="243447"/>
                <w:sz w:val="17"/>
              </w:rPr>
              <w:t>.github/workflows/supply-chain-required.yml</w:t>
            </w:r>
            <w:r>
              <w:br/>
            </w:r>
            <w:r>
              <w:rPr>
                <w:rFonts w:ascii="Consolas" w:hAnsi="Consolas" w:eastAsia="Consolas"/>
                <w:color w:val="243447"/>
                <w:sz w:val="17"/>
              </w:rPr>
              <w:t>.github/workflows/codeql-required.yml</w:t>
            </w:r>
            <w:r>
              <w:br/>
            </w:r>
            <w:r>
              <w:rPr>
                <w:rFonts w:ascii="Consolas" w:hAnsi="Consolas" w:eastAsia="Consolas"/>
                <w:color w:val="243447"/>
                <w:sz w:val="17"/>
              </w:rPr>
              <w:t>.github/workflows/shadow-replay.yml</w:t>
            </w:r>
            <w:r>
              <w:br/>
            </w:r>
            <w:r>
              <w:rPr>
                <w:rFonts w:ascii="Consolas" w:hAnsi="Consolas" w:eastAsia="Consolas"/>
                <w:color w:val="243447"/>
                <w:sz w:val="17"/>
              </w:rPr>
              <w:t>scripts/verify_assurance_bundle.py</w:t>
            </w:r>
            <w:r>
              <w:br/>
            </w:r>
            <w:r>
              <w:rPr>
                <w:rFonts w:ascii="Consolas" w:hAnsi="Consolas" w:eastAsia="Consolas"/>
                <w:color w:val="243447"/>
                <w:sz w:val="17"/>
              </w:rPr>
              <w:t>artifacts/assurance/&lt;revision&gt;/manifest.json</w:t>
            </w:r>
          </w:p>
        </w:tc>
      </w:tr>
    </w:tbl>
    <w:p>
      <w:pPr>
        <w:spacing w:after="0"/>
      </w:pPr>
    </w:p>
    <w:p>
      <w:pPr>
        <w:pStyle w:val="Heading1"/>
        <w:keepNext/>
        <w:keepLines/>
        <w:ind w:left="0" w:right="0" w:firstLine="0"/>
        <w:jc w:val="left"/>
      </w:pPr>
      <w:r>
        <w:t>Appendix B - Proposed research-release profile</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rPr>
          <w:cantSplit/>
        </w:trPr>
        <w:tc>
          <w:tcPr>
            <w:tcW w:type="dxa" w:w="9360"/>
            <w:tcMar>
              <w:top w:w="140" w:type="dxa"/>
              <w:start w:w="180" w:type="dxa"/>
              <w:bottom w:w="140" w:type="dxa"/>
              <w:end w:w="180" w:type="dxa"/>
            </w:tcMar>
            <w:vAlign w:val="center"/>
            <w:shd w:fill="F8FAFC"/>
          </w:tcPr>
          <w:p>
            <w:pPr>
              <w:spacing w:after="0" w:line="240" w:lineRule="auto"/>
            </w:pPr>
            <w:r>
              <w:rPr>
                <w:rFonts w:ascii="Consolas" w:hAnsi="Consolas" w:eastAsia="Consolas"/>
                <w:color w:val="243447"/>
                <w:sz w:val="17"/>
              </w:rPr>
              <w:t>profile: research-release-v1</w:t>
            </w:r>
            <w:r>
              <w:br/>
            </w:r>
            <w:r>
              <w:rPr>
                <w:rFonts w:ascii="Consolas" w:hAnsi="Consolas" w:eastAsia="Consolas"/>
                <w:color w:val="243447"/>
                <w:sz w:val="17"/>
              </w:rPr>
              <w:t>revision_binding: exact_commit</w:t>
            </w:r>
            <w:r>
              <w:br/>
            </w:r>
            <w:r>
              <w:rPr>
                <w:rFonts w:ascii="Consolas" w:hAnsi="Consolas" w:eastAsia="Consolas"/>
                <w:color w:val="243447"/>
                <w:sz w:val="17"/>
              </w:rPr>
              <w:t>failure_posture: fail_closed</w:t>
            </w:r>
            <w:r>
              <w:br/>
            </w:r>
            <w:r>
              <w:rPr>
                <w:rFonts w:ascii="Consolas" w:hAnsi="Consolas" w:eastAsia="Consolas"/>
                <w:color w:val="243447"/>
                <w:sz w:val="17"/>
              </w:rPr>
            </w:r>
            <w:r>
              <w:br/>
            </w:r>
            <w:r>
              <w:rPr>
                <w:rFonts w:ascii="Consolas" w:hAnsi="Consolas" w:eastAsia="Consolas"/>
                <w:color w:val="243447"/>
                <w:sz w:val="17"/>
              </w:rPr>
              <w:t>required_aggregators:</w:t>
            </w:r>
            <w:r>
              <w:br/>
            </w:r>
            <w:r>
              <w:rPr>
                <w:rFonts w:ascii="Consolas" w:hAnsi="Consolas" w:eastAsia="Consolas"/>
                <w:color w:val="243447"/>
                <w:sz w:val="17"/>
              </w:rPr>
              <w:t xml:space="preserve">  - quality-gates-required</w:t>
            </w:r>
            <w:r>
              <w:br/>
            </w:r>
            <w:r>
              <w:rPr>
                <w:rFonts w:ascii="Consolas" w:hAnsi="Consolas" w:eastAsia="Consolas"/>
                <w:color w:val="243447"/>
                <w:sz w:val="17"/>
              </w:rPr>
              <w:t xml:space="preserve">  - deterministic-suite-required</w:t>
            </w:r>
            <w:r>
              <w:br/>
            </w:r>
            <w:r>
              <w:rPr>
                <w:rFonts w:ascii="Consolas" w:hAnsi="Consolas" w:eastAsia="Consolas"/>
                <w:color w:val="243447"/>
                <w:sz w:val="17"/>
              </w:rPr>
              <w:t xml:space="preserve">  - supply-chain-required</w:t>
            </w:r>
            <w:r>
              <w:br/>
            </w:r>
            <w:r>
              <w:rPr>
                <w:rFonts w:ascii="Consolas" w:hAnsi="Consolas" w:eastAsia="Consolas"/>
                <w:color w:val="243447"/>
                <w:sz w:val="17"/>
              </w:rPr>
              <w:t xml:space="preserve">  - codeql-required</w:t>
            </w:r>
            <w:r>
              <w:br/>
            </w:r>
            <w:r>
              <w:rPr>
                <w:rFonts w:ascii="Consolas" w:hAnsi="Consolas" w:eastAsia="Consolas"/>
                <w:color w:val="243447"/>
                <w:sz w:val="17"/>
              </w:rPr>
              <w:t xml:space="preserve">  - shadow-replay</w:t>
            </w:r>
            <w:r>
              <w:br/>
            </w:r>
            <w:r>
              <w:rPr>
                <w:rFonts w:ascii="Consolas" w:hAnsi="Consolas" w:eastAsia="Consolas"/>
                <w:color w:val="243447"/>
                <w:sz w:val="17"/>
              </w:rPr>
            </w:r>
            <w:r>
              <w:br/>
            </w:r>
            <w:r>
              <w:rPr>
                <w:rFonts w:ascii="Consolas" w:hAnsi="Consolas" w:eastAsia="Consolas"/>
                <w:color w:val="243447"/>
                <w:sz w:val="17"/>
              </w:rPr>
              <w:t>critical_outcomes_allowed: [PASSED]</w:t>
            </w:r>
            <w:r>
              <w:br/>
            </w:r>
            <w:r>
              <w:rPr>
                <w:rFonts w:ascii="Consolas" w:hAnsi="Consolas" w:eastAsia="Consolas"/>
                <w:color w:val="243447"/>
                <w:sz w:val="17"/>
              </w:rPr>
              <w:t>non_success_outcomes:</w:t>
            </w:r>
            <w:r>
              <w:br/>
            </w:r>
            <w:r>
              <w:rPr>
                <w:rFonts w:ascii="Consolas" w:hAnsi="Consolas" w:eastAsia="Consolas"/>
                <w:color w:val="243447"/>
                <w:sz w:val="17"/>
              </w:rPr>
              <w:t xml:space="preserve">  FAILED: block</w:t>
            </w:r>
            <w:r>
              <w:br/>
            </w:r>
            <w:r>
              <w:rPr>
                <w:rFonts w:ascii="Consolas" w:hAnsi="Consolas" w:eastAsia="Consolas"/>
                <w:color w:val="243447"/>
                <w:sz w:val="17"/>
              </w:rPr>
              <w:t xml:space="preserve">  BLOCKED: block</w:t>
            </w:r>
            <w:r>
              <w:br/>
            </w:r>
            <w:r>
              <w:rPr>
                <w:rFonts w:ascii="Consolas" w:hAnsi="Consolas" w:eastAsia="Consolas"/>
                <w:color w:val="243447"/>
                <w:sz w:val="17"/>
              </w:rPr>
              <w:t xml:space="preserve">  INCONCLUSIVE: block</w:t>
            </w:r>
            <w:r>
              <w:br/>
            </w:r>
            <w:r>
              <w:rPr>
                <w:rFonts w:ascii="Consolas" w:hAnsi="Consolas" w:eastAsia="Consolas"/>
                <w:color w:val="243447"/>
                <w:sz w:val="17"/>
              </w:rPr>
              <w:t xml:space="preserve">  NOT_APPLICABLE: require_signed_applicability_decision</w:t>
            </w:r>
            <w:r>
              <w:br/>
            </w:r>
            <w:r>
              <w:rPr>
                <w:rFonts w:ascii="Consolas" w:hAnsi="Consolas" w:eastAsia="Consolas"/>
                <w:color w:val="243447"/>
                <w:sz w:val="17"/>
              </w:rPr>
            </w:r>
            <w:r>
              <w:br/>
            </w:r>
            <w:r>
              <w:rPr>
                <w:rFonts w:ascii="Consolas" w:hAnsi="Consolas" w:eastAsia="Consolas"/>
                <w:color w:val="243447"/>
                <w:sz w:val="17"/>
              </w:rPr>
              <w:t>evidence:</w:t>
            </w:r>
            <w:r>
              <w:br/>
            </w:r>
            <w:r>
              <w:rPr>
                <w:rFonts w:ascii="Consolas" w:hAnsi="Consolas" w:eastAsia="Consolas"/>
                <w:color w:val="243447"/>
                <w:sz w:val="17"/>
              </w:rPr>
              <w:t xml:space="preserve">  require_workflow_digest: true</w:t>
            </w:r>
            <w:r>
              <w:br/>
            </w:r>
            <w:r>
              <w:rPr>
                <w:rFonts w:ascii="Consolas" w:hAnsi="Consolas" w:eastAsia="Consolas"/>
                <w:color w:val="243447"/>
                <w:sz w:val="17"/>
              </w:rPr>
              <w:t xml:space="preserve">  require_policy_digest: true</w:t>
            </w:r>
            <w:r>
              <w:br/>
            </w:r>
            <w:r>
              <w:rPr>
                <w:rFonts w:ascii="Consolas" w:hAnsi="Consolas" w:eastAsia="Consolas"/>
                <w:color w:val="243447"/>
                <w:sz w:val="17"/>
              </w:rPr>
              <w:t xml:space="preserve">  require_artifact_digests: true</w:t>
            </w:r>
            <w:r>
              <w:br/>
            </w:r>
            <w:r>
              <w:rPr>
                <w:rFonts w:ascii="Consolas" w:hAnsi="Consolas" w:eastAsia="Consolas"/>
                <w:color w:val="243447"/>
                <w:sz w:val="17"/>
              </w:rPr>
              <w:t xml:space="preserve">  require_claim_mapping: true</w:t>
            </w:r>
            <w:r>
              <w:br/>
            </w:r>
            <w:r>
              <w:rPr>
                <w:rFonts w:ascii="Consolas" w:hAnsi="Consolas" w:eastAsia="Consolas"/>
                <w:color w:val="243447"/>
                <w:sz w:val="17"/>
              </w:rPr>
              <w:t xml:space="preserve">  retention: permanent_for_release</w:t>
            </w:r>
          </w:p>
        </w:tc>
      </w:tr>
    </w:tbl>
    <w:p>
      <w:pPr>
        <w:spacing w:after="0"/>
      </w:pPr>
    </w:p>
    <w:p>
      <w:pPr>
        <w:pStyle w:val="Heading1"/>
        <w:keepNext/>
        <w:keepLines/>
        <w:ind w:left="0" w:right="0" w:firstLine="0"/>
        <w:jc w:val="left"/>
      </w:pPr>
      <w:r>
        <w:t>Appendix C - Reference alignment</w:t>
      </w:r>
    </w:p>
    <w:p>
      <w:pPr>
        <w:spacing w:before="0" w:after="120" w:line="264" w:lineRule="auto"/>
      </w:pPr>
      <w:r>
        <w:rPr>
          <w:rFonts w:ascii="Calibri" w:hAnsi="Calibri" w:eastAsia="Calibri"/>
          <w:i w:val="0"/>
          <w:color w:val="111827"/>
          <w:sz w:val="22"/>
        </w:rPr>
        <w:t>Assurance CI complements, but does not replace, established secure-development and supply-chain frameworks. Its distinctive focus is the repository-level relationship between failure discovery, critical invariants, claim lifecycle, stable merge authority and revision-bound research evidence.</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600"/>
        <w:gridCol w:w="3060"/>
        <w:gridCol w:w="3700"/>
      </w:tblGrid>
      <w:tr>
        <w:trPr>
          <w:tblHeader w:val="true"/>
        </w:trPr>
        <w:tc>
          <w:tcPr>
            <w:tcW w:type="dxa" w:w="26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Reference</w:t>
            </w:r>
          </w:p>
        </w:tc>
        <w:tc>
          <w:tcPr>
            <w:tcW w:type="dxa" w:w="30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Relevant concept</w:t>
            </w:r>
          </w:p>
        </w:tc>
        <w:tc>
          <w:tcPr>
            <w:tcW w:type="dxa" w:w="370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Assurance CI extension</w:t>
            </w:r>
          </w:p>
        </w:tc>
      </w:tr>
      <w:tr>
        <w:tc>
          <w:tcPr>
            <w:tcW w:type="dxa" w:w="2600"/>
          </w:tcPr>
          <w:p>
            <w:pPr>
              <w:spacing w:after="0" w:line="250" w:lineRule="auto"/>
              <w:jc w:val="left"/>
            </w:pPr>
            <w:r>
              <w:rPr>
                <w:rFonts w:ascii="Calibri" w:hAnsi="Calibri" w:eastAsia="Calibri"/>
                <w:color w:val="111827"/>
                <w:sz w:val="16"/>
              </w:rPr>
              <w:t>NIST SP 800-218, Secure Software Development Framework</w:t>
            </w:r>
          </w:p>
        </w:tc>
        <w:tc>
          <w:tcPr>
            <w:tcW w:type="dxa" w:w="3060"/>
          </w:tcPr>
          <w:p>
            <w:pPr>
              <w:spacing w:after="0" w:line="250" w:lineRule="auto"/>
              <w:jc w:val="left"/>
            </w:pPr>
            <w:r>
              <w:rPr>
                <w:rFonts w:ascii="Calibri" w:hAnsi="Calibri" w:eastAsia="Calibri"/>
                <w:color w:val="111827"/>
                <w:sz w:val="16"/>
              </w:rPr>
              <w:t>Secure development practices and vulnerability response</w:t>
            </w:r>
          </w:p>
        </w:tc>
        <w:tc>
          <w:tcPr>
            <w:tcW w:type="dxa" w:w="3700"/>
          </w:tcPr>
          <w:p>
            <w:pPr>
              <w:spacing w:after="0" w:line="250" w:lineRule="auto"/>
              <w:jc w:val="left"/>
            </w:pPr>
            <w:r>
              <w:rPr>
                <w:rFonts w:ascii="Calibri" w:hAnsi="Calibri" w:eastAsia="Calibri"/>
                <w:color w:val="111827"/>
                <w:sz w:val="16"/>
              </w:rPr>
              <w:t>Expresses closure as a required evidence and merge contract.</w:t>
            </w:r>
          </w:p>
        </w:tc>
      </w:tr>
      <w:tr>
        <w:tc>
          <w:tcPr>
            <w:tcW w:type="dxa" w:w="2600"/>
            <w:shd w:fill="FBFCFE"/>
          </w:tcPr>
          <w:p>
            <w:pPr>
              <w:spacing w:after="0" w:line="250" w:lineRule="auto"/>
              <w:jc w:val="left"/>
            </w:pPr>
            <w:r>
              <w:rPr>
                <w:rFonts w:ascii="Calibri" w:hAnsi="Calibri" w:eastAsia="Calibri"/>
                <w:color w:val="111827"/>
                <w:sz w:val="16"/>
              </w:rPr>
              <w:t>NIST AI Risk Management Framework</w:t>
            </w:r>
          </w:p>
        </w:tc>
        <w:tc>
          <w:tcPr>
            <w:tcW w:type="dxa" w:w="3060"/>
            <w:shd w:fill="FBFCFE"/>
          </w:tcPr>
          <w:p>
            <w:pPr>
              <w:spacing w:after="0" w:line="250" w:lineRule="auto"/>
              <w:jc w:val="left"/>
            </w:pPr>
            <w:r>
              <w:rPr>
                <w:rFonts w:ascii="Calibri" w:hAnsi="Calibri" w:eastAsia="Calibri"/>
                <w:color w:val="111827"/>
                <w:sz w:val="16"/>
              </w:rPr>
              <w:t>Govern, map, measure and manage AI risk</w:t>
            </w:r>
          </w:p>
        </w:tc>
        <w:tc>
          <w:tcPr>
            <w:tcW w:type="dxa" w:w="3700"/>
            <w:shd w:fill="FBFCFE"/>
          </w:tcPr>
          <w:p>
            <w:pPr>
              <w:spacing w:after="0" w:line="250" w:lineRule="auto"/>
              <w:jc w:val="left"/>
            </w:pPr>
            <w:r>
              <w:rPr>
                <w:rFonts w:ascii="Calibri" w:hAnsi="Calibri" w:eastAsia="Calibri"/>
                <w:color w:val="111827"/>
                <w:sz w:val="16"/>
              </w:rPr>
              <w:t>Binds selected controls and claims to executable repository evidence.</w:t>
            </w:r>
          </w:p>
        </w:tc>
      </w:tr>
      <w:tr>
        <w:tc>
          <w:tcPr>
            <w:tcW w:type="dxa" w:w="2600"/>
          </w:tcPr>
          <w:p>
            <w:pPr>
              <w:spacing w:after="0" w:line="250" w:lineRule="auto"/>
              <w:jc w:val="left"/>
            </w:pPr>
            <w:r>
              <w:rPr>
                <w:rFonts w:ascii="Calibri" w:hAnsi="Calibri" w:eastAsia="Calibri"/>
                <w:color w:val="111827"/>
                <w:sz w:val="16"/>
              </w:rPr>
              <w:t>SLSA</w:t>
            </w:r>
          </w:p>
        </w:tc>
        <w:tc>
          <w:tcPr>
            <w:tcW w:type="dxa" w:w="3060"/>
          </w:tcPr>
          <w:p>
            <w:pPr>
              <w:spacing w:after="0" w:line="250" w:lineRule="auto"/>
              <w:jc w:val="left"/>
            </w:pPr>
            <w:r>
              <w:rPr>
                <w:rFonts w:ascii="Calibri" w:hAnsi="Calibri" w:eastAsia="Calibri"/>
                <w:color w:val="111827"/>
                <w:sz w:val="16"/>
              </w:rPr>
              <w:t>Build integrity, provenance and artifact supply-chain assurance</w:t>
            </w:r>
          </w:p>
        </w:tc>
        <w:tc>
          <w:tcPr>
            <w:tcW w:type="dxa" w:w="3700"/>
          </w:tcPr>
          <w:p>
            <w:pPr>
              <w:spacing w:after="0" w:line="250" w:lineRule="auto"/>
              <w:jc w:val="left"/>
            </w:pPr>
            <w:r>
              <w:rPr>
                <w:rFonts w:ascii="Calibri" w:hAnsi="Calibri" w:eastAsia="Calibri"/>
                <w:color w:val="111827"/>
                <w:sz w:val="16"/>
              </w:rPr>
              <w:t>Adds claim, invariant and negative-result lifecycle above build provenance.</w:t>
            </w:r>
          </w:p>
        </w:tc>
      </w:tr>
      <w:tr>
        <w:tc>
          <w:tcPr>
            <w:tcW w:type="dxa" w:w="2600"/>
            <w:shd w:fill="FBFCFE"/>
          </w:tcPr>
          <w:p>
            <w:pPr>
              <w:spacing w:after="0" w:line="250" w:lineRule="auto"/>
              <w:jc w:val="left"/>
            </w:pPr>
            <w:r>
              <w:rPr>
                <w:rFonts w:ascii="Calibri" w:hAnsi="Calibri" w:eastAsia="Calibri"/>
                <w:color w:val="111827"/>
                <w:sz w:val="16"/>
              </w:rPr>
              <w:t>OpenSSF Scorecard</w:t>
            </w:r>
          </w:p>
        </w:tc>
        <w:tc>
          <w:tcPr>
            <w:tcW w:type="dxa" w:w="3060"/>
            <w:shd w:fill="FBFCFE"/>
          </w:tcPr>
          <w:p>
            <w:pPr>
              <w:spacing w:after="0" w:line="250" w:lineRule="auto"/>
              <w:jc w:val="left"/>
            </w:pPr>
            <w:r>
              <w:rPr>
                <w:rFonts w:ascii="Calibri" w:hAnsi="Calibri" w:eastAsia="Calibri"/>
                <w:color w:val="111827"/>
                <w:sz w:val="16"/>
              </w:rPr>
              <w:t>Automated repository security posture checks</w:t>
            </w:r>
          </w:p>
        </w:tc>
        <w:tc>
          <w:tcPr>
            <w:tcW w:type="dxa" w:w="3700"/>
            <w:shd w:fill="FBFCFE"/>
          </w:tcPr>
          <w:p>
            <w:pPr>
              <w:spacing w:after="0" w:line="250" w:lineRule="auto"/>
              <w:jc w:val="left"/>
            </w:pPr>
            <w:r>
              <w:rPr>
                <w:rFonts w:ascii="Calibri" w:hAnsi="Calibri" w:eastAsia="Calibri"/>
                <w:color w:val="111827"/>
                <w:sz w:val="16"/>
              </w:rPr>
              <w:t>Treats such checks as independent producers within a broader assurance decision.</w:t>
            </w:r>
          </w:p>
        </w:tc>
      </w:tr>
      <w:tr>
        <w:tc>
          <w:tcPr>
            <w:tcW w:type="dxa" w:w="2600"/>
          </w:tcPr>
          <w:p>
            <w:pPr>
              <w:spacing w:after="0" w:line="250" w:lineRule="auto"/>
              <w:jc w:val="left"/>
            </w:pPr>
            <w:r>
              <w:rPr>
                <w:rFonts w:ascii="Calibri" w:hAnsi="Calibri" w:eastAsia="Calibri"/>
                <w:color w:val="111827"/>
                <w:sz w:val="16"/>
              </w:rPr>
              <w:t>GitHub protected branches and required checks</w:t>
            </w:r>
          </w:p>
        </w:tc>
        <w:tc>
          <w:tcPr>
            <w:tcW w:type="dxa" w:w="3060"/>
          </w:tcPr>
          <w:p>
            <w:pPr>
              <w:spacing w:after="0" w:line="250" w:lineRule="auto"/>
              <w:jc w:val="left"/>
            </w:pPr>
            <w:r>
              <w:rPr>
                <w:rFonts w:ascii="Calibri" w:hAnsi="Calibri" w:eastAsia="Calibri"/>
                <w:color w:val="111827"/>
                <w:sz w:val="16"/>
              </w:rPr>
              <w:t>Merge enforcement mechanism</w:t>
            </w:r>
          </w:p>
        </w:tc>
        <w:tc>
          <w:tcPr>
            <w:tcW w:type="dxa" w:w="3700"/>
          </w:tcPr>
          <w:p>
            <w:pPr>
              <w:spacing w:after="0" w:line="250" w:lineRule="auto"/>
              <w:jc w:val="left"/>
            </w:pPr>
            <w:r>
              <w:rPr>
                <w:rFonts w:ascii="Calibri" w:hAnsi="Calibri" w:eastAsia="Calibri"/>
                <w:color w:val="111827"/>
                <w:sz w:val="16"/>
              </w:rPr>
              <w:t>Defines stable aggregator semantics and revision-bound assurance receipts.</w:t>
            </w:r>
          </w:p>
        </w:tc>
      </w:tr>
    </w:tbl>
    <w:p>
      <w:pPr>
        <w:spacing w:after="0"/>
      </w:pPr>
    </w:p>
    <w:p>
      <w:pPr>
        <w:pStyle w:val="Heading2"/>
        <w:keepNext/>
        <w:keepLines/>
        <w:ind w:left="0" w:right="0" w:firstLine="0"/>
        <w:jc w:val="left"/>
      </w:pPr>
      <w:r>
        <w:t>Primary sources</w:t>
      </w:r>
    </w:p>
    <w:p>
      <w:pPr>
        <w:spacing w:after="80"/>
        <w:ind w:left="360"/>
      </w:pPr>
      <w:r>
        <w:rPr>
          <w:rFonts w:ascii="Calibri" w:hAnsi="Calibri" w:eastAsia="Calibri"/>
          <w:b/>
          <w:color w:val="111827"/>
          <w:sz w:val="20"/>
        </w:rPr>
        <w:t xml:space="preserve">NIST Secure Software Development Framework: </w:t>
      </w:r>
      <w:hyperlink r:id="rId11">
        <w:r>
          <w:rPr>
            <w:rFonts w:ascii="Calibri" w:hAnsi="Calibri"/>
            <w:color w:val="2E74B5"/>
            <w:u w:val="single"/>
            <w:sz w:val="20"/>
          </w:rPr>
          <w:t>Official source</w:t>
        </w:r>
      </w:hyperlink>
    </w:p>
    <w:p>
      <w:pPr>
        <w:spacing w:after="80"/>
        <w:ind w:left="360"/>
      </w:pPr>
      <w:r>
        <w:rPr>
          <w:rFonts w:ascii="Calibri" w:hAnsi="Calibri" w:eastAsia="Calibri"/>
          <w:b/>
          <w:color w:val="111827"/>
          <w:sz w:val="20"/>
        </w:rPr>
        <w:t xml:space="preserve">NIST AI Risk Management Framework 1.0: </w:t>
      </w:r>
      <w:hyperlink r:id="rId12">
        <w:r>
          <w:rPr>
            <w:rFonts w:ascii="Calibri" w:hAnsi="Calibri"/>
            <w:color w:val="2E74B5"/>
            <w:u w:val="single"/>
            <w:sz w:val="20"/>
          </w:rPr>
          <w:t>Official source</w:t>
        </w:r>
      </w:hyperlink>
    </w:p>
    <w:p>
      <w:pPr>
        <w:spacing w:after="80"/>
        <w:ind w:left="360"/>
      </w:pPr>
      <w:r>
        <w:rPr>
          <w:rFonts w:ascii="Calibri" w:hAnsi="Calibri" w:eastAsia="Calibri"/>
          <w:b/>
          <w:color w:val="111827"/>
          <w:sz w:val="20"/>
        </w:rPr>
        <w:t xml:space="preserve">SLSA v1.2 provenance specification: </w:t>
      </w:r>
      <w:hyperlink r:id="rId13">
        <w:r>
          <w:rPr>
            <w:rFonts w:ascii="Calibri" w:hAnsi="Calibri"/>
            <w:color w:val="2E74B5"/>
            <w:u w:val="single"/>
            <w:sz w:val="20"/>
          </w:rPr>
          <w:t>Official source</w:t>
        </w:r>
      </w:hyperlink>
    </w:p>
    <w:p>
      <w:pPr>
        <w:spacing w:after="80"/>
        <w:ind w:left="360"/>
      </w:pPr>
      <w:r>
        <w:rPr>
          <w:rFonts w:ascii="Calibri" w:hAnsi="Calibri" w:eastAsia="Calibri"/>
          <w:b/>
          <w:color w:val="111827"/>
          <w:sz w:val="20"/>
        </w:rPr>
        <w:t xml:space="preserve">OpenSSF Scorecard: </w:t>
      </w:r>
      <w:hyperlink r:id="rId14">
        <w:r>
          <w:rPr>
            <w:rFonts w:ascii="Calibri" w:hAnsi="Calibri"/>
            <w:color w:val="2E74B5"/>
            <w:u w:val="single"/>
            <w:sz w:val="20"/>
          </w:rPr>
          <w:t>Official source</w:t>
        </w:r>
      </w:hyperlink>
    </w:p>
    <w:p>
      <w:pPr>
        <w:spacing w:after="80"/>
        <w:ind w:left="360"/>
      </w:pPr>
      <w:r>
        <w:rPr>
          <w:rFonts w:ascii="Calibri" w:hAnsi="Calibri" w:eastAsia="Calibri"/>
          <w:b/>
          <w:color w:val="111827"/>
          <w:sz w:val="20"/>
        </w:rPr>
        <w:t xml:space="preserve">GitHub protected branches and required checks: </w:t>
      </w:r>
      <w:hyperlink r:id="rId15">
        <w:r>
          <w:rPr>
            <w:rFonts w:ascii="Calibri" w:hAnsi="Calibri"/>
            <w:color w:val="2E74B5"/>
            <w:u w:val="single"/>
            <w:sz w:val="20"/>
          </w:rPr>
          <w:t>Official source</w:t>
        </w:r>
      </w:hyperlink>
    </w:p>
    <w:p>
      <w:pPr>
        <w:pStyle w:val="Heading1"/>
        <w:keepNext/>
        <w:keepLines/>
        <w:ind w:left="0" w:right="0" w:firstLine="0"/>
        <w:jc w:val="left"/>
      </w:pPr>
      <w:r>
        <w:t>Revision history</w:t>
      </w:r>
    </w:p>
    <w:tbl>
      <w:tblPr>
        <w:tblW w:type="dxa" w:w="9360"/>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200"/>
        <w:gridCol w:w="1800"/>
        <w:gridCol w:w="2200"/>
        <w:gridCol w:w="4160"/>
      </w:tblGrid>
      <w:tr>
        <w:trPr>
          <w:tblHeader w:val="true"/>
        </w:trPr>
        <w:tc>
          <w:tcPr>
            <w:tcW w:type="dxa" w:w="12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Version</w:t>
            </w:r>
          </w:p>
        </w:tc>
        <w:tc>
          <w:tcPr>
            <w:tcW w:type="dxa" w:w="18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Date</w:t>
            </w:r>
          </w:p>
        </w:tc>
        <w:tc>
          <w:tcPr>
            <w:tcW w:type="dxa" w:w="22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Status</w:t>
            </w:r>
          </w:p>
        </w:tc>
        <w:tc>
          <w:tcPr>
            <w:tcW w:type="dxa" w:w="4160"/>
            <w:tcMar>
              <w:top w:w="80" w:type="dxa"/>
              <w:start w:w="120" w:type="dxa"/>
              <w:bottom w:w="80" w:type="dxa"/>
              <w:end w:w="120" w:type="dxa"/>
            </w:tcMar>
            <w:vAlign w:val="center"/>
            <w:shd w:fill="F2F4F7"/>
          </w:tcPr>
          <w:p>
            <w:pPr>
              <w:spacing w:after="0" w:line="240" w:lineRule="auto"/>
              <w:jc w:val="left"/>
            </w:pPr>
            <w:r>
              <w:rPr>
                <w:rFonts w:ascii="Calibri" w:hAnsi="Calibri" w:eastAsia="Calibri"/>
                <w:b/>
                <w:color w:val="0B2545"/>
                <w:sz w:val="18"/>
              </w:rPr>
              <w:t>Summary</w:t>
            </w:r>
          </w:p>
        </w:tc>
      </w:tr>
      <w:tr>
        <w:tc>
          <w:tcPr>
            <w:tcW w:type="dxa" w:w="1200"/>
          </w:tcPr>
          <w:p>
            <w:pPr>
              <w:spacing w:after="0" w:line="250" w:lineRule="auto"/>
              <w:jc w:val="center"/>
            </w:pPr>
            <w:r>
              <w:rPr>
                <w:rFonts w:ascii="Calibri" w:hAnsi="Calibri" w:eastAsia="Calibri"/>
                <w:color w:val="111827"/>
                <w:sz w:val="17"/>
              </w:rPr>
              <w:t>1.0</w:t>
            </w:r>
          </w:p>
        </w:tc>
        <w:tc>
          <w:tcPr>
            <w:tcW w:type="dxa" w:w="1800"/>
          </w:tcPr>
          <w:p>
            <w:pPr>
              <w:spacing w:after="0" w:line="250" w:lineRule="auto"/>
              <w:jc w:val="center"/>
            </w:pPr>
            <w:r>
              <w:rPr>
                <w:rFonts w:ascii="Calibri" w:hAnsi="Calibri" w:eastAsia="Calibri"/>
                <w:color w:val="111827"/>
                <w:sz w:val="17"/>
              </w:rPr>
              <w:t>25 August 2026</w:t>
            </w:r>
          </w:p>
        </w:tc>
        <w:tc>
          <w:tcPr>
            <w:tcW w:type="dxa" w:w="2200"/>
          </w:tcPr>
          <w:p>
            <w:pPr>
              <w:spacing w:after="0" w:line="250" w:lineRule="auto"/>
              <w:jc w:val="center"/>
            </w:pPr>
            <w:r>
              <w:rPr>
                <w:rFonts w:ascii="Calibri" w:hAnsi="Calibri" w:eastAsia="Calibri"/>
                <w:color w:val="111827"/>
                <w:sz w:val="17"/>
              </w:rPr>
              <w:t>Architecture proposal</w:t>
            </w:r>
          </w:p>
        </w:tc>
        <w:tc>
          <w:tcPr>
            <w:tcW w:type="dxa" w:w="4160"/>
          </w:tcPr>
          <w:p>
            <w:pPr>
              <w:spacing w:after="0" w:line="250" w:lineRule="auto"/>
              <w:jc w:val="left"/>
            </w:pPr>
            <w:r>
              <w:rPr>
                <w:rFonts w:ascii="Calibri" w:hAnsi="Calibri" w:eastAsia="Calibri"/>
                <w:color w:val="111827"/>
                <w:sz w:val="17"/>
              </w:rPr>
              <w:t>Initial formalization of Assurance CI for REMORA Research.</w:t>
            </w:r>
          </w:p>
        </w:tc>
      </w:tr>
    </w:tbl>
    <w:p>
      <w:pPr>
        <w:spacing w:after="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src.nist.gov/projects/ssdf" TargetMode="External"/><Relationship Id="rId12" Type="http://schemas.openxmlformats.org/officeDocument/2006/relationships/hyperlink" Target="https://doi.org/10.6028/NIST.AI.100-1" TargetMode="External"/><Relationship Id="rId13" Type="http://schemas.openxmlformats.org/officeDocument/2006/relationships/hyperlink" Target="https://slsa.dev/spec/v1.2/provenance" TargetMode="External"/><Relationship Id="rId14" Type="http://schemas.openxmlformats.org/officeDocument/2006/relationships/hyperlink" Target="https://www.scorecard.dev/" TargetMode="External"/><Relationship Id="rId15" Type="http://schemas.openxmlformats.org/officeDocument/2006/relationships/hyperlink" Target="https://docs.github.com/en/repositories/configuring-branches-and-merges-in-your-repository/managing-protected-branches/about-protected-bran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Assurance CI Architecture</dc:title>
  <dc:subject>Research-grade continuous integration assurance architecture for REMORA</dc:subject>
  <dc:creator>REMORA Research</dc:creator>
  <cp:keywords>assurance, CI, governance, AI agents, evidence, REMORA</cp:keywords>
  <dc:description>Architecture proposal generated for REMORA Research</dc:description>
  <cp:lastModifiedBy/>
  <cp:revision>1</cp:revision>
  <dcterms:created xsi:type="dcterms:W3CDTF">2013-12-23T23:15:00Z</dcterms:created>
  <dcterms:modified xsi:type="dcterms:W3CDTF">2013-12-23T23:15:00Z</dcterms:modified>
  <cp:category/>
</cp:coreProperties>
</file>