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Procedure ID &amp; Title: PAY-OPS-002: SWIFT MT/MX Message Processing &amp; ISO 20022 Field Mapping</w:t>
        <w:br/>
        <w:t>Purpose &amp; Scope: This procedure defines the processing, validation, enrichment, translation, screening, routing, settlement, and tracking of SWIFT cross-border payments using legacy MT messages and ISO 20022 MX messages. It covers MT103, MT202, MT202 COV, MT940, MT950, pacs.008, pacs.009, pain.001, camt.053, and related status and return messages.</w:t>
        <w:br/>
        <w:t>Applicable Payment Corridors &amp; Networks: SWIFT FIN, SWIFT InterAct, SWIFT gpi, SWIFT CBPR+, TARGET2/T2, CHAPS, Fedwire international linkages, and correspondent banking channels. The procedure supports cross-border low-value and high-value payments, bank transfers, and cover payments.</w:t>
        <w:br/>
        <w:t>Invented Processing Systems &amp; Architecture: OmniFlow receives MT/MX traffic through SWIFT Alliance or API gateways. AegisPay Core validates BIC, IBAN, LEI, account status, and master data. NexusRoute performs MT-to-MX and MX-to-MT translation, field mapping, and routing selection. SentinelTrace screens sanctions, AML, fraud, and watchlists. VaultGuard sources FX rates and manages currency positions. MeridianClear prepares settlement and sequencing. CobaltSettlement reconciles statements, confirmations, and exceptions. IronClad stores immutable message archives and forensic logs.</w:t>
        <w:br/>
        <w:t>Detailed Key Steps: 1. Ingest MT or MX message through OmniFlow, validate envelope, message type, sender/receiver BIC, and network priority. 2. Parse message fields and validate mandatory fields, currency codes, amounts, value dates, and charges. 3. AegisPay Core validates debtor, creditor, IBAN mod-97 checksum, BIC directory status, LEI where required, and account restrictions. 4. SentinelTrace performs sanctions, PEP, adverse media, and transaction monitoring screening. 5. NexusRoute maps fields between MT and MX. For MT103 to pacs.008, map field 20 to PmtId, 32A to IntrBkSttlmAmt, 50K to Dbtr, 59 to Cdtr, 71A to ChrgBr, 72 to RmtInf, and populate UETR. For MT202 to pacs.009, map field 20 to PmtId, 32A to IntrBkSttlmAmt, 52A to InstgAgt, 53A to InstgAgt, and 58A to CdtrAgt. 6. VaultGuard applies FX conversion if required, using approved rate sources and ISO 4217 currency precision. 7. MeridianClear sequences settlement and releases to the correspondent or clearing network. 8. Process ACK/NACK, gpi status, camt.056 recall, camt.029 resolution, and return messages. 9. CobaltSettlement reconciles outgoing and incoming messages against nostro/vostro statements. 10. IronClad archives raw message, translated payload, screening result, approval, and UETR chain.</w:t>
        <w:br/>
        <w:t>Bank Account Number Handling: IBAN, BBAN, and account numbers must be normalized, validated, and tokenized before persistence. Full account identifiers may appear only in encrypted SWIFT payloads and authorized repair queues. UI views must mask all but the last four characters. BIC and IBAN validation results are stored as metadata, not as raw account data. Any manual repair involving full account numbers requires dual control and IronClad audit logging.</w:t>
        <w:br/>
        <w:t>Special Currency Handling: The procedure supports multi-currency settlement. Currency amounts must use ISO 4217 codes and correct minor-unit precision. VaultGuard must provide FX rates with timestamp, source, spread, and rate ID. Restricted, non-deliverable, or capital-controlled currencies require Compliance approval. Rounding must follow currency-specific rules and be documented. FX gain/loss must be posted to the appropriate ledger account.</w:t>
        <w:br/>
        <w:t>Escalation Framework: Level 1: SWIFT Operations Analyst resolves format, acknowledgement, and repair-queue issues within 15 minutes. Level 2: Cross-Border Payments Lead resolves translation, correspondent, and gpi tracking exceptions within 30 minutes. Level 3: Head of Payment Operations, Treasury, and Compliance resolve funding, sanctions, and regulatory exceptions within 1 hour. Level 4: CRO, CTO, and COO for network outage, systemic mapping failure, or material sanctions breach. OFAC or AML matches must be frozen and escalated immediately.</w:t>
        <w:br/>
        <w:t>RACI Matrix &amp; Responsible Roles: Responsible: SWIFT Operations Analyst, Cross-Border Payment Specialist. Accountable: Head of Payment Operations. Consulted: Compliance, Treasury, VaultGuard FX Desk, Engineering, Correspondent Banking. Informed: Finance, Internal Audit, Client Services. Message release, field override, and manual repair require maker-checker approval.</w:t>
        <w:br/>
        <w:t>Compliance, Regulatory &amp; Audit References: SWIFT CBPR+, SWIFT CSP, ISO 20022, ISO 3166, ISO 4217, OFAC, BSA/AML, FinCEN, EU AML Directives, local capital controls, GDPR, and correspondent banking agreements. Audit retention must meet SWIFT recordkeeping and jurisdictional requirements.</w:t>
        <w:br/>
        <w:t>System Integration, Data Flow &amp; API/Webhook Touchpoints: OmniFlow exposes /v1/swift/messages, /v1/swift/mx, and webhooks swift.message.accepted, swift.message.rejected, swift.gpi.status, swift.recall.received, and swift.return.received. AegisPay Core exposes /validate/bic, /validate/iban, and /validate/lei. NexusRoute exposes /map/mt-to-mx and /map/mx-to-mt. SentinelTrace exposes /screen/sanctions. VaultGuard exposes /fx/rates. MeridianClear exposes /settle/swift. CobaltSettlement exposes /recon/swift. IronClad exposes /audit/messages.</w:t>
        <w:br/>
        <w:t>SLA, Cut-off Times &amp; Settlement Windows: SWIFT message processing must acknowledge within 15 minutes of receipt. Payment release must meet correspondent cut-off times, typically 16:00 local for same-day value and earlier for high-value currencies. gpi status updates must be processed within 5 minutes. Investigation of gpi exceptions must begin within 30 minutes. Nostro/vostro reconciliation must complete by 10:00 local on the next business day. Month-end and quarter-end cut-offs require Treasury approval.</w:t>
        <w:br/>
        <w:t>Risk Controls, Exception Handling &amp; Reconciliation: Controls include BIC/IBAN validation, UETR duplication checks, sanctions screening, AML monitoring, FX rate validation, charges-code enforcement, and correspondent limits. Exceptions include invalid BIC, invalid IBAN, missing LEI, sanctions hit, NACK, return, recall, gpi stuck payment, and nostro mismatch. CobaltSettlement matches outgoing messages to debits, incoming messages to credits, and gpi confirmations to UETRs. Aged exceptions escalate to correspondent banking and Treasury.</w:t>
        <w:br/>
        <w:t>Version Control, Approval Workflow &amp; Change Management: Version 1.0. Owner: Head of Payment Operations. Approvers: Chief Compliance Officer, Chief Risk Officer, Chief Technology Officer, Treasury Head. Changes to field mapping, SWIFT release, or screening rules require impact assessment, test certification, CAB approval, and post-implementation verification. Emergency changes require retrospective review within one business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