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PAY-OPS-005: Multi-Currency Account Reconciliation &amp; Mapping</w:t>
        <w:br/>
        <w:t>Purpose &amp; Scope: This procedure defines the reconciliation, mapping, variance analysis, exception management, and reporting of multi-currency accounts across internal ledgers, nostro/vostro accounts, settlement accounts, and client sub-ledgers. It covers daily, intraday, month-end, and ad hoc reconciliation cycles.</w:t>
        <w:br/>
        <w:t>Applicable Payment Corridors &amp; Networks: SWIFT, local ACH, RTP/FedNow, SEPA, CHAPS, Fedwire, CHIPS, card networks, digital wallets, and internal book transfers. The procedure supports all currencies in which OmniFlow, AegisPay Core, MeridianClear, and VaultGuard operate.</w:t>
        <w:br/>
        <w:t>Invented Processing Systems &amp; Architecture: OmniFlow ingests statements, confirmations, and webhook data. AegisPay Core maintains account master data and mapping rules. MeridianClear provides settlement and netting records. VaultGuard provides FX rates, positions, and liquidity data. CobaltSettlement performs matching, variance identification, exception queues, and reconciliation reporting. IronClad archives reconciliation evidence and sign-offs.</w:t>
        <w:br/>
        <w:t>Detailed Key Steps: 1. Ingest bank statements in camt.053, MT940, MT950, CSV, API, or proprietary formats through OmniFlow. 2. Validate statement integrity, sequence numbers, currency, account identifiers, opening/closing balances, and checksums. 3. Normalize account identifiers using IBAN, BIC, routing number, and internal account mapping. 4. Map external statement lines to internal payment records using transaction reference, UETR, end-to-end ID, amount, value date, and currency. 5. VaultGuard applies FX revaluation for non-base-currency balances using approved rate sources. 6. CobaltSettlement matches debit/credit entries to settlement records and general ledger postings. 7. Identify variances: missing entries, duplicate entries, amount differences, currency differences, value-date differences, fee differences, and unapplied credits. 8. Route exceptions to the appropriate resolver: Payment Operations, Treasury, Correspondent Banking, or Engineering. 9. Prepare reconciliation certification and obtain sign-off. 10. IronClad archives statements, mapping rules, match results, variance analysis, and approvals.</w:t>
        <w:br/>
        <w:t>Bank Account Number Handling: Reconciliation files must use tokenized or masked account references wherever possible. Full IBAN, BBAN, routing number, and account number may be present only in encrypted statement files stored in a restricted reconciliation vault. Access requires role-based permissions, dual control for exports, and IronClad audit logging. Reconciliation dashboards must display masked identifiers only.</w:t>
        <w:br/>
        <w:t>Special Currency Handling: All balances and transactions must use ISO 4217 currency codes and correct minor-unit precision. FX revaluation must use VaultGuard-sourced rates with timestamp, source, and rate type. Revaluation gains and losses must post to designated FX accounts. Non-deliverable, restricted, or pegged currencies require special mapping and Compliance review. Rounding differences must be systematically captured and reported.</w:t>
        <w:br/>
        <w:t>Escalation Framework: Level 1: Reconciliation Analyst resolves simple matching and mapping exceptions within 2 hours. Level 2: Reconciliation Lead resolves breaks over threshold, repeated mapping failures, and correspondent statement issues within 4 hours. Level 3: Head of Payment Operations, Treasury, and Finance resolve aged breaks, material variances, and GL impact within 1 business day. Level 4: CFO, CRO, and COO for material unreconciled positions, restatement risk, or regulatory reporting impact. Sanctions-related breaks escalate immediately to Compliance.</w:t>
        <w:br/>
        <w:t>RACI Matrix &amp; Responsible Roles: Responsible: Reconciliation Analyst, Treasury Analyst. Accountable: Head of Payment Operations. Consulted: Treasury, Finance, Compliance, Correspondent Banking, Engineering. Informed: Internal Audit, Executive Management, Client Services. Material ledger adjustments require dual approval.</w:t>
        <w:br/>
        <w:t>Compliance, Regulatory &amp; Audit References: SOX, GAAP/IFRS, BSA/AML, OFAC, SWIFT CBPR+, ISO 20022, local central bank reconciliation rules, tax reporting, and internal financial control policies. Reconciliation evidence must be retained for audit and regulatory examination.</w:t>
        <w:br/>
        <w:t>System Integration, Data Flow &amp; API/Webhook Touchpoints: OmniFlow exposes /v1/statements/ingest and webhooks statement.received, statement.rejected, and reconciliation.completed. AegisPay Core exposes /mapping/accounts. MeridianClear exposes /settlement/records. VaultGuard exposes /fx/rates and /positions. CobaltSettlement exposes /recon/multicurrency, /recon/exceptions, and /recon/certify. IronClad exposes /audit/reconciliation.</w:t>
        <w:br/>
        <w:t>SLA, Cut-off Times &amp; Settlement Windows: Daily reconciliation must complete by 09:00 local for prior-day activity. Intraday reconciliation for high-value or instant payment accounts must complete within 60 minutes of statement receipt. Month-end reconciliation must complete by the second business day. Aged breaks over 3 business days require escalation. Quarter-end and year-end reconciliation require Finance and Audit sign-off.</w:t>
        <w:br/>
        <w:t>Risk Controls, Exception Handling &amp; Reconciliation: Controls include statement hash verification, dual sign-off, segregation of duties, automated matching tolerances, FX rate validation, exception ageing, and maker-checker for adjustments. Exceptions include missing statement, unmatched payment, duplicate posting, currency mismatch, fee variance, FX rate variance, and stale break. CobaltSettlement maintains an exception queue with ownership, ageing, root cause, and resolution notes. Recurring root causes trigger process improvement and control testing.</w:t>
        <w:br/>
        <w:t>Version Control, Approval Workflow &amp; Change Management: Version 1.0. Owner: Head of Payment Operations. Approvers: Chief Financial Officer, Chief Risk Officer, Chief Compliance Officer, Chief Technology Officer. Changes to mapping rules, matching tolerances, FX revaluation logic, or reconciliation certification require impact assessment, test evidence, CAB approval, and post-implementation verification. Emergency changes require retrospective review within two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