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PAY-OPS-011: Third-Party, Payroll &amp; Vendor Payment Processing</w:t>
        <w:br/>
        <w:t>Purpose &amp; Scope: This procedure governs the end-to-end processing of outbound payments to third-party vendors, payroll providers, and recurring beneficiaries. It ensures accurate validation, authorization, and settlement of high-volume, low-value and low-volume, high-value disbursements across supported rails.</w:t>
        <w:br/>
        <w:t>Applicable Payment Corridors &amp; Networks: Domestic ACH (NACHA), SEPA Credit Transfer, SWIFT MT101/MT103, RTP, Fedwire, and local real-time schemes (e.g., FPS, NPP). Includes payroll-specific rails such as same-day ACH and instant payroll.</w:t>
        <w:br/>
        <w:t>Invented Processing Systems &amp; Architecture: OmniFlow receives batch files via SFTP/API; AegisPay Core validates beneficiary account data against internal registry and external directory; NexusRoute selects optimal rail based on cost, speed, and currency; SentinelTrace screens for fraud and sanctions; MeridianClear sequences and nets payroll batches; CobaltSettlement reconciles against funding accounts; VaultGuard ensures liquidity for payroll runs; IronClad logs all authorization and change events.</w:t>
        <w:br/>
        <w:t>Detailed Key Steps: 1) Ingest payroll/vendor file via OmniFlow with PGP encryption and mod-10 checksum validation. 2) AegisPay Core performs IBAN/BIC normalization, account number validation, and duplicate detection. 3) SentinelTrace applies velocity checks, sanctions screening (OFAC, EU, UN), and anomaly scoring. 4) NexusRoute maps payment instructions to pacs.008 or ACH CCD/CTX formats. 5) MeridianClear batches transactions per cut-off and generates funding instructions to VaultGuard. 6) CobaltSettlement executes settlement and posts reconciliation entries. 7) IronClad archives immutable audit trail with idempotency keys.</w:t>
        <w:br/>
        <w:t>Bank Account Number Handling: All account numbers are tokenized at ingestion using AES-256-GCM; only last four digits are displayed in UI. Full PAN-like data is never stored in logs. Token vault is managed by AegisPay Core with HSM-backed key rotation every 90 days.</w:t>
        <w:br/>
        <w:t>Special Currency Handling: For zero-decimal currencies (JPY, KRW), amounts are multiplied by 100 for internal processing and divided on output. FX conversion for cross-currency payroll uses VaultGuard’s mid-market rate with a 0.5% spread; rate locks are valid for 15 minutes.</w:t>
        <w:br/>
        <w:t>Escalation Framework: Tier 1 – Payment Ops Analyst (15 min SLA). Tier 2 – Payroll Ops Lead (30 min). Tier 3 – Treasury &amp; Compliance (1 hour). Tier 4 – Head of Payment Operations (2 hours). Critical failures (e.g., duplicate payroll run) trigger immediate Tier 4 and incident bridge.</w:t>
        <w:br/>
        <w:t>RACI Matrix &amp; Responsible Roles: Responsible – Payment Ops Analyst (execution), Payroll Specialist (file validation). Accountable – Head of Payment Operations. Consulted – Treasury, Compliance, IT Security. Informed – Vendor Management, HR.</w:t>
        <w:br/>
        <w:t>Compliance, Regulatory &amp; Audit References: NACHA Operating Rules, SEPA Rulebook, PSD2, GDPR, OFAC Sanctions, IRS Publication 15 (payroll tax), SOC 2 Type II, ISO 20022.</w:t>
        <w:br/>
        <w:t>System Integration, Data Flow &amp; API/Webhook Touchpoints: OmniFlow exposes POST /v1/payroll/batch and webhook events: batch.received, batch.validated, batch.settled, batch.failed. AegisPay Core provides GET /v1/accounts/validate. NexusRoute emits route.selected. CobaltSettlement sends settlement.completed webhook to ERP.</w:t>
        <w:br/>
        <w:t>SLA, Cut-off Times &amp; Settlement Windows: Same-day ACH cut-off 14:45 ET; SEPA cut-off 16:00 CET; RTP 24/7/365 with 5-second SLA. Payroll files must be submitted 2 hours before cut-off. Settlement windows: T+0 for RTP, T+1 for ACH, T+2 for SEPA.</w:t>
        <w:br/>
        <w:t>Risk Controls, Exception Handling &amp; Reconciliation: Dual authorization for batches &gt;$100k. Exception queue in CobaltSettlement for returns (R01, R02). Daily reconciliation of payroll funding account vs. settled amounts. Auto-reversal for duplicate detection. Manual review for any variance &gt;$10.</w:t>
        <w:br/>
        <w:t>Version Control, Approval Workflow &amp; Change Management: Version 1.0. Approved by Head of Payment Operations and Compliance Officer. Changes require change request, impact assessment, and 30-day notice to vendors. Document stored in IronClad with SHA-256 hash.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