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PAY-OPS-012: Payment Cut-off Management &amp; Holiday Calendar Handling</w:t>
        <w:br/>
        <w:t>Purpose &amp; Scope: This procedure defines the management of payment cut-off times, processing windows, and holiday calendars across all payment rails to prevent late submissions, missed settlements, and value date mismatches.</w:t>
        <w:br/>
        <w:t>Applicable Payment Corridors &amp; Networks: All domestic and cross-border rails including ACH, SWIFT, RTP, Fedwire, CHIPS, SEPA, and local instant schemes. Covers both inbound and outbound payments.</w:t>
        <w:br/>
        <w:t>Invented Processing Systems &amp; Architecture: OmniFlow enforces cut-off timers via API gateway; AegisPay Core maintains a centralized holiday calendar service; NexusRoute dynamically routes based on real-time cut-off status; MeridianClear queues payments for next available window; CobaltSettlement flags late settlements; VaultGuard adjusts liquidity forecasts; IronClad logs all cut-off overrides.</w:t>
        <w:br/>
        <w:t>Detailed Key Steps: 1) Maintain master holiday calendar in AegisPay Core, updated quarterly with central bank and scheme holidays. 2) OmniFlow applies per-rail cut-off rules (e.g., Fedwire 18:00 ET, CHIPS 17:00 ET, SEPA 16:00 CET). 3) Payments received after cut-off are automatically queued for next business day unless “urgent” flag is set. 4) NexusRoute checks real-time scheme status (e.g., SWIFT gpi, RTP availability). 5) MeridianClear generates cut-off exception report at 30, 15, and 5 minutes prior. 6) CobaltSettlement reconciles late settlements and applies value date adjustments. 7) IronClad records all cut-off overrides with user ID and justification.</w:t>
        <w:br/>
        <w:t>Bank Account Number Handling: No account numbers are processed in this procedure; only payment IDs and rail identifiers. Any account data in exception reports is masked to last four digits.</w:t>
        <w:br/>
        <w:t>Special Currency Handling: For currencies with non-standard cut-offs (e.g., CNY, INR), AegisPay Core applies local scheme rules. FX value dates are adjusted for T+1 or T+2 based on currency pair.</w:t>
        <w:br/>
        <w:t>Escalation Framework: Tier 1 – Payment Ops Analyst (immediate). Tier 2 – Cut-off Manager (15 min). Tier 3 – Treasury (30 min). Tier 4 – Head of Payment Operations (1 hour). Missed central bank window triggers Tier 4 and regulatory notification.</w:t>
        <w:br/>
        <w:t>RACI Matrix &amp; Responsible Roles: Responsible – Payment Ops Analyst (monitoring), Cut-off Manager (override approval). Accountable – Head of Payment Operations. Consulted – Treasury, Compliance. Informed – Client Services, Relationship Managers.</w:t>
        <w:br/>
        <w:t>Compliance, Regulatory &amp; Audit References: Federal Reserve Operating Circulars, CHIPS Rules, SWIFT User Handbook, SEPA Rulebook, PSD2, local central bank directives.</w:t>
        <w:br/>
        <w:t>System Integration, Data Flow &amp; API/Webhook Touchpoints: OmniFlow exposes GET /v1/cutoffs?rail=SWIFT and webhook cuttoff.warning, cuttoff.missed. AegisPay Core provides GET /v1/holidays?country=US. NexusRoute emits route.deferred. MeridianClear sends queue.updated webhook.</w:t>
        <w:br/>
        <w:t>SLA, Cut-off Times &amp; Settlement Windows: Cut-off adherence SLA: 99.95% of payments submitted before cut-off. Late payment notification within 5 minutes. Holiday calendar updates published 30 days in advance. Settlement windows per rail: Fedwire 9:00-18:00 ET, CHIPS 9:00-17:00 ET, RTP 24/7, SEPA 6:00-16:00 CET.</w:t>
        <w:br/>
        <w:t>Risk Controls, Exception Handling &amp; Reconciliation: Automated cut-off enforcement with dual approval for overrides. Daily reconciliation of queued vs. settled payments. Exception queue for missed cut-offs. Holiday calendar version control with audit trail.</w:t>
        <w:br/>
        <w:t>Version Control, Approval Workflow &amp; Change Management: Version 1.2. Approved by Head of Payment Operations and Treasury. Changes to cut-off rules require 60-day notice to clients. Document stored in IronClad with digital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