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PAY-OPS-013: Audit Readiness, Exception Logging &amp; Control Testing</w:t>
        <w:br/>
        <w:t>Purpose &amp; Scope: This procedure establishes the framework for maintaining audit readiness, logging all payment exceptions, and performing periodic control testing to ensure compliance with internal policies and regulatory requirements.</w:t>
        <w:br/>
        <w:t>Applicable Payment Corridors &amp; Networks: All payment rails and networks, including ACH, SWIFT, RTP, Fedwire, CHIPS, SEPA, and digital wallets.</w:t>
        <w:br/>
        <w:t>Invented Processing Systems &amp; Architecture: IronClad provides immutable audit archiving and forensic logging; SentinelTrace generates exception events; CobaltSettlement maintains exception queues; AegisPay Core logs validation failures; OmniFlow captures API errors; NexusRoute logs routing decisions; MeridianClear records settlement exceptions; VaultGuard logs liquidity breaches.</w:t>
        <w:br/>
        <w:t>Detailed Key Steps: 1) All exceptions (e.g., validation failure, sanctions hit, settlement mismatch) are logged in CobaltSettlement with unique exception ID. 2) IronClad ingests logs via Kafka in real-time, stores with WORM (write once read many) and SHA-256 hashing. 3) Monthly control testing: sample 5% of exceptions, verify resolution within SLA, and document root cause. 4) Quarterly audit readiness review: ensure all logs are retrievable within 15 minutes for regulators. 5) Annual SOC 2 Type II audit preparation: map controls to Trust Services Criteria. 6) Exception trend analysis reported to Risk Committee monthly. 7) Automated alerts for control failures (e.g., missing dual approval).</w:t>
        <w:br/>
        <w:t>Bank Account Number Handling: Exception logs must never contain full account numbers; use tokenized references. Any accidental exposure triggers immediate incident response and data masking.</w:t>
        <w:br/>
        <w:t>Special Currency Handling: Exceptions involving FX or multi-currency must include original and converted amounts, rate source, and value date. Zero-decimal currencies are logged with integer amounts.</w:t>
        <w:br/>
        <w:t>Escalation Framework: Tier 1 – Payment Ops Analyst (log and resolve). Tier 2 – Exception Manager (24 hours). Tier 3 – Compliance &amp; Audit (48 hours). Tier 4 – Head of Payment Operations (72 hours). Critical control failures (e.g., missing sanctions screening) escalate immediately to Tier 4.</w:t>
        <w:br/>
        <w:t>RACI Matrix &amp; Responsible Roles: Responsible – Payment Ops Analyst (logging), Exception Manager (resolution). Accountable – Head of Payment Operations. Consulted – Internal Audit, Compliance, Legal. Informed – Risk Committee, Board.</w:t>
        <w:br/>
        <w:t>Compliance, Regulatory &amp; Audit References: SOX, SOC 2, ISO 27001, GDPR, PSD2, BSA/AML, OFAC, local financial regulations.</w:t>
        <w:br/>
        <w:t>System Integration, Data Flow &amp; API/Webhook Touchpoints: IronClad exposes POST /v1/audit/log and GET /v1/audit/retrieve. CobaltSettlement provides GET /v1/exceptions?status=open. SentinelTrace emits exception.created webhook. OmniFlow logs all API errors to IronClad.</w:t>
        <w:br/>
        <w:t>SLA, Cut-off Times &amp; Settlement Windows: Exception logging SLA: &lt;1 second from event. Resolution SLA: Tier 1 – 4 hours, Tier 2 – 24 hours, Tier 3 – 48 hours. Audit retrieval SLA: 15 minutes for any log. Control testing completed by 5th business day of month.</w:t>
        <w:br/>
        <w:t>Risk Controls, Exception Handling &amp; Reconciliation: Segregation of duties between logging and resolution. Automated reconciliation of exception counts vs. settlement records. Quarterly control testing with remediation plans. Immutable audit trail with no deletion.</w:t>
        <w:br/>
        <w:t>Version Control, Approval Workflow &amp; Change Management: Version 2.0. Approved by Head of Payment Operations, Compliance Officer, and Internal Audit. Changes require 30-day review. Document stored in IronClad with version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