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PAY-OPS-014: Business Continuity, DR Failover &amp; Payment System Redundancy</w:t>
        <w:br/>
        <w:t>Purpose &amp; Scope: This procedure defines the business continuity and disaster recovery (BC/DR) framework for payment processing, including failover to redundant systems, data replication, and recovery time objectives (RTO) / recovery point objectives (RPO).</w:t>
        <w:br/>
        <w:t>Applicable Payment Corridors &amp; Networks: All payment rails and networks, including ACH, SWIFT, RTP, Fedwire, CHIPS, SEPA, and digital wallets. Covers both primary and secondary data centers.</w:t>
        <w:br/>
        <w:t>Invented Processing Systems &amp; Architecture: OmniFlow active-active across two regions; AegisPay Core multi-master replication; NexusRoute stateless with DNS failover; SentinelTrace streaming replication; MeridianClear hot-warm standby; CobaltSettlement active-passive with 15-minute RPO; VaultGuard real-time sync; IronClad immutable cross-region replication.</w:t>
        <w:br/>
        <w:t>Detailed Key Steps: 1) Maintain primary data center (Region A) and secondary (Region B) with synchronous replication for critical systems. 2) Automated health checks every 30 seconds; failover triggered if 3 consecutive failures. 3) DR failover runbook: 1) isolate primary, 2) promote secondary, 3) redirect DNS, 4) validate payment queues, 5) resume processing. 4) Quarterly DR tests: full failover with simulated payment traffic. 5) Annual BC/DR exercise with regulators and key clients. 6) RTO: 15 minutes for OmniFlow, 30 minutes for AegisPay Core, 1 hour for MeridianClear. RPO: &lt;1 minute for all systems. 7) Post-failover reconciliation of in-flight payments.</w:t>
        <w:br/>
        <w:t>Bank Account Number Handling: During failover, tokenized account data is replicated with encryption keys in HSM. No plaintext account numbers are stored in DR site.</w:t>
        <w:br/>
        <w:t>Special Currency Handling: FX rates and liquidity positions are replicated in real-time. Currency-specific cut-offs are maintained in both regions.</w:t>
        <w:br/>
        <w:t>Escalation Framework: Tier 1 – On-call Engineer (5 min). Tier 2 – DR Coordinator (15 min). Tier 3 – Head of Infrastructure (30 min). Tier 4 – Head of Payment Operations &amp; CTO (1 hour). Regulatory notification within 2 hours if payment processing is impacted.</w:t>
        <w:br/>
        <w:t>RACI Matrix &amp; Responsible Roles: Responsible – Infrastructure Engineer (failover execution), DR Coordinator (coordination). Accountable – CTO. Consulted – Payment Ops, Compliance, Treasury. Informed – Board, Regulators, Clients.</w:t>
        <w:br/>
        <w:t>Compliance, Regulatory &amp; Audit References: FFIEC BCM Handbook, ISO 22301, PSD2, GDPR, local financial regulators, SOC 2.</w:t>
        <w:br/>
        <w:t>System Integration, Data Flow &amp; API/Webhook Touchpoints: OmniFlow exposes GET /v1/health and POST /v1/failover. AegisPay Core provides GET /v1/replication/status. NexusRoute emits failover.triggered webhook. IronClad logs all failover events with timestamps.</w:t>
        <w:br/>
        <w:t>SLA, Cut-off Times &amp; Settlement Windows: DR failover SLA: 15 minutes for critical payment APIs. RTO/RPO as above. Quarterly test window: first Saturday of quarter, 02:00-06:00 UTC. Cut-off times remain unchanged during failover.</w:t>
        <w:br/>
        <w:t>Risk Controls, Exception Handling &amp; Reconciliation: Automated failover with manual approval for production. Post-failover reconciliation of all in-flight payments. Exception queue for failed failovers. Annual third-party audit of DR plan.</w:t>
        <w:br/>
        <w:t>Version Control, Approval Workflow &amp; Change Management: Version 3.1. Approved by CTO, Head of Payment Operations, and Compliance. Changes require 60-day notice and DR test. Document stored in IronClad with version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