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PAY-OPS-015: Merchant Acquiring &amp; Payout Network Settlement</w:t>
        <w:br/>
        <w:t>Purpose &amp; Scope: This procedure governs the settlement of funds from merchant acquiring transactions and the subsequent payout to merchants via various payout networks, including reconciliation of interchange, fees, and chargebacks.</w:t>
        <w:br/>
        <w:t>Applicable Payment Corridors &amp; Networks: Card networks (Visa, Mastercard, Amex), alternative payment methods (APMs), and payout rails (ACH, SEPA, RTP, Fedwire, local instant schemes).</w:t>
        <w:br/>
        <w:t>Invented Processing Systems &amp; Architecture: OmniFlow ingests settlement files from card networks; AegisPay Core maintains merchant accounts and fee schedules; NexusRoute routes payouts to optimal rail; SentinelTrace monitors for merchant fraud; MeridianClear calculates net settlement amounts; CobaltSettlement reconciles network settlement vs. merchant payouts; VaultGuard manages liquidity for payouts; IronClad logs all settlement and payout events.</w:t>
        <w:br/>
        <w:t>Detailed Key Steps: 1) Ingest daily settlement files (e.g., Visa VSS, Mastercard IPM) via OmniFlow with PGP and checksum. 2) AegisPay Core parses interchange, assessments, and fees per merchant contract. 3) SentinelTrace screens for suspicious merchant activity (e.g., high chargeback ratio). 4) MeridianClear calculates net payout amount = gross sales – fees – chargebacks – reserves. 5) NexusRoute selects payout rail based on merchant preference, currency, and cost. 6) CobaltSettlement executes payout and reconciles against network settlement. 7) VaultGuard ensures sufficient liquidity in payout accounts. 8) IronClad archives all settlement and payout records.</w:t>
        <w:br/>
        <w:t>Bank Account Number Handling: Merchant bank account numbers are tokenized at onboarding; payouts use tokens. Full account numbers are never stored in settlement files. Token vault managed by AegisPay Core with HSM.</w:t>
        <w:br/>
        <w:t>Special Currency Handling: Multi-currency merchants receive payouts in their chosen currency. FX conversion uses VaultGuard’s rate with 0.3% spread. Zero-decimal currencies (JPY) are handled as integers. Settlement files may include original and converted amounts.</w:t>
        <w:br/>
        <w:t>Escalation Framework: Tier 1 – Merchant Ops Analyst (15 min). Tier 2 – Settlement Manager (30 min). Tier 3 – Treasury &amp; Compliance (1 hour). Tier 4 – Head of Payment Operations (2 hours). Chargeback disputes &gt;$10k escalate to Tier 3.</w:t>
        <w:br/>
        <w:t>RACI Matrix &amp; Responsible Roles: Responsible – Merchant Ops Analyst (reconciliation), Settlement Manager (payout execution). Accountable – Head of Payment Operations. Consulted – Treasury, Compliance, Merchant Support. Informed – Finance, Sales.</w:t>
        <w:br/>
        <w:t>Compliance, Regulatory &amp; Audit References: Card Network Rules (Visa, Mastercard), PCI DSS, PSD2, GDPR, local acquiring regulations, SOC 2.</w:t>
        <w:br/>
        <w:t>System Integration, Data Flow &amp; API/Webhook Touchpoints: OmniFlow exposes POST /v1/settlement/ingest and webhook settlement.received, payout.completed. AegisPay Core provides GET /v1/merchants/{id}/fees. NexusRoute emits payout.routed. CobaltSettlement sends reconciliation.completed webhook to ERP.</w:t>
        <w:br/>
        <w:t>SLA, Cut-off Times &amp; Settlement Windows: Network settlement files received by 06:00 local time. Payout cut-off: 14:00 local time for same-day ACH, 16:00 for SEPA. Payout SLA: T+1 for ACH, T+0 for RTP. Reconciliation completed by 10:00 next business day.</w:t>
        <w:br/>
        <w:t>Risk Controls, Exception Handling &amp; Reconciliation: Daily reconciliation of network settlement vs. merchant payouts. Reserve accounts for high-risk merchants. Exception queue for chargebacks and returns. Automated alerts for variance &gt;$100. Dual approval for payouts &gt;$50k.</w:t>
        <w:br/>
        <w:t>Version Control, Approval Workflow &amp; Change Management: Version 1.5. Approved by Head of Payment Operations and Compliance Officer. Changes require 30-day notice to merchants. Document stored in IronClad with digital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