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PAY-OPS-016: Cross-Border Correspondent Banking &amp; Nostro/Vostro Reconciliation</w:t>
        <w:br/>
        <w:br/>
        <w:t>Purpose &amp; Scope: Governs origination, routing, execution, and reconciliation of cross-border payments through correspondent banking relationships, including Nostro/Vostro accounts, SWIFT MT/MX messaging, SWIFT gpi tracking, and FX settlement. Applies to all legal entities, currencies, and corridors where OmniFlow instructs Nostro agents or receives incoming cover payments.</w:t>
        <w:br/>
        <w:br/>
        <w:t>Applicable Payment Corridors &amp; Networks: SWIFT FIN/InterAct, SWIFT gpi, ISO 20022 pacs.008/pacs.009/camt.053/camt.054, MT103/MT202/MT202 COV, local RTGS, Fedwire/CHIPS via correspondent, TARGET2/T2, CLS, SEPA correspondent, and proprietary bank APIs.</w:t>
        <w:br/>
        <w:br/>
        <w:t>Invented Processing Systems &amp; Architecture: OmniFlow receives API/file instructions and emits webhooks. AegisPay Core validates account master data. NexusRoute selects correspondent paths and transforms MT/MX messages. SentinelTrace screens sanctions/fraud and tracks UETR. MeridianClear sequences settlement and funding. VaultGuard manages FX and liquidity. CobaltSettlement performs Nostro/Vostro matching. IronClad archives cryptographic evidence.</w:t>
        <w:br/>
        <w:br/>
        <w:t>Detailed Key Steps:</w:t>
        <w:br/>
        <w:t>1. Ingest instruction via OmniFlow; assign idempotency key and UETR where applicable.</w:t>
        <w:br/>
        <w:t>2. AegisPay Core validates BIC/IBAN/account and beneficiary data.</w:t>
        <w:br/>
        <w:t>3. SentinelTrace performs sanctions, AML, and fraud screening; hold or release.</w:t>
        <w:br/>
        <w:t>4. NexusRoute selects correspondent path, applies ISO 20022 field mapping, and creates pacs.008/MT103 or pacs.009/MT202 COV.</w:t>
        <w:br/>
        <w:t>5. VaultGuard checks liquidity, FX rate, and funding pool; MeridianClear reserves funds.</w:t>
        <w:br/>
        <w:t>6. Transmit to correspondent; monitor gpi status; process camt.054/MT199 updates.</w:t>
        <w:br/>
        <w:t>7. Receive camt.053/MT940/MT950; CobaltSettlement matches ledger, Nostro, and payment records.</w:t>
        <w:br/>
        <w:t>8. Resolve breaks in exception queue; post adjustments; archive in IronClad.</w:t>
        <w:br/>
        <w:br/>
        <w:t>Bank Account Number Handling: IBAN, BBAN, account numbers, and BICs are tokenized in AegisPay Core; only last 4 digits and token references appear in logs and UI. Full values are encrypted with HSM-backed keys and accessible only to authorized payment operations. No account numbers in webhooks or non-production environments.</w:t>
        <w:br/>
        <w:br/>
        <w:t>Special Currency Handling: Supports restricted, exotic, and CLS-eligible currencies. VaultGuard applies currency-specific cut-offs, FX rate sources, rounding rules, and regulatory limits. Non-deliverable currencies use approved NDF or local correspondent. Zero-decimal and three-decimal currencies normalized per ISO 4217.</w:t>
        <w:br/>
        <w:br/>
        <w:t>Escalation Framework: L1 Payment Ops resolves data/format exceptions within 15 min. L2 Correspondent Banking for path/funding issues within 30 min. L3 Treasury/Compliance for FX, sanctions, or regulatory holds within 60 min. L4 Head of Payment Ops/MLRO for critical corridor outage or regulatory breach immediately.</w:t>
        <w:br/>
        <w:br/>
        <w:t>RACI Matrix &amp; Responsible Roles: Responsible: Payment Operations Analyst, Correspondent Banking Specialist. Accountable: Head of Payment Operations. Consulted: Treasury, Compliance, Legal, FX Desk. Informed: Client Services, Finance, Internal Audit.</w:t>
        <w:br/>
        <w:br/>
        <w:t>Compliance, Regulatory &amp; Audit References: SWIFT CSCF, ISO 20022, FATF Recommendations, OFAC/UN/EU sanctions, local AML/CFT, PSD2/PSD3 where applicable, Basel Committee correspondent banking principles, SOC 1/2, ISO 27001.</w:t>
        <w:br/>
        <w:br/>
        <w:t>System Integration, Data Flow &amp; API/Webhook Touchpoints: OmniFlow REST/ISO 20022 APIs; AegisPay Core account validation API; NexusRoute transformation API; SentinelTrace screening API; MeridianClear settlement API; VaultGuard FX API; CobaltSettlement recon API; IronClad immutable log API. Webhooks for payment status, gpi updates, exceptions, and recon completion.</w:t>
        <w:br/>
        <w:br/>
        <w:t>SLA, Cut-off Times &amp; Settlement Windows: Instruction acceptance 24x7; validation within 5 min; screening within 10 min; correspondent cut-offs per currency and corridor; gpi updates within 30 min of network events; Nostro reconciliation T+0 intraday and T+1 final. Month-end and holiday calendars published annually.</w:t>
        <w:br/>
        <w:br/>
        <w:t>Risk Controls, Exception Handling &amp; Reconciliation: Dual authorization for high-value; sanctions hold; duplicate detection; idempotency; liquidity checks; gpi tracking; Nostro/Vostro daily proofing; break aging; FX exposure limits; compensating controls for manual overrides; root cause analysis for breaks above USD 100k.</w:t>
        <w:br/>
        <w:br/>
        <w:t>Version Control, Approval Workflow &amp; Change Management: Version 1.0. Changes require Payment Ops, Treasury, Compliance, and Internal Audit approval. Emergency changes allowed with post-facto review within 24 hours. Change log retained in IronClad. Annual review or upon regulatory/correspondent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